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814" w:rsidRDefault="00333814" w:rsidP="00333814">
      <w:pPr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b/>
          <w:bCs/>
          <w:sz w:val="20"/>
          <w:szCs w:val="20"/>
        </w:rPr>
      </w:pPr>
      <w:r>
        <w:t xml:space="preserve"> </w:t>
      </w:r>
      <w:r>
        <w:rPr>
          <w:rFonts w:cs="Times New Roman"/>
          <w:b/>
          <w:bCs/>
          <w:sz w:val="20"/>
          <w:szCs w:val="20"/>
        </w:rPr>
        <w:t>12 июня 2002 года N 67-ФЗ</w:t>
      </w:r>
      <w:r>
        <w:rPr>
          <w:rFonts w:cs="Times New Roman"/>
          <w:b/>
          <w:bCs/>
          <w:sz w:val="20"/>
          <w:szCs w:val="20"/>
        </w:rPr>
        <w:br/>
      </w:r>
    </w:p>
    <w:p w:rsidR="00333814" w:rsidRDefault="00333814" w:rsidP="00333814">
      <w:pPr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b/>
          <w:bCs/>
          <w:sz w:val="5"/>
          <w:szCs w:val="5"/>
        </w:rPr>
      </w:pPr>
    </w:p>
    <w:p w:rsidR="00333814" w:rsidRDefault="00333814" w:rsidP="00333814">
      <w:pPr>
        <w:autoSpaceDE w:val="0"/>
        <w:autoSpaceDN w:val="0"/>
        <w:adjustRightInd w:val="0"/>
        <w:spacing w:after="0"/>
        <w:rPr>
          <w:rFonts w:cs="Times New Roman"/>
          <w:b/>
          <w:bCs/>
          <w:sz w:val="20"/>
          <w:szCs w:val="20"/>
        </w:rPr>
      </w:pP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РОССИЙСКАЯ ФЕДЕРАЦИЯ</w:t>
      </w: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ФЕДЕРАЛЬНЫЙ ЗАКОН</w:t>
      </w: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ОБ ОСНОВНЫХ ГАРАНТИЯХ ИЗБИРАТЕЛЬНЫХ</w:t>
      </w: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ПРАВ И ПРАВА НА УЧАСТИЕ В РЕФЕРЕНДУМЕ ГРАЖДАН</w:t>
      </w:r>
    </w:p>
    <w:p w:rsidR="00333814" w:rsidRDefault="00333814" w:rsidP="00333814">
      <w:pPr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РОССИЙСКОЙ ФЕДЕРАЦИИ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Статья 21. Порядок формирования и статус Центральной избирательной комиссии Российской Федерации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5. Члены Центральной избирательной комиссии Российской Федерации должны иметь высшее образование.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Статья 29. Статус членов комиссий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12. Председатель, заместитель Председателя и секретарь Центральной избирательной комиссии Российской Федерации, председатель, заместитель председателя и секретарь избирательной комиссии субъекта Российской Федерации, председатель или секретарь иной комиссии, действующей на постоянной основе и являющейся юридическим лицом, работают в соответствующей комиссии на постоянной (штатной) основе. Председатель избирательной комиссии субъекта Российской Федерации должен иметь высшее образование.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outlineLvl w:val="2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Статья 41. Гарантии деятельности зарегистрированных кандидатов</w:t>
      </w:r>
    </w:p>
    <w:p w:rsidR="00333814" w:rsidRDefault="00333814" w:rsidP="0033381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>2. Во время проведения выборов зарегистрированный кандидат не может быть по инициативе администрации (работодателя) уволен с работы, со службы, отчислен из образовательной организации или без его согласия переведен на другую работу, а также направлен в командировку, призван на военную службу, на военные сборы или направлен на альтернативную гражданскую службу.</w:t>
      </w:r>
    </w:p>
    <w:p w:rsidR="00512002" w:rsidRPr="00333814" w:rsidRDefault="00512002" w:rsidP="00512002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F40E4E" w:rsidRDefault="00F40E4E"/>
    <w:sectPr w:rsidR="00F40E4E" w:rsidSect="00831862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002"/>
    <w:rsid w:val="00333814"/>
    <w:rsid w:val="00512002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2013-09-03T05:39:00Z</dcterms:created>
  <dcterms:modified xsi:type="dcterms:W3CDTF">2013-09-03T05:39:00Z</dcterms:modified>
</cp:coreProperties>
</file>