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22 июля 2003 года N 62-КЗ</w:t>
      </w:r>
      <w:r>
        <w:rPr>
          <w:rFonts w:ascii="Calibri" w:hAnsi="Calibri" w:cs="Calibri"/>
        </w:rPr>
        <w:br/>
      </w:r>
    </w:p>
    <w:p w:rsidR="00F26A05" w:rsidRDefault="00F26A05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ИЗБИРАТЕЛЬНЫЙ КОДЕКС</w:t>
      </w:r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ПРИМОРСКОГО КРАЯ</w:t>
      </w:r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5" w:history="1">
        <w:r>
          <w:rPr>
            <w:rFonts w:ascii="Calibri" w:hAnsi="Calibri" w:cs="Calibri"/>
            <w:i/>
            <w:iCs/>
            <w:color w:val="0000FF"/>
          </w:rPr>
          <w:br/>
          <w:t>Избирательный кодекс Приморского края от 22.07.2003 N 62-КЗ (ред. от 29.05.2013) (принят Законодательным Собранием Приморского края 25.06.2003) {КонсультантПлюс}</w:t>
        </w:r>
        <w:r>
          <w:rPr>
            <w:rFonts w:ascii="Calibri" w:hAnsi="Calibri" w:cs="Calibri"/>
            <w:i/>
            <w:iCs/>
            <w:color w:val="0000FF"/>
          </w:rPr>
          <w:br/>
        </w:r>
      </w:hyperlink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Статья 1. Пределы действия настоящего Кодекса</w:t>
      </w:r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 xml:space="preserve">Настоящий Кодекс в соответствии с </w:t>
      </w:r>
      <w:hyperlink r:id="rId6" w:history="1">
        <w:r>
          <w:rPr>
            <w:rFonts w:ascii="Calibri" w:hAnsi="Calibri" w:cs="Calibri"/>
            <w:color w:val="0000FF"/>
          </w:rPr>
          <w:t>Конституцией</w:t>
        </w:r>
      </w:hyperlink>
      <w:r>
        <w:rPr>
          <w:rFonts w:ascii="Calibri" w:hAnsi="Calibri" w:cs="Calibri"/>
        </w:rPr>
        <w:t xml:space="preserve"> Российской Федерации и </w:t>
      </w:r>
      <w:hyperlink r:id="rId7" w:history="1">
        <w:r>
          <w:rPr>
            <w:rFonts w:ascii="Calibri" w:hAnsi="Calibri" w:cs="Calibri"/>
            <w:color w:val="0000FF"/>
          </w:rPr>
          <w:t>федеральными законами</w:t>
        </w:r>
      </w:hyperlink>
      <w:r>
        <w:rPr>
          <w:rFonts w:ascii="Calibri" w:hAnsi="Calibri" w:cs="Calibri"/>
        </w:rPr>
        <w:t xml:space="preserve">, </w:t>
      </w:r>
      <w:hyperlink r:id="rId8" w:history="1">
        <w:r>
          <w:rPr>
            <w:rFonts w:ascii="Calibri" w:hAnsi="Calibri" w:cs="Calibri"/>
            <w:color w:val="0000FF"/>
          </w:rPr>
          <w:t>Уставом</w:t>
        </w:r>
      </w:hyperlink>
      <w:r>
        <w:rPr>
          <w:rFonts w:ascii="Calibri" w:hAnsi="Calibri" w:cs="Calibri"/>
        </w:rPr>
        <w:t xml:space="preserve"> Приморского края и законами Приморского края устанавливает порядок подготовки и проведения выборов депутатов Законодательного Собрания Приморского края, Губернатора Приморского края, выборов в органы местного самоуправления, а также права, обязанности граждан, их объединений, полномочия органов государственной власти Приморского края и органов местного самоуправления, избирательных комиссий, права и обязанности иных</w:t>
      </w:r>
      <w:proofErr w:type="gramEnd"/>
      <w:r>
        <w:rPr>
          <w:rFonts w:ascii="Calibri" w:hAnsi="Calibri" w:cs="Calibri"/>
        </w:rPr>
        <w:t xml:space="preserve"> лиц и организаций на всех стадиях избирательного процесса, а также статус Избирательной комиссии Приморского края.</w:t>
      </w:r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9" w:history="1">
        <w:r>
          <w:rPr>
            <w:rFonts w:ascii="Calibri" w:hAnsi="Calibri" w:cs="Calibri"/>
            <w:i/>
            <w:iCs/>
            <w:color w:val="0000FF"/>
          </w:rPr>
          <w:br/>
          <w:t>ст. 1, Избирательный кодекс Приморского края от 22.07.2003 N 62-КЗ (ред. от 29.05.2013) (принят Законодательным Собранием Приморского края 25.06.2003) {КонсультантПлюс}</w:t>
        </w:r>
        <w:r>
          <w:rPr>
            <w:rFonts w:ascii="Calibri" w:hAnsi="Calibri" w:cs="Calibri"/>
            <w:i/>
            <w:iCs/>
            <w:color w:val="0000FF"/>
          </w:rPr>
          <w:br/>
        </w:r>
      </w:hyperlink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Статья 16. Система и статус избирательных комиссий</w:t>
      </w:r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19. </w:t>
      </w:r>
      <w:proofErr w:type="gramStart"/>
      <w:r>
        <w:rPr>
          <w:rFonts w:ascii="Calibri" w:hAnsi="Calibri" w:cs="Calibri"/>
        </w:rPr>
        <w:t xml:space="preserve">Финансовое обеспечение деятельности Избирательной комиссии Приморского края осуществляется за счет средств, предусмотренных на эти цели законом Приморского края о краевом бюджете на очередной финансовый год и плановый период, а также в соответствии с Федеральным </w:t>
      </w:r>
      <w:hyperlink r:id="rId10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за счет средств федерального бюджета в порядке и объемах, определяемых Центральной избирательной комиссией Российской Федерации в пределах ассигнований, предусмотренных на эти цели федеральным законом о</w:t>
      </w:r>
      <w:proofErr w:type="gramEnd"/>
      <w:r>
        <w:rPr>
          <w:rFonts w:ascii="Calibri" w:hAnsi="Calibri" w:cs="Calibri"/>
        </w:rPr>
        <w:t xml:space="preserve"> федеральном </w:t>
      </w:r>
      <w:proofErr w:type="gramStart"/>
      <w:r>
        <w:rPr>
          <w:rFonts w:ascii="Calibri" w:hAnsi="Calibri" w:cs="Calibri"/>
        </w:rPr>
        <w:t>бюджете</w:t>
      </w:r>
      <w:proofErr w:type="gramEnd"/>
      <w:r>
        <w:rPr>
          <w:rFonts w:ascii="Calibri" w:hAnsi="Calibri" w:cs="Calibri"/>
        </w:rPr>
        <w:t xml:space="preserve"> на очередной финансовый год. </w:t>
      </w:r>
      <w:proofErr w:type="gramStart"/>
      <w:r>
        <w:rPr>
          <w:rFonts w:ascii="Calibri" w:hAnsi="Calibri" w:cs="Calibri"/>
        </w:rPr>
        <w:t>Финансовое обеспечение деятельности избирательной комиссии муниципального образования, действующей на постоянной основе и являющейся юридическим лицом, осуществляется за счет средств бюджета муниципального образования в пределах ассигнований, предусмотренных на эти цели нормативным правовым актом органа местного самоуправления о бюджете муниципального образования на очередной финансовый год.</w:t>
      </w:r>
      <w:proofErr w:type="gramEnd"/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11" w:history="1">
        <w:r>
          <w:rPr>
            <w:rFonts w:ascii="Calibri" w:hAnsi="Calibri" w:cs="Calibri"/>
            <w:i/>
            <w:iCs/>
            <w:color w:val="0000FF"/>
          </w:rPr>
          <w:br/>
          <w:t>ст. 16, Избирательный кодекс Приморского края от 22.07.2003 N 62-КЗ (ред. от 29.05.2013) (принят Законодательным Собранием Приморского края 25.06.2003) {КонсультантПлюс}</w:t>
        </w:r>
        <w:r>
          <w:rPr>
            <w:rFonts w:ascii="Calibri" w:hAnsi="Calibri" w:cs="Calibri"/>
            <w:i/>
            <w:iCs/>
            <w:color w:val="0000FF"/>
          </w:rPr>
          <w:br/>
        </w:r>
      </w:hyperlink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Статья 20. Порядок формирования территориальных избирательных комиссий</w:t>
      </w:r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Территориальные избирательные комиссии действуют на постоянной основе.</w:t>
      </w:r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Полномочия территориальной избирательной комиссии по решению Избирательной комиссии Приморского края, принятому по согласованию с представительным органом муниципального образования, могут возлагаться на соответствующую избирательную комиссию муниципального образования.</w:t>
      </w:r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В пределах одной административно-территориальной единицы с большим числом избирателей может формироваться несколько территориальных избирательных комиссий, при этом решение об их формировании принимает Избирательная комиссия Приморского края по согласованию с Центральной избирательной комиссией Российской Федерации. Избирательная комиссия Приморского края вправе сформировать одну либо несколько территориальных избирательных комиссий для руководства деятельностью участковых избирательных комиссий, сформированных на избирательных участках, образованных на судах.</w:t>
      </w:r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12" w:history="1">
        <w:r>
          <w:rPr>
            <w:rFonts w:ascii="Calibri" w:hAnsi="Calibri" w:cs="Calibri"/>
            <w:i/>
            <w:iCs/>
            <w:color w:val="0000FF"/>
          </w:rPr>
          <w:br/>
        </w:r>
        <w:proofErr w:type="gramStart"/>
        <w:r>
          <w:rPr>
            <w:rFonts w:ascii="Calibri" w:hAnsi="Calibri" w:cs="Calibri"/>
            <w:i/>
            <w:iCs/>
            <w:color w:val="0000FF"/>
          </w:rPr>
          <w:lastRenderedPageBreak/>
          <w:t>с</w:t>
        </w:r>
        <w:proofErr w:type="gramEnd"/>
        <w:r>
          <w:rPr>
            <w:rFonts w:ascii="Calibri" w:hAnsi="Calibri" w:cs="Calibri"/>
            <w:i/>
            <w:iCs/>
            <w:color w:val="0000FF"/>
          </w:rPr>
          <w:t>т. 20, Избирательный кодекс Приморского края от 22.07.2003 N 62-КЗ (ред. от 29.05.2013) (принят Законодательным Собранием Приморского края 25.06.2003) {КонсультантПлюс}</w:t>
        </w:r>
        <w:r>
          <w:rPr>
            <w:rFonts w:ascii="Calibri" w:hAnsi="Calibri" w:cs="Calibri"/>
            <w:i/>
            <w:iCs/>
            <w:color w:val="0000FF"/>
          </w:rPr>
          <w:br/>
        </w:r>
      </w:hyperlink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Статья 24. Полномочия Избирательной комиссии Приморского края</w:t>
      </w:r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5) утверждает перечень территориальных избирательных комиссий;</w:t>
      </w:r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13" w:history="1">
        <w:r>
          <w:rPr>
            <w:rFonts w:ascii="Calibri" w:hAnsi="Calibri" w:cs="Calibri"/>
            <w:i/>
            <w:iCs/>
            <w:color w:val="0000FF"/>
          </w:rPr>
          <w:br/>
          <w:t>ст. 24, Избирательный кодекс Приморского края от 22.07.2003 N 62-КЗ (ред. от 29.05.2013) (принят Законодательным Собранием Приморского края 25.06.2003) {КонсультантПлюс}</w:t>
        </w:r>
        <w:r>
          <w:rPr>
            <w:rFonts w:ascii="Calibri" w:hAnsi="Calibri" w:cs="Calibri"/>
            <w:i/>
            <w:iCs/>
            <w:color w:val="0000FF"/>
          </w:rPr>
          <w:br/>
        </w:r>
      </w:hyperlink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Статья 30. Организация деятельности избирательных комиссий</w:t>
      </w:r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 Избирательная комиссия Приморского края, избирательная комиссия муниципального образования, являющаяся юридическим лицом, имеют аппараты, структура и штаты которых устанавливаются указанными избирательными комиссиями самостоятельно. Работники аппарата Избирательной комиссии Приморского края являются государственными служащими Приморского края. Работники аппарата избирательной комиссии муниципального образования, являющейся юридическим лицом, являются муниципальными служащими в соответствии с уставом муниципального образования и иными нормативными правовыми актами органов местного самоуправления. Уровень материального (в том числе размер и виды денежного содержания, иных выплат) и социального обеспечения замещающих должности государственной или муниципальной службы работников аппаратов избирательных комиссий устанавливается соответственно законами и иными нормативными правовыми актами Приморского края, нормативными правовыми актами органов местного самоуправления. Органы государственной власти Приморского края, органы местного самоуправления принимают необходимые меры по материальному и социальному обеспечению (в том числе по медицинскому, санаторно-курортному, жилищно-бытовому, пенсионному и иным видам обеспечения) работников аппаратов избирательных комиссий.</w:t>
      </w:r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14" w:history="1">
        <w:r>
          <w:rPr>
            <w:rFonts w:ascii="Calibri" w:hAnsi="Calibri" w:cs="Calibri"/>
            <w:i/>
            <w:iCs/>
            <w:color w:val="0000FF"/>
          </w:rPr>
          <w:br/>
        </w:r>
        <w:proofErr w:type="gramStart"/>
        <w:r>
          <w:rPr>
            <w:rFonts w:ascii="Calibri" w:hAnsi="Calibri" w:cs="Calibri"/>
            <w:i/>
            <w:iCs/>
            <w:color w:val="0000FF"/>
          </w:rPr>
          <w:t>с</w:t>
        </w:r>
        <w:proofErr w:type="gramEnd"/>
        <w:r>
          <w:rPr>
            <w:rFonts w:ascii="Calibri" w:hAnsi="Calibri" w:cs="Calibri"/>
            <w:i/>
            <w:iCs/>
            <w:color w:val="0000FF"/>
          </w:rPr>
          <w:t>т. 30, Избирательный кодекс Приморского края от 22.07.2003 N 62-КЗ (ред. от 29.05.2013) (принят Законодательным Собранием Приморского края 25.06.2003) {КонсультантПлюс}</w:t>
        </w:r>
        <w:r>
          <w:rPr>
            <w:rFonts w:ascii="Calibri" w:hAnsi="Calibri" w:cs="Calibri"/>
            <w:i/>
            <w:iCs/>
            <w:color w:val="0000FF"/>
          </w:rPr>
          <w:br/>
        </w:r>
      </w:hyperlink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Статья 31. Статус членов избирательных комиссий</w:t>
      </w:r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Председатель, заместитель председателя и секретарь Избирательной комиссии Приморского края, председатель или секретарь избирательной комиссии муниципального образования, являющейся юридическим лицом, работают в соответствующей избирательной комиссии на постоянной (штатной) основе. Председатель Избирательной комиссии Приморского края должен иметь высшее профессиональное образование.</w:t>
      </w:r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13. </w:t>
      </w:r>
      <w:proofErr w:type="gramStart"/>
      <w:r>
        <w:rPr>
          <w:rFonts w:ascii="Calibri" w:hAnsi="Calibri" w:cs="Calibri"/>
        </w:rPr>
        <w:t>Член Избирательной комиссии Приморского края с правом решающего голоса, работающий в избирательной комиссии на постоянной (штатной) основе, член иной избирательной комиссии, действующей на постоянной основе и являющейся юридическим лицом, с правом решающего голоса замещают в соответствии с законом, иным нормативным правовым актом Приморского края, уставом муниципального образования, иным нормативным правовым актом органа местного самоуправления соответственно государственную должность Приморского края, муниципальную</w:t>
      </w:r>
      <w:proofErr w:type="gramEnd"/>
      <w:r>
        <w:rPr>
          <w:rFonts w:ascii="Calibri" w:hAnsi="Calibri" w:cs="Calibri"/>
        </w:rPr>
        <w:t xml:space="preserve"> должность. В соответствии с Федеральным законом:</w:t>
      </w:r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в случае, если владение указанными лицами приносящими доход ценными бумагами, акциями (долями участия в уставных капиталах организаций) может привести к конфликту интересов, они обязаны передать принадлежащие им указанные ценные бумаги, акции (доли участия в уставных капиталах организаций) в доверительное управление в соответствии с законодательством Российской Федерации.</w:t>
      </w:r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14. </w:t>
      </w:r>
      <w:proofErr w:type="gramStart"/>
      <w:r>
        <w:rPr>
          <w:rFonts w:ascii="Calibri" w:hAnsi="Calibri" w:cs="Calibri"/>
        </w:rPr>
        <w:t xml:space="preserve">Органы государственной власти Приморского края, органы местного самоуправления принимают необходимые меры по материальному и социальному обеспечению (в том числе по медицинскому, санаторно-курортному, жилищно-бытовому, пенсионному и иным видам обеспечения) лиц, перечисленных в </w:t>
      </w:r>
      <w:hyperlink r:id="rId15" w:history="1">
        <w:r>
          <w:rPr>
            <w:rFonts w:ascii="Calibri" w:hAnsi="Calibri" w:cs="Calibri"/>
            <w:color w:val="0000FF"/>
          </w:rPr>
          <w:t>частях 11</w:t>
        </w:r>
      </w:hyperlink>
      <w:r>
        <w:rPr>
          <w:rFonts w:ascii="Calibri" w:hAnsi="Calibri" w:cs="Calibri"/>
        </w:rPr>
        <w:t xml:space="preserve"> - </w:t>
      </w:r>
      <w:hyperlink r:id="rId16" w:history="1">
        <w:r>
          <w:rPr>
            <w:rFonts w:ascii="Calibri" w:hAnsi="Calibri" w:cs="Calibri"/>
            <w:color w:val="0000FF"/>
          </w:rPr>
          <w:t>13</w:t>
        </w:r>
      </w:hyperlink>
      <w:r>
        <w:rPr>
          <w:rFonts w:ascii="Calibri" w:hAnsi="Calibri" w:cs="Calibri"/>
        </w:rPr>
        <w:t xml:space="preserve"> настоящей статьи.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Уровень материального обеспечения (в том числе размер и виды денежного содержания, иных выплат) и социального обеспечения члена Избирательной комиссии Приморского края, работающего в указанной </w:t>
      </w:r>
      <w:r>
        <w:rPr>
          <w:rFonts w:ascii="Calibri" w:hAnsi="Calibri" w:cs="Calibri"/>
        </w:rPr>
        <w:lastRenderedPageBreak/>
        <w:t>избирательной комиссии на постоянной (штатной) основе, должен быть не ниже уровня материального и социального обеспечения, установленного для лиц, замещающих государственные должности Приморского края в Законодательном Собрании Приморского края, члена избирательной комиссии муниципального образования, работающего в указанной</w:t>
      </w:r>
      <w:proofErr w:type="gramEnd"/>
      <w:r>
        <w:rPr>
          <w:rFonts w:ascii="Calibri" w:hAnsi="Calibri" w:cs="Calibri"/>
        </w:rPr>
        <w:t xml:space="preserve"> избирательной комиссии на постоянной (штатной) основе, - не ниже уровня материального и социального обеспечения, установленного для лиц, замещающих муниципальные должности в представительном органе муниципального образования. Размер и виды денежного содержания указанных лиц, а также размер и виды иных выплат указанным лицам определяются соответственно законами и иными нормативными правовыми актами Приморского края, уставами муниципальных образований и иными нормативными правовыми актами органов местного самоуправления.</w:t>
      </w:r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17" w:history="1">
        <w:r>
          <w:rPr>
            <w:rFonts w:ascii="Calibri" w:hAnsi="Calibri" w:cs="Calibri"/>
            <w:i/>
            <w:iCs/>
            <w:color w:val="0000FF"/>
          </w:rPr>
          <w:br/>
        </w:r>
        <w:proofErr w:type="gramStart"/>
        <w:r>
          <w:rPr>
            <w:rFonts w:ascii="Calibri" w:hAnsi="Calibri" w:cs="Calibri"/>
            <w:i/>
            <w:iCs/>
            <w:color w:val="0000FF"/>
          </w:rPr>
          <w:t>с</w:t>
        </w:r>
        <w:proofErr w:type="gramEnd"/>
        <w:r>
          <w:rPr>
            <w:rFonts w:ascii="Calibri" w:hAnsi="Calibri" w:cs="Calibri"/>
            <w:i/>
            <w:iCs/>
            <w:color w:val="0000FF"/>
          </w:rPr>
          <w:t>т. 31, Избирательный кодекс Приморского края от 22.07.2003 N 62-КЗ (ред. от 29.05.2013) (принят Законодательным Собранием Приморского края 25.06.2003) {КонсультантПлюс}</w:t>
        </w:r>
        <w:r>
          <w:rPr>
            <w:rFonts w:ascii="Calibri" w:hAnsi="Calibri" w:cs="Calibri"/>
            <w:i/>
            <w:iCs/>
            <w:color w:val="0000FF"/>
          </w:rPr>
          <w:br/>
        </w:r>
      </w:hyperlink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Статья 41. Выдвижение кандидатов, списков кандидатов избирательными объединениями</w:t>
      </w:r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Кандидат, выдвинутый избирательным объединением, представляет в избирательную комиссию, осуществляющую регистрацию кандидатов, следующие документы единовременно:</w:t>
      </w:r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5) документы, предусмотренные </w:t>
      </w:r>
      <w:hyperlink r:id="rId18" w:history="1">
        <w:r>
          <w:rPr>
            <w:rFonts w:ascii="Calibri" w:hAnsi="Calibri" w:cs="Calibri"/>
            <w:color w:val="0000FF"/>
          </w:rPr>
          <w:t>частями 2</w:t>
        </w:r>
      </w:hyperlink>
      <w:r>
        <w:rPr>
          <w:rFonts w:ascii="Calibri" w:hAnsi="Calibri" w:cs="Calibri"/>
        </w:rPr>
        <w:t xml:space="preserve"> и </w:t>
      </w:r>
      <w:hyperlink r:id="rId19" w:history="1">
        <w:r>
          <w:rPr>
            <w:rFonts w:ascii="Calibri" w:hAnsi="Calibri" w:cs="Calibri"/>
            <w:color w:val="0000FF"/>
          </w:rPr>
          <w:t>4</w:t>
        </w:r>
      </w:hyperlink>
      <w:r>
        <w:rPr>
          <w:rFonts w:ascii="Calibri" w:hAnsi="Calibri" w:cs="Calibri"/>
        </w:rPr>
        <w:t xml:space="preserve"> (при проведении выборов депутатов Законодательного Собрания Приморского края - также </w:t>
      </w:r>
      <w:hyperlink r:id="rId20" w:history="1">
        <w:r>
          <w:rPr>
            <w:rFonts w:ascii="Calibri" w:hAnsi="Calibri" w:cs="Calibri"/>
            <w:color w:val="0000FF"/>
          </w:rPr>
          <w:t>частью 4(1)</w:t>
        </w:r>
      </w:hyperlink>
      <w:r>
        <w:rPr>
          <w:rFonts w:ascii="Calibri" w:hAnsi="Calibri" w:cs="Calibri"/>
        </w:rPr>
        <w:t>) статьи 39 настоящего Кодекса</w:t>
      </w:r>
      <w:proofErr w:type="gramStart"/>
      <w:r>
        <w:rPr>
          <w:rFonts w:ascii="Calibri" w:hAnsi="Calibri" w:cs="Calibri"/>
        </w:rPr>
        <w:t>,.</w:t>
      </w:r>
      <w:proofErr w:type="gramEnd"/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21" w:history="1">
        <w:r>
          <w:rPr>
            <w:rFonts w:ascii="Calibri" w:hAnsi="Calibri" w:cs="Calibri"/>
            <w:i/>
            <w:iCs/>
            <w:color w:val="0000FF"/>
          </w:rPr>
          <w:br/>
          <w:t>ст. 41, Избирательный кодекс Приморского края от 22.07.2003 N 62-КЗ (ред. от 29.05.2013) (принят Законодательным Собранием Приморского края 25.06.2003) {КонсультантПлюс}</w:t>
        </w:r>
        <w:r>
          <w:rPr>
            <w:rFonts w:ascii="Calibri" w:hAnsi="Calibri" w:cs="Calibri"/>
            <w:i/>
            <w:iCs/>
            <w:color w:val="0000FF"/>
          </w:rPr>
          <w:br/>
        </w:r>
      </w:hyperlink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Статья 44. Представление документов для регистрации кандидатов, списков кандидатов</w:t>
      </w:r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1(6). Кандидатом на должность Губернатора Приморского края вместе с заявлением, указанным в </w:t>
      </w:r>
      <w:hyperlink r:id="rId22" w:history="1">
        <w:r>
          <w:rPr>
            <w:rFonts w:ascii="Calibri" w:hAnsi="Calibri" w:cs="Calibri"/>
            <w:color w:val="0000FF"/>
          </w:rPr>
          <w:t>части 1(5)</w:t>
        </w:r>
      </w:hyperlink>
      <w:r>
        <w:rPr>
          <w:rFonts w:ascii="Calibri" w:hAnsi="Calibri" w:cs="Calibri"/>
        </w:rPr>
        <w:t xml:space="preserve"> настоящей статьи, в Избирательную комиссию Приморского края должны быть представлены копии документов, подтверждающих сведения, указанные в </w:t>
      </w:r>
      <w:hyperlink r:id="rId23" w:history="1">
        <w:r>
          <w:rPr>
            <w:rFonts w:ascii="Calibri" w:hAnsi="Calibri" w:cs="Calibri"/>
            <w:color w:val="0000FF"/>
          </w:rPr>
          <w:t>части 1(5)</w:t>
        </w:r>
      </w:hyperlink>
      <w:r>
        <w:rPr>
          <w:rFonts w:ascii="Calibri" w:hAnsi="Calibri" w:cs="Calibri"/>
        </w:rPr>
        <w:t xml:space="preserve"> настоящей статьи.</w:t>
      </w:r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1(6) введена </w:t>
      </w:r>
      <w:hyperlink r:id="rId24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Приморского края от 14.03.2013 N 175-КЗ)</w:t>
      </w:r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Для регистрации списка кандидатов уполномоченный представитель избирательного объединения на выборах депутатов Законодательного Собрания Приморского края не ранее</w:t>
      </w:r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25" w:history="1">
        <w:r>
          <w:rPr>
            <w:rFonts w:ascii="Calibri" w:hAnsi="Calibri" w:cs="Calibri"/>
            <w:i/>
            <w:iCs/>
            <w:color w:val="0000FF"/>
          </w:rPr>
          <w:br/>
          <w:t>ст. 44, Избирательный кодекс Приморского края от 22.07.2003 N 62-КЗ (ред. от 29.05.2013) (принят Законодательным Собранием Приморского края 25.06.2003) {КонсультантПлюс}</w:t>
        </w:r>
        <w:r>
          <w:rPr>
            <w:rFonts w:ascii="Calibri" w:hAnsi="Calibri" w:cs="Calibri"/>
            <w:i/>
            <w:iCs/>
            <w:color w:val="0000FF"/>
          </w:rPr>
          <w:br/>
        </w:r>
      </w:hyperlink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Статья 68. Контрольно-ревизионные службы</w:t>
      </w:r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Контрольно-ревизионные службы создаются при Избирательной комиссии Приморского края, а также при иных избирательных комиссиях по их решению с привлечением руководителей и специалистов из государственных и иных органов и учреждений, включая Главное управление Центрального банка Российской Федерации по Приморскому краю. В соответствии с Федеральным </w:t>
      </w:r>
      <w:hyperlink r:id="rId26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указанные органы и учреждения по запросу соответствующей избирательной комиссии не позднее чем через один месяц со дня официального опубликования (публикации) решения о назначении выборов обязаны откомандировать специалистов в распоряжение избирательных комиссий. При этом в распоряжение Избирательной комиссии Приморского края специалисты откомандировываются на срок не менее пяти месяцев, а в распоряжение иной избирательной комиссии - на срок не менее двух месяцев.</w:t>
      </w:r>
    </w:p>
    <w:p w:rsidR="00F26A05" w:rsidRDefault="00F26A0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27" w:history="1">
        <w:r>
          <w:rPr>
            <w:rFonts w:ascii="Calibri" w:hAnsi="Calibri" w:cs="Calibri"/>
            <w:i/>
            <w:iCs/>
            <w:color w:val="0000FF"/>
          </w:rPr>
          <w:br/>
        </w:r>
        <w:proofErr w:type="gramStart"/>
        <w:r>
          <w:rPr>
            <w:rFonts w:ascii="Calibri" w:hAnsi="Calibri" w:cs="Calibri"/>
            <w:i/>
            <w:iCs/>
            <w:color w:val="0000FF"/>
          </w:rPr>
          <w:t>с</w:t>
        </w:r>
        <w:proofErr w:type="gramEnd"/>
        <w:r>
          <w:rPr>
            <w:rFonts w:ascii="Calibri" w:hAnsi="Calibri" w:cs="Calibri"/>
            <w:i/>
            <w:iCs/>
            <w:color w:val="0000FF"/>
          </w:rPr>
          <w:t>т. 68, Избирательный кодекс Приморского края от 22.07.2003 N 62-КЗ (ред. от 29.05.2013) (принят Законодательным Собранием Приморского края 25.06.2003) {КонсультантПлюс}</w:t>
        </w:r>
        <w:r>
          <w:rPr>
            <w:rFonts w:ascii="Calibri" w:hAnsi="Calibri" w:cs="Calibri"/>
            <w:i/>
            <w:iCs/>
            <w:color w:val="0000FF"/>
          </w:rPr>
          <w:br/>
        </w:r>
      </w:hyperlink>
    </w:p>
    <w:p w:rsidR="006C2C47" w:rsidRDefault="006C2C47">
      <w:bookmarkStart w:id="0" w:name="_GoBack"/>
      <w:bookmarkEnd w:id="0"/>
    </w:p>
    <w:sectPr w:rsidR="006C2C47" w:rsidSect="00201B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A05"/>
    <w:rsid w:val="006C2C47"/>
    <w:rsid w:val="00F26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5D88130F20B1F00F7BA43CB6054179F5C1DF4FD3757F1506F0D8BF1DC8710C9gEL1D" TargetMode="External"/><Relationship Id="rId13" Type="http://schemas.openxmlformats.org/officeDocument/2006/relationships/hyperlink" Target="consultantplus://offline/ref=25D88130F20B1F00F7BA43CB6054179F5C1DF4FD3455F857690D8BF1DC8710C9E1982B6FD89300D1E38E56g5L4D" TargetMode="External"/><Relationship Id="rId18" Type="http://schemas.openxmlformats.org/officeDocument/2006/relationships/hyperlink" Target="consultantplus://offline/ref=25D88130F20B1F00F7BA43CB6054179F5C1DF4FD3455F857690D8BF1DC8710C9E1982B6FD89300D1E38E58g5LFD" TargetMode="External"/><Relationship Id="rId26" Type="http://schemas.openxmlformats.org/officeDocument/2006/relationships/hyperlink" Target="consultantplus://offline/ref=25D88130F20B1F00F7BA5DC6763849905D12ACF23153FA033152D0AC8Bg8LED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5D88130F20B1F00F7BA43CB6054179F5C1DF4FD3455F857690D8BF1DC8710C9E1982B6FD89300D1E48753g5L2D" TargetMode="External"/><Relationship Id="rId7" Type="http://schemas.openxmlformats.org/officeDocument/2006/relationships/hyperlink" Target="consultantplus://offline/ref=25D88130F20B1F00F7BA5DC6763849905D12ACF23153FA033152D0AC8B8E1A9EA6D7722D9C9E00D3gEL8D" TargetMode="External"/><Relationship Id="rId12" Type="http://schemas.openxmlformats.org/officeDocument/2006/relationships/hyperlink" Target="consultantplus://offline/ref=25D88130F20B1F00F7BA43CB6054179F5C1DF4FD3455F857690D8BF1DC8710C9E1982B6FD89300D1E18F59g5LED" TargetMode="External"/><Relationship Id="rId17" Type="http://schemas.openxmlformats.org/officeDocument/2006/relationships/hyperlink" Target="consultantplus://offline/ref=25D88130F20B1F00F7BA43CB6054179F5C1DF4FD3455F857690D8BF1DC8710C9E1982B6FD89300D1E28457g5L1D" TargetMode="External"/><Relationship Id="rId25" Type="http://schemas.openxmlformats.org/officeDocument/2006/relationships/hyperlink" Target="consultantplus://offline/ref=25D88130F20B1F00F7BA43CB6054179F5C1DF4FD3455F857690D8BF1DC8710C9E1982B6FD89300D1E28352g5L6D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5D88130F20B1F00F7BA43CB6054179F5C1DF4FD3455F857690D8BF1DC8710C9E1982B6FD89300D1E28551g5L7D" TargetMode="External"/><Relationship Id="rId20" Type="http://schemas.openxmlformats.org/officeDocument/2006/relationships/hyperlink" Target="consultantplus://offline/ref=25D88130F20B1F00F7BA43CB6054179F5C1DF4FD3455F857690D8BF1DC8710C9E1982B6FD89300D1E48E59g5LED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5D88130F20B1F00F7BA5DC6763849905E1EADF53902AD016007DEgAL9D" TargetMode="External"/><Relationship Id="rId11" Type="http://schemas.openxmlformats.org/officeDocument/2006/relationships/hyperlink" Target="consultantplus://offline/ref=25D88130F20B1F00F7BA43CB6054179F5C1DF4FD3455F857690D8BF1DC8710C9E1982B6FD89300D1E18F50g5LED" TargetMode="External"/><Relationship Id="rId24" Type="http://schemas.openxmlformats.org/officeDocument/2006/relationships/hyperlink" Target="consultantplus://offline/ref=25D88130F20B1F00F7BA43CB6054179F5C1DF4FD375DF8536C0D8BF1DC8710C9E1982B6FD89300D1E08751g5L5D" TargetMode="External"/><Relationship Id="rId5" Type="http://schemas.openxmlformats.org/officeDocument/2006/relationships/hyperlink" Target="consultantplus://offline/ref=25D88130F20B1F00F7BA43CB6054179F5C1DF4FD3455F857690D8BF1DC8710C9E1982B6FD89300D1E08650g5L6D" TargetMode="External"/><Relationship Id="rId15" Type="http://schemas.openxmlformats.org/officeDocument/2006/relationships/hyperlink" Target="consultantplus://offline/ref=25D88130F20B1F00F7BA43CB6054179F5C1DF4FD3455F857690D8BF1DC8710C9E1982B6FD89300D1E28550g5L0D" TargetMode="External"/><Relationship Id="rId23" Type="http://schemas.openxmlformats.org/officeDocument/2006/relationships/hyperlink" Target="consultantplus://offline/ref=25D88130F20B1F00F7BA43CB6054179F5C1DF4FD3455F857690D8BF1DC8710C9E1982B6FD89300D1E48E53g5LFD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25D88130F20B1F00F7BA5DC6763849905D12ACF23153FA033152D0AC8Bg8LED" TargetMode="External"/><Relationship Id="rId19" Type="http://schemas.openxmlformats.org/officeDocument/2006/relationships/hyperlink" Target="consultantplus://offline/ref=25D88130F20B1F00F7BA43CB6054179F5C1DF4FD3455F857690D8BF1DC8710C9E1982B6FD89300D1E38254g5LE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5D88130F20B1F00F7BA43CB6054179F5C1DF4FD3455F857690D8BF1DC8710C9E1982B6FD89300D1E18153g5L5D" TargetMode="External"/><Relationship Id="rId14" Type="http://schemas.openxmlformats.org/officeDocument/2006/relationships/hyperlink" Target="consultantplus://offline/ref=25D88130F20B1F00F7BA43CB6054179F5C1DF4FD3455F857690D8BF1DC8710C9E1982B6FD89300D1E28455g5L4D" TargetMode="External"/><Relationship Id="rId22" Type="http://schemas.openxmlformats.org/officeDocument/2006/relationships/hyperlink" Target="consultantplus://offline/ref=25D88130F20B1F00F7BA43CB6054179F5C1DF4FD3455F857690D8BF1DC8710C9E1982B6FD89300D1E48E53g5LFD" TargetMode="External"/><Relationship Id="rId27" Type="http://schemas.openxmlformats.org/officeDocument/2006/relationships/hyperlink" Target="consultantplus://offline/ref=25D88130F20B1F00F7BA43CB6054179F5C1DF4FD3455F857690D8BF1DC8710C9E1982B6FD89300D1E28E59g5L0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2013</Words>
  <Characters>11478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2013-07-04T03:11:00Z</dcterms:created>
  <dcterms:modified xsi:type="dcterms:W3CDTF">2013-07-04T03:12:00Z</dcterms:modified>
</cp:coreProperties>
</file>