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7D3ED2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Приложение 1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 xml:space="preserve">к </w:t>
      </w:r>
      <w:r w:rsidR="007D3ED2">
        <w:rPr>
          <w:b w:val="0"/>
          <w:sz w:val="28"/>
          <w:szCs w:val="28"/>
        </w:rPr>
        <w:t>проекту з</w:t>
      </w:r>
      <w:r w:rsidRPr="007D3ED2">
        <w:rPr>
          <w:b w:val="0"/>
          <w:sz w:val="28"/>
          <w:szCs w:val="28"/>
        </w:rPr>
        <w:t>акон</w:t>
      </w:r>
      <w:r w:rsidR="007D3ED2">
        <w:rPr>
          <w:b w:val="0"/>
          <w:sz w:val="28"/>
          <w:szCs w:val="28"/>
        </w:rPr>
        <w:t>а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Приморского края</w:t>
      </w:r>
    </w:p>
    <w:p w:rsidR="007D3ED2" w:rsidRPr="007D3ED2" w:rsidRDefault="007D3ED2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D3ED2" w:rsidRPr="007D3ED2" w:rsidRDefault="007D3ED2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7D3ED2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"Приложение 1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к Закону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Приморского края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от 20.12.2012 № 144-КЗ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7D3ED2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737C0A" w:rsidRPr="007D3ED2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Pr="007D3ED2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страхования Приморского края на 2013 год</w:t>
      </w:r>
    </w:p>
    <w:p w:rsidR="00737C0A" w:rsidRPr="00B92969" w:rsidRDefault="00737C0A" w:rsidP="00737C0A">
      <w:pPr>
        <w:pStyle w:val="3"/>
        <w:suppressAutoHyphens/>
        <w:ind w:left="181" w:firstLine="539"/>
        <w:rPr>
          <w:b w:val="0"/>
          <w:sz w:val="20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D46ECB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D46ECB"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A7097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A70974">
        <w:trPr>
          <w:trHeight w:val="952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A7097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</w:t>
            </w:r>
            <w:r w:rsidR="00A70974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D3ED2">
        <w:trPr>
          <w:trHeight w:val="1551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A7097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-16</w:t>
            </w:r>
            <w:r w:rsidR="00A70974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940 486,18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D3ED2">
        <w:trPr>
          <w:trHeight w:val="1631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A7097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A70974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443 565,39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7D3ED2" w:rsidRDefault="00737C0A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3ED2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097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4</cp:revision>
  <cp:lastPrinted>2013-03-21T07:25:00Z</cp:lastPrinted>
  <dcterms:created xsi:type="dcterms:W3CDTF">2013-03-18T03:52:00Z</dcterms:created>
  <dcterms:modified xsi:type="dcterms:W3CDTF">2013-03-21T07:25:00Z</dcterms:modified>
</cp:coreProperties>
</file>