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132" w:rsidRPr="00E46E48" w:rsidRDefault="005B2132" w:rsidP="005B2132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45526783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990"/>
        <w:gridCol w:w="3538"/>
        <w:gridCol w:w="754"/>
        <w:gridCol w:w="904"/>
      </w:tblGrid>
      <w:tr w:rsidR="005B2132" w:rsidTr="003321AB">
        <w:trPr>
          <w:cantSplit/>
          <w:trHeight w:val="1141"/>
        </w:trPr>
        <w:tc>
          <w:tcPr>
            <w:tcW w:w="5000" w:type="pct"/>
            <w:gridSpan w:val="5"/>
          </w:tcPr>
          <w:p w:rsidR="005B2132" w:rsidRPr="00E77161" w:rsidRDefault="005B2132" w:rsidP="003321AB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5B2132" w:rsidRPr="00383131" w:rsidRDefault="005B2132" w:rsidP="003321AB">
            <w:pPr>
              <w:rPr>
                <w:sz w:val="20"/>
              </w:rPr>
            </w:pPr>
          </w:p>
          <w:p w:rsidR="005B2132" w:rsidRPr="00FE5980" w:rsidRDefault="005B2132" w:rsidP="003321AB">
            <w:pPr>
              <w:keepNext/>
              <w:widowControl w:val="0"/>
              <w:jc w:val="center"/>
              <w:outlineLvl w:val="7"/>
              <w:rPr>
                <w:b/>
                <w:sz w:val="24"/>
                <w:szCs w:val="24"/>
              </w:rPr>
            </w:pPr>
            <w:r w:rsidRPr="00FE5980">
              <w:rPr>
                <w:b/>
                <w:sz w:val="24"/>
                <w:szCs w:val="24"/>
              </w:rPr>
              <w:t>Комитет по региональной политике, законности и</w:t>
            </w:r>
          </w:p>
          <w:p w:rsidR="005B2132" w:rsidRPr="00EB1280" w:rsidRDefault="005B2132" w:rsidP="003321A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B1280">
              <w:rPr>
                <w:b/>
                <w:sz w:val="24"/>
                <w:szCs w:val="24"/>
                <w:u w:val="none"/>
              </w:rPr>
              <w:t>международному сотрудничеству</w:t>
            </w:r>
            <w:r w:rsidRPr="00EB1280">
              <w:rPr>
                <w:b/>
                <w:sz w:val="26"/>
                <w:szCs w:val="26"/>
                <w:u w:val="none"/>
              </w:rPr>
              <w:t xml:space="preserve"> </w:t>
            </w:r>
          </w:p>
          <w:p w:rsidR="005B2132" w:rsidRDefault="005B2132" w:rsidP="003321A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5B2132" w:rsidRPr="00E77161" w:rsidRDefault="005B2132" w:rsidP="003321A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5B2132" w:rsidRPr="009F0165" w:rsidRDefault="005B2132" w:rsidP="003321AB">
            <w:pPr>
              <w:rPr>
                <w:sz w:val="20"/>
              </w:rPr>
            </w:pPr>
          </w:p>
        </w:tc>
      </w:tr>
      <w:tr w:rsidR="005B2132" w:rsidTr="003321AB">
        <w:trPr>
          <w:cantSplit/>
        </w:trPr>
        <w:tc>
          <w:tcPr>
            <w:tcW w:w="1694" w:type="pct"/>
          </w:tcPr>
          <w:p w:rsidR="005B2132" w:rsidRPr="00080DED" w:rsidRDefault="004B5723" w:rsidP="00B80D4A">
            <w:pPr>
              <w:rPr>
                <w:sz w:val="24"/>
              </w:rPr>
            </w:pPr>
            <w:r>
              <w:rPr>
                <w:sz w:val="24"/>
              </w:rPr>
              <w:t>20</w:t>
            </w:r>
            <w:bookmarkStart w:id="0" w:name="_GoBack"/>
            <w:bookmarkEnd w:id="0"/>
            <w:r w:rsidR="006403A4">
              <w:rPr>
                <w:sz w:val="24"/>
              </w:rPr>
              <w:t>.</w:t>
            </w:r>
            <w:r w:rsidR="009400C8">
              <w:rPr>
                <w:sz w:val="24"/>
              </w:rPr>
              <w:t>07</w:t>
            </w:r>
            <w:r w:rsidR="00986900">
              <w:rPr>
                <w:sz w:val="24"/>
              </w:rPr>
              <w:t>.2026</w:t>
            </w:r>
          </w:p>
        </w:tc>
        <w:tc>
          <w:tcPr>
            <w:tcW w:w="2420" w:type="pct"/>
            <w:gridSpan w:val="2"/>
          </w:tcPr>
          <w:p w:rsidR="005B2132" w:rsidRPr="005D5253" w:rsidRDefault="005B2132" w:rsidP="003321AB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5B2132" w:rsidRPr="0000058E" w:rsidRDefault="005B2132" w:rsidP="003321AB">
            <w:pPr>
              <w:jc w:val="right"/>
              <w:rPr>
                <w:sz w:val="24"/>
                <w:szCs w:val="24"/>
              </w:rPr>
            </w:pPr>
            <w:r w:rsidRPr="0000058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5B2132" w:rsidRPr="0000058E" w:rsidRDefault="005B2132" w:rsidP="00CB336A">
            <w:pPr>
              <w:ind w:hanging="107"/>
              <w:rPr>
                <w:sz w:val="24"/>
                <w:szCs w:val="24"/>
              </w:rPr>
            </w:pPr>
          </w:p>
        </w:tc>
      </w:tr>
      <w:tr w:rsidR="005B2132" w:rsidTr="003321AB">
        <w:trPr>
          <w:cantSplit/>
        </w:trPr>
        <w:tc>
          <w:tcPr>
            <w:tcW w:w="5000" w:type="pct"/>
            <w:gridSpan w:val="5"/>
          </w:tcPr>
          <w:p w:rsidR="005B2132" w:rsidRPr="003D4A28" w:rsidRDefault="005B2132" w:rsidP="003321AB">
            <w:pPr>
              <w:jc w:val="center"/>
              <w:rPr>
                <w:sz w:val="24"/>
                <w:szCs w:val="24"/>
              </w:rPr>
            </w:pPr>
          </w:p>
        </w:tc>
      </w:tr>
      <w:tr w:rsidR="005B2132" w:rsidTr="00B7081E">
        <w:trPr>
          <w:gridAfter w:val="3"/>
          <w:wAfter w:w="2777" w:type="pct"/>
        </w:trPr>
        <w:tc>
          <w:tcPr>
            <w:tcW w:w="2223" w:type="pct"/>
            <w:gridSpan w:val="2"/>
          </w:tcPr>
          <w:p w:rsidR="005B2132" w:rsidRDefault="00B7081E" w:rsidP="00986900">
            <w:pPr>
              <w:jc w:val="both"/>
            </w:pPr>
            <w:r>
              <w:rPr>
                <w:szCs w:val="28"/>
              </w:rPr>
              <w:t xml:space="preserve">О рассмотрении </w:t>
            </w:r>
            <w:proofErr w:type="spellStart"/>
            <w:r>
              <w:rPr>
                <w:szCs w:val="28"/>
              </w:rPr>
              <w:t>правопримени</w:t>
            </w:r>
            <w:proofErr w:type="spellEnd"/>
            <w:r>
              <w:rPr>
                <w:szCs w:val="28"/>
              </w:rPr>
              <w:t>-</w:t>
            </w:r>
            <w:r w:rsidR="005B2132">
              <w:rPr>
                <w:szCs w:val="28"/>
              </w:rPr>
              <w:t>тельной практики по вопросам профилактики коррупции</w:t>
            </w:r>
            <w:r w:rsidR="005B2132">
              <w:rPr>
                <w:szCs w:val="28"/>
              </w:rPr>
              <w:br/>
            </w:r>
            <w:r w:rsidR="005B2132">
              <w:rPr>
                <w:snapToGrid w:val="0"/>
                <w:szCs w:val="28"/>
              </w:rPr>
              <w:t>з</w:t>
            </w:r>
            <w:r w:rsidR="005B2132" w:rsidRPr="00F369F2">
              <w:rPr>
                <w:snapToGrid w:val="0"/>
                <w:szCs w:val="28"/>
              </w:rPr>
              <w:t>а</w:t>
            </w:r>
            <w:r w:rsidR="005B2132">
              <w:rPr>
                <w:snapToGrid w:val="0"/>
                <w:szCs w:val="28"/>
              </w:rPr>
              <w:t xml:space="preserve"> </w:t>
            </w:r>
            <w:r w:rsidR="009400C8">
              <w:rPr>
                <w:snapToGrid w:val="0"/>
                <w:szCs w:val="28"/>
              </w:rPr>
              <w:t>2</w:t>
            </w:r>
            <w:r w:rsidR="005B2132">
              <w:rPr>
                <w:szCs w:val="28"/>
              </w:rPr>
              <w:t xml:space="preserve">-й </w:t>
            </w:r>
            <w:r w:rsidR="005B2132">
              <w:rPr>
                <w:snapToGrid w:val="0"/>
                <w:szCs w:val="28"/>
              </w:rPr>
              <w:t>квартал</w:t>
            </w:r>
            <w:r w:rsidR="005B2132" w:rsidRPr="00F369F2">
              <w:rPr>
                <w:snapToGrid w:val="0"/>
                <w:szCs w:val="28"/>
              </w:rPr>
              <w:t xml:space="preserve"> 20</w:t>
            </w:r>
            <w:r w:rsidR="005B2132">
              <w:rPr>
                <w:snapToGrid w:val="0"/>
                <w:szCs w:val="28"/>
              </w:rPr>
              <w:t>2</w:t>
            </w:r>
            <w:r w:rsidR="00986900">
              <w:rPr>
                <w:snapToGrid w:val="0"/>
                <w:szCs w:val="28"/>
              </w:rPr>
              <w:t>6</w:t>
            </w:r>
            <w:r w:rsidR="005B2132" w:rsidRPr="00F369F2">
              <w:rPr>
                <w:snapToGrid w:val="0"/>
                <w:szCs w:val="28"/>
              </w:rPr>
              <w:t xml:space="preserve"> год</w:t>
            </w:r>
            <w:r w:rsidR="005B2132">
              <w:rPr>
                <w:snapToGrid w:val="0"/>
                <w:szCs w:val="28"/>
              </w:rPr>
              <w:t>а</w:t>
            </w:r>
          </w:p>
        </w:tc>
      </w:tr>
    </w:tbl>
    <w:p w:rsidR="005B2132" w:rsidRDefault="005B2132" w:rsidP="005B2132">
      <w:pPr>
        <w:jc w:val="both"/>
      </w:pPr>
    </w:p>
    <w:p w:rsidR="005B2132" w:rsidRPr="004E15DC" w:rsidRDefault="005B2132" w:rsidP="00B80D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572D0">
        <w:t xml:space="preserve">Ознакомившись с обзором </w:t>
      </w:r>
      <w:r w:rsidRPr="00C572D0">
        <w:rPr>
          <w:szCs w:val="28"/>
        </w:rPr>
        <w:t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</w:t>
      </w:r>
      <w:r>
        <w:rPr>
          <w:szCs w:val="28"/>
        </w:rPr>
        <w:t xml:space="preserve"> должностных лиц в</w:t>
      </w:r>
      <w:r w:rsidR="00EE4C11">
        <w:rPr>
          <w:szCs w:val="28"/>
        </w:rPr>
        <w:t>о</w:t>
      </w:r>
      <w:r w:rsidRPr="004E15DC">
        <w:rPr>
          <w:szCs w:val="28"/>
        </w:rPr>
        <w:t xml:space="preserve"> </w:t>
      </w:r>
      <w:r w:rsidR="00EE4C11">
        <w:rPr>
          <w:szCs w:val="28"/>
        </w:rPr>
        <w:t>2</w:t>
      </w:r>
      <w:r w:rsidRPr="004E15DC">
        <w:rPr>
          <w:szCs w:val="28"/>
        </w:rPr>
        <w:t>-м квартале 20</w:t>
      </w:r>
      <w:r>
        <w:rPr>
          <w:szCs w:val="28"/>
        </w:rPr>
        <w:t>2</w:t>
      </w:r>
      <w:r w:rsidR="00986900">
        <w:rPr>
          <w:szCs w:val="28"/>
        </w:rPr>
        <w:t>6</w:t>
      </w:r>
      <w:r w:rsidRPr="004E15DC">
        <w:rPr>
          <w:szCs w:val="28"/>
        </w:rPr>
        <w:t xml:space="preserve"> года;</w:t>
      </w:r>
    </w:p>
    <w:p w:rsidR="00FD5BEF" w:rsidRDefault="00FF0821" w:rsidP="00B80D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067E">
        <w:rPr>
          <w:kern w:val="28"/>
          <w:szCs w:val="28"/>
        </w:rPr>
        <w:t>отмечая, что в</w:t>
      </w:r>
      <w:r w:rsidR="00EE4C11">
        <w:rPr>
          <w:kern w:val="28"/>
          <w:szCs w:val="28"/>
        </w:rPr>
        <w:t>о</w:t>
      </w:r>
      <w:r w:rsidR="005B2132" w:rsidRPr="0065067E">
        <w:rPr>
          <w:kern w:val="28"/>
          <w:szCs w:val="28"/>
        </w:rPr>
        <w:t xml:space="preserve"> </w:t>
      </w:r>
      <w:r w:rsidR="00EE4C11">
        <w:rPr>
          <w:kern w:val="28"/>
          <w:szCs w:val="28"/>
        </w:rPr>
        <w:t>2</w:t>
      </w:r>
      <w:r w:rsidR="005B2132" w:rsidRPr="0065067E">
        <w:rPr>
          <w:kern w:val="28"/>
          <w:szCs w:val="28"/>
        </w:rPr>
        <w:t>-м квартале 202</w:t>
      </w:r>
      <w:r w:rsidR="00986900">
        <w:rPr>
          <w:kern w:val="28"/>
          <w:szCs w:val="28"/>
        </w:rPr>
        <w:t>6</w:t>
      </w:r>
      <w:r w:rsidR="005B2132" w:rsidRPr="0065067E">
        <w:rPr>
          <w:kern w:val="28"/>
          <w:szCs w:val="28"/>
        </w:rPr>
        <w:t xml:space="preserve"> года судами общей юрисдикции, </w:t>
      </w:r>
      <w:r w:rsidR="00FD5BEF" w:rsidRPr="0065067E">
        <w:rPr>
          <w:szCs w:val="28"/>
        </w:rPr>
        <w:t>арбитражными судами решения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 не выносились</w:t>
      </w:r>
      <w:r w:rsidR="008A5BAB" w:rsidRPr="0065067E">
        <w:rPr>
          <w:szCs w:val="28"/>
        </w:rPr>
        <w:t>,</w:t>
      </w:r>
    </w:p>
    <w:p w:rsidR="00724C82" w:rsidRPr="00724C82" w:rsidRDefault="00A12690" w:rsidP="00724C8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вместе с тем, </w:t>
      </w:r>
      <w:r w:rsidR="00153B1F" w:rsidRPr="00124FE1">
        <w:rPr>
          <w:szCs w:val="28"/>
        </w:rPr>
        <w:t xml:space="preserve">Законодательным Собранием Приморского края может быть учтено </w:t>
      </w:r>
      <w:r w:rsidR="00724C82" w:rsidRPr="00724C82">
        <w:rPr>
          <w:szCs w:val="28"/>
        </w:rPr>
        <w:t>кассационное определение Судебной коллегии по административным делам Третьего кассационного суда общей ю</w:t>
      </w:r>
      <w:r w:rsidR="00724C82">
        <w:rPr>
          <w:szCs w:val="28"/>
        </w:rPr>
        <w:t>рисдикции</w:t>
      </w:r>
      <w:r w:rsidR="00724C82">
        <w:rPr>
          <w:szCs w:val="28"/>
        </w:rPr>
        <w:br/>
      </w:r>
      <w:r w:rsidR="00724C82" w:rsidRPr="00724C82">
        <w:rPr>
          <w:szCs w:val="28"/>
        </w:rPr>
        <w:t>от 27 мая 2026 года № 88а-7608/2026, которым апелляционное определение судебной коллегии по административным делам Верховного Суда Республики Карелия от 24 ноября 2025 года отменено в части отказа в удовлетворении требований прокурора Кемского района Республики Карелия об изменении основания и формулировки прекращения полномочий депутата Совета Рабочеостровского сельского поселения Кемского района четвертого созыва. В остальной части апелляционное определение оставлено без изменения.</w:t>
      </w:r>
    </w:p>
    <w:p w:rsidR="00724C82" w:rsidRPr="00724C82" w:rsidRDefault="00724C82" w:rsidP="00724C8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24C82">
        <w:rPr>
          <w:szCs w:val="28"/>
        </w:rPr>
        <w:t xml:space="preserve">Так, в ходе прокурорской проверки соблюдения законодательства о противодействии коррупции выявлено наличие конфликта интересов в действиях депутата при голосовании на сессиях Совета по вопросу о внесении изменений в бюджет поселения в целях предоставления межбюджетного трансфера бюджету Кемского муниципального района на капитальный ремонт причальной стенки, арендатором которой он является, а также не направление </w:t>
      </w:r>
      <w:r w:rsidRPr="00724C82">
        <w:rPr>
          <w:szCs w:val="28"/>
        </w:rPr>
        <w:lastRenderedPageBreak/>
        <w:t xml:space="preserve">последним соответствующего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724C82" w:rsidRPr="00724C82" w:rsidRDefault="00724C82" w:rsidP="00724C8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24C82">
        <w:rPr>
          <w:szCs w:val="28"/>
        </w:rPr>
        <w:t>Прокурором в адрес председателя Совета внесено представление об устранении нарушений законодательства о противодействии коррупции, по результатам рассмотрения которого в удовлетворении требований было отказано.</w:t>
      </w:r>
    </w:p>
    <w:p w:rsidR="00724C82" w:rsidRPr="00724C82" w:rsidRDefault="00724C82" w:rsidP="00724C8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24C82">
        <w:rPr>
          <w:szCs w:val="28"/>
        </w:rPr>
        <w:t>Решением Кемского гор</w:t>
      </w:r>
      <w:r>
        <w:rPr>
          <w:szCs w:val="28"/>
        </w:rPr>
        <w:t xml:space="preserve">одского суда Республики Карелия </w:t>
      </w:r>
      <w:r w:rsidRPr="00724C82">
        <w:rPr>
          <w:szCs w:val="28"/>
        </w:rPr>
        <w:t>от 25 июля 2025 года в удовлетворении административного иска прокурора отказано.</w:t>
      </w:r>
    </w:p>
    <w:p w:rsidR="00724C82" w:rsidRPr="00724C82" w:rsidRDefault="00724C82" w:rsidP="00724C8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24C82">
        <w:rPr>
          <w:szCs w:val="28"/>
        </w:rPr>
        <w:t xml:space="preserve">Суд первой инстанции не усмотрел конфликта интересов в действиях депутата, поскольку его участие в заседаниях представительного органа местного самоуправления не повлияло и не могло повлиять на надлежащее, объективное и беспристрастное исполнение им должностных обязанностей. При этом суд исходил из того, что не направление им соответствующего уведомления о возможности возникновения личной заинтересованности в комиссию не может повлечь освобождение </w:t>
      </w:r>
      <w:r>
        <w:rPr>
          <w:szCs w:val="28"/>
        </w:rPr>
        <w:t>от должности по утрате доверия,</w:t>
      </w:r>
      <w:r>
        <w:rPr>
          <w:szCs w:val="28"/>
        </w:rPr>
        <w:br/>
      </w:r>
      <w:r w:rsidRPr="00724C82">
        <w:rPr>
          <w:szCs w:val="28"/>
        </w:rPr>
        <w:t>а кроме того, депутат, голосуя против выделения денежных средств администрации района, тем самым исключил наличие конфликта интересов, в связи с чем действия Совета в непринятии мер к досрочному прекращению полномочий депутата Совета признал законными.</w:t>
      </w:r>
    </w:p>
    <w:p w:rsidR="00724C82" w:rsidRPr="00724C82" w:rsidRDefault="00724C82" w:rsidP="00724C8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24C82">
        <w:rPr>
          <w:szCs w:val="28"/>
        </w:rPr>
        <w:t xml:space="preserve">Апелляционным определением судебной коллегии по административным делам Верховного Суда </w:t>
      </w:r>
      <w:r>
        <w:rPr>
          <w:szCs w:val="28"/>
        </w:rPr>
        <w:t>Республики Карелия</w:t>
      </w:r>
      <w:r>
        <w:rPr>
          <w:szCs w:val="28"/>
        </w:rPr>
        <w:br/>
      </w:r>
      <w:r w:rsidRPr="00724C82">
        <w:rPr>
          <w:szCs w:val="28"/>
        </w:rPr>
        <w:t>от 24 ноября 2025 года решение Кемского городского суда Республики Карелия от 25 июля 2025 года отменено.</w:t>
      </w:r>
    </w:p>
    <w:p w:rsidR="00724C82" w:rsidRPr="00724C82" w:rsidRDefault="00724C82" w:rsidP="00724C8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24C82">
        <w:rPr>
          <w:szCs w:val="28"/>
        </w:rPr>
        <w:t>Принято по делу новое решение, которым административный иск прокурора Кемского района к Совету Рабочеостровского сельского поселения удовлетворен частично.</w:t>
      </w:r>
    </w:p>
    <w:p w:rsidR="00724C82" w:rsidRPr="00724C82" w:rsidRDefault="00724C82" w:rsidP="00724C8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24C82">
        <w:rPr>
          <w:szCs w:val="28"/>
        </w:rPr>
        <w:t xml:space="preserve">Признано наличие конфликта интересов в деятельности депутата Совета Рабочеостровского сельского поселения четвертого созыва по участию на сессиях Совета Рабочеостровского сельского поселения при рассмотрении вопроса о выделении </w:t>
      </w:r>
      <w:proofErr w:type="spellStart"/>
      <w:r w:rsidRPr="00724C82">
        <w:rPr>
          <w:szCs w:val="28"/>
        </w:rPr>
        <w:t>Кемскому</w:t>
      </w:r>
      <w:proofErr w:type="spellEnd"/>
      <w:r w:rsidRPr="00724C82">
        <w:rPr>
          <w:szCs w:val="28"/>
        </w:rPr>
        <w:t xml:space="preserve"> муниципальному району средств на ремонт причальной стенки. Также признано незаконным бездействие депутата Совета Рабочеостровского сельского поселения четвертого созыва, выразившееся в непринятии мер к предотвращению или урегулированию конфликта интересов. В удовлетворении административного искового заявления в части изменения основания и формулировки прекращения полномочий депутата отказано.</w:t>
      </w:r>
    </w:p>
    <w:p w:rsidR="00724C82" w:rsidRPr="00724C82" w:rsidRDefault="00724C82" w:rsidP="00724C8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24C82">
        <w:rPr>
          <w:szCs w:val="28"/>
        </w:rPr>
        <w:t>Судебная коллегия по административным делам Третьего кассационного суда общей юрисдикции, соглашаясь с выводами суда апелляционной инстанции, указала, что требования законодательства по предотвращению или урегулированию конфликта интересов обязывают лицо, занимающее выборную должность, вынести на обсуждение депутатов вопрос о наличии конфликта интересов вне зависимости от последующего решения депутатов (соответствующей комиссии) об участии такого лица в голосовании.</w:t>
      </w:r>
    </w:p>
    <w:p w:rsidR="00724C82" w:rsidRPr="00724C82" w:rsidRDefault="00724C82" w:rsidP="00724C8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24C82">
        <w:rPr>
          <w:szCs w:val="28"/>
        </w:rPr>
        <w:lastRenderedPageBreak/>
        <w:t>Таким образом, депутат представительного органа муниципального образования был обязан сообщить в установленном порядке о возникновении конфликта интересов при осуществлении своих полномочий, а также принять меры по предотвращению или урегулированию такого конфликта. Однако указанные действия, как установлено судом апелляционной инстанции, он не совершил, требования закона не исполнил.</w:t>
      </w:r>
    </w:p>
    <w:p w:rsidR="00724C82" w:rsidRPr="00724C82" w:rsidRDefault="00724C82" w:rsidP="00724C8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24C82">
        <w:rPr>
          <w:szCs w:val="28"/>
        </w:rPr>
        <w:t>Доводы депутата о том, что он голосовал против принятых Советом решений, не имеют правового значения, не свидетельствуют о принятии с его стороны мер по предотвращению (урегулированию) конфликта интересов.</w:t>
      </w:r>
    </w:p>
    <w:p w:rsidR="00724C82" w:rsidRPr="00724C82" w:rsidRDefault="00724C82" w:rsidP="00724C8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24C82">
        <w:rPr>
          <w:szCs w:val="28"/>
        </w:rPr>
        <w:t>В связи с изложенным, участие депутата в заседании представительного органа местного самоуправления, голосование по вопросу выделения бюджетных средств на арендуемое им имущество, в результате которого принято коллегиальное решение, является, по мнению суда, основанием для вывода о возникновении конфликта интересов, обусловленного прямо или косвенно статусом депутата в представительном органе, реализованного с использованием возможностей депутата, и о нарушении им требований законодательства по урегулированию конфликта интересов.</w:t>
      </w:r>
    </w:p>
    <w:p w:rsidR="00724C82" w:rsidRPr="00724C82" w:rsidRDefault="00724C82" w:rsidP="00724C8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24C82">
        <w:rPr>
          <w:szCs w:val="28"/>
        </w:rPr>
        <w:t>Кроме того, Судебной коллегией по административным делам Третьего кассационного суда общей юрисдикции изменено основание и формулировка прекращения полномочий депутата Совета Рабочеостровского сельского поселения Кемского района четвертого созыва на "прекращение полномочий в связи с утратой доверия в соответствии с частью 7.1 статьи 40 Федерального закона от 6 октября 2003 года № 131-ФЗ "Об общих принципах организации местного самоуправления в Российско</w:t>
      </w:r>
      <w:r>
        <w:rPr>
          <w:szCs w:val="28"/>
        </w:rPr>
        <w:t>й Федерации", пунктом 2 части 1</w:t>
      </w:r>
      <w:r>
        <w:rPr>
          <w:szCs w:val="28"/>
        </w:rPr>
        <w:br/>
      </w:r>
      <w:r w:rsidRPr="00724C82">
        <w:rPr>
          <w:szCs w:val="28"/>
        </w:rPr>
        <w:t xml:space="preserve">статьи 13.1 Федерального закона от </w:t>
      </w:r>
      <w:r>
        <w:rPr>
          <w:szCs w:val="28"/>
        </w:rPr>
        <w:t>25 декабря 2008 года № 273-ФЗ</w:t>
      </w:r>
      <w:r>
        <w:rPr>
          <w:szCs w:val="28"/>
        </w:rPr>
        <w:br/>
      </w:r>
      <w:r w:rsidRPr="00724C82">
        <w:rPr>
          <w:szCs w:val="28"/>
        </w:rPr>
        <w:t>"О противодействии коррупции".</w:t>
      </w:r>
    </w:p>
    <w:p w:rsidR="00724C82" w:rsidRPr="00724C82" w:rsidRDefault="00724C82" w:rsidP="00724C8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24C82">
        <w:rPr>
          <w:szCs w:val="28"/>
        </w:rPr>
        <w:t>Несмотря на установление у депутата Совета четвертого созыва конфликта интересов и признание незаконным непринятие им мер к его разрешению, суд апелляционной инстанции не нашел оснований для удовлетворения требований прокурора об изменении основания и формулировки прекращения полномочий депутата Совета четвертого созыва с "истечение срока избрания" на "утрату доверия", ссылаясь на то обстоятельство, что полномочия депутата Совета четвертого созыва истекли в силу избрания депутатов Совета пятого созыва. По мнению суда апелляционной инстанции, Совет пятого созыва не имеет полномочий по изменению формулировки прекращения полномочий депутатов Совета четвертого созыва.</w:t>
      </w:r>
    </w:p>
    <w:p w:rsidR="00724C82" w:rsidRPr="00724C82" w:rsidRDefault="00724C82" w:rsidP="00724C8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24C82">
        <w:rPr>
          <w:szCs w:val="28"/>
        </w:rPr>
        <w:t>В то же время, по мнению Судебной коллегии по административным делам Третьего кассационного суда общей юрисдикции, досрочное прекращение полномочий лица, замещающего публичную должность, в том числе выборную, вследствие нарушения запрета (несоблюдения требования), связанного с его публично-правовым статусом (о признании этих полномочий прекращенными досрочно), по основанию утраты доверия в связи с непринятием указанных выше мер при конфликте интересов допускается после прекращения данных полномочий по иным основаниям.</w:t>
      </w:r>
    </w:p>
    <w:p w:rsidR="00724C82" w:rsidRPr="00724C82" w:rsidRDefault="00724C82" w:rsidP="00724C8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24C82">
        <w:rPr>
          <w:szCs w:val="28"/>
        </w:rPr>
        <w:lastRenderedPageBreak/>
        <w:t>Ни положения статьи 13.5 Федерального закона от 25 декабря 2008 года № 273-ФЗ "О противодействии коррупции", ни положения иных законодательных актов не содержат запрета на изменение оснований и формулировки прекращения полномочий депутата представительного органа в связи с истечением полномочий прежнего состава представительного органа.</w:t>
      </w:r>
    </w:p>
    <w:p w:rsidR="00FF0821" w:rsidRPr="0065067E" w:rsidRDefault="00724C82" w:rsidP="00B80D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Р</w:t>
      </w:r>
      <w:r w:rsidR="00FF0821" w:rsidRPr="0065067E">
        <w:rPr>
          <w:szCs w:val="28"/>
        </w:rPr>
        <w:t>уководствуясь положениями части 2</w:t>
      </w:r>
      <w:r w:rsidR="00FF0821" w:rsidRPr="0065067E">
        <w:rPr>
          <w:szCs w:val="28"/>
          <w:vertAlign w:val="superscript"/>
        </w:rPr>
        <w:t>1</w:t>
      </w:r>
      <w:r w:rsidR="00FF0821" w:rsidRPr="0065067E">
        <w:rPr>
          <w:szCs w:val="28"/>
        </w:rPr>
        <w:t xml:space="preserve"> статьи 2 Закона Приморского края от 10 марта 2009 года № 387-КЗ "О противодействии коррупции в Приморском крае", комитет</w:t>
      </w:r>
    </w:p>
    <w:p w:rsidR="00B7081E" w:rsidRDefault="00B7081E" w:rsidP="00B80D4A">
      <w:pPr>
        <w:ind w:firstLine="709"/>
        <w:jc w:val="both"/>
      </w:pPr>
    </w:p>
    <w:p w:rsidR="005B2132" w:rsidRDefault="005B2132" w:rsidP="00B80D4A">
      <w:pPr>
        <w:jc w:val="both"/>
      </w:pPr>
      <w:r>
        <w:t>РЕШИЛ:</w:t>
      </w:r>
    </w:p>
    <w:p w:rsidR="005B2132" w:rsidRDefault="005B2132" w:rsidP="00B80D4A">
      <w:pPr>
        <w:ind w:firstLine="709"/>
        <w:jc w:val="both"/>
      </w:pPr>
    </w:p>
    <w:p w:rsidR="005B2132" w:rsidRPr="00C572D0" w:rsidRDefault="005B2132" w:rsidP="00B80D4A">
      <w:pPr>
        <w:ind w:firstLine="709"/>
        <w:jc w:val="both"/>
      </w:pPr>
      <w:r w:rsidRPr="00A43FE9">
        <w:t xml:space="preserve">Принять к сведению и учитывать в работе информацию, изложенную в обзоре правоприменительной практики </w:t>
      </w:r>
      <w:r w:rsidRPr="00A43FE9">
        <w:rPr>
          <w:szCs w:val="28"/>
        </w:rPr>
        <w:t xml:space="preserve">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 за </w:t>
      </w:r>
      <w:r w:rsidR="009400C8">
        <w:rPr>
          <w:szCs w:val="28"/>
        </w:rPr>
        <w:t>2</w:t>
      </w:r>
      <w:r w:rsidRPr="00A43FE9">
        <w:rPr>
          <w:szCs w:val="28"/>
        </w:rPr>
        <w:t>-й квартал 20</w:t>
      </w:r>
      <w:r>
        <w:rPr>
          <w:szCs w:val="28"/>
        </w:rPr>
        <w:t>2</w:t>
      </w:r>
      <w:r w:rsidR="00986900">
        <w:rPr>
          <w:szCs w:val="28"/>
        </w:rPr>
        <w:t>6</w:t>
      </w:r>
      <w:r w:rsidRPr="00A43FE9">
        <w:rPr>
          <w:szCs w:val="28"/>
        </w:rPr>
        <w:t xml:space="preserve"> года.</w:t>
      </w:r>
    </w:p>
    <w:p w:rsidR="005B2132" w:rsidRDefault="005B2132" w:rsidP="005B2132">
      <w:pPr>
        <w:jc w:val="both"/>
        <w:rPr>
          <w:snapToGrid w:val="0"/>
          <w:szCs w:val="28"/>
        </w:rPr>
      </w:pPr>
    </w:p>
    <w:p w:rsidR="005B2132" w:rsidRDefault="005B2132" w:rsidP="005B2132">
      <w:pPr>
        <w:jc w:val="both"/>
        <w:rPr>
          <w:snapToGrid w:val="0"/>
          <w:szCs w:val="28"/>
        </w:rPr>
      </w:pPr>
    </w:p>
    <w:p w:rsidR="005B2132" w:rsidRDefault="005B2132" w:rsidP="005B2132">
      <w:pPr>
        <w:jc w:val="both"/>
      </w:pPr>
    </w:p>
    <w:p w:rsidR="00511740" w:rsidRPr="00511740" w:rsidRDefault="00511740" w:rsidP="00511740">
      <w:pPr>
        <w:jc w:val="both"/>
      </w:pPr>
      <w:r w:rsidRPr="00511740">
        <w:t>Председатель</w:t>
      </w:r>
      <w:r w:rsidR="00B80D4A">
        <w:t xml:space="preserve"> </w:t>
      </w:r>
      <w:r w:rsidR="00CA3F02">
        <w:t xml:space="preserve"> </w:t>
      </w:r>
      <w:r w:rsidRPr="00511740">
        <w:t xml:space="preserve">комитета </w:t>
      </w:r>
      <w:r w:rsidRPr="00511740">
        <w:tab/>
      </w:r>
      <w:r w:rsidRPr="00511740">
        <w:tab/>
      </w:r>
      <w:r w:rsidRPr="00511740">
        <w:tab/>
      </w:r>
      <w:r w:rsidRPr="00511740">
        <w:tab/>
      </w:r>
      <w:r w:rsidRPr="00511740">
        <w:tab/>
      </w:r>
      <w:r w:rsidRPr="00511740">
        <w:tab/>
      </w:r>
      <w:r w:rsidRPr="00511740">
        <w:tab/>
      </w:r>
      <w:r w:rsidR="00B80D4A">
        <w:t>Д.А. Текиев</w:t>
      </w:r>
    </w:p>
    <w:p w:rsidR="00987D16" w:rsidRDefault="00987D16" w:rsidP="00511740"/>
    <w:sectPr w:rsidR="00987D16" w:rsidSect="00E46E48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568" w:rsidRDefault="00125678">
      <w:r>
        <w:separator/>
      </w:r>
    </w:p>
  </w:endnote>
  <w:endnote w:type="continuationSeparator" w:id="0">
    <w:p w:rsidR="00334568" w:rsidRDefault="00125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568" w:rsidRDefault="00125678">
      <w:r>
        <w:separator/>
      </w:r>
    </w:p>
  </w:footnote>
  <w:footnote w:type="continuationSeparator" w:id="0">
    <w:p w:rsidR="00334568" w:rsidRDefault="00125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12567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B5723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4A1" w:rsidRPr="009616CE" w:rsidRDefault="005510BE" w:rsidP="00B7081E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132"/>
    <w:rsid w:val="00073F79"/>
    <w:rsid w:val="000B4567"/>
    <w:rsid w:val="000F5CFE"/>
    <w:rsid w:val="00125678"/>
    <w:rsid w:val="00153B1F"/>
    <w:rsid w:val="00156180"/>
    <w:rsid w:val="00272482"/>
    <w:rsid w:val="00334568"/>
    <w:rsid w:val="0037748E"/>
    <w:rsid w:val="004B30DE"/>
    <w:rsid w:val="004B5723"/>
    <w:rsid w:val="00511740"/>
    <w:rsid w:val="00534382"/>
    <w:rsid w:val="005510BE"/>
    <w:rsid w:val="00557373"/>
    <w:rsid w:val="005B2132"/>
    <w:rsid w:val="006403A4"/>
    <w:rsid w:val="0065067E"/>
    <w:rsid w:val="00724C82"/>
    <w:rsid w:val="007D4B90"/>
    <w:rsid w:val="00851082"/>
    <w:rsid w:val="008A5BAB"/>
    <w:rsid w:val="009400C8"/>
    <w:rsid w:val="009616CE"/>
    <w:rsid w:val="00986900"/>
    <w:rsid w:val="00987D16"/>
    <w:rsid w:val="009C6B5F"/>
    <w:rsid w:val="009E19A3"/>
    <w:rsid w:val="00A12690"/>
    <w:rsid w:val="00A727A6"/>
    <w:rsid w:val="00A7731D"/>
    <w:rsid w:val="00B7081E"/>
    <w:rsid w:val="00B80D4A"/>
    <w:rsid w:val="00C2058E"/>
    <w:rsid w:val="00CA3F02"/>
    <w:rsid w:val="00CB336A"/>
    <w:rsid w:val="00CB500D"/>
    <w:rsid w:val="00D5125E"/>
    <w:rsid w:val="00DA7BD0"/>
    <w:rsid w:val="00DD3509"/>
    <w:rsid w:val="00E43FB6"/>
    <w:rsid w:val="00EE4C11"/>
    <w:rsid w:val="00FD5BEF"/>
    <w:rsid w:val="00FF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DD63E1"/>
  <w15:docId w15:val="{8314CF44-48AE-4C63-A5C5-01470B2CD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132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B21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B2132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B2132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B2132"/>
    <w:rPr>
      <w:rFonts w:eastAsia="Times New Roman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rsid w:val="005B213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2132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727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27A6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5737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3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5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16</cp:revision>
  <cp:lastPrinted>2022-10-25T07:11:00Z</cp:lastPrinted>
  <dcterms:created xsi:type="dcterms:W3CDTF">2024-01-19T04:03:00Z</dcterms:created>
  <dcterms:modified xsi:type="dcterms:W3CDTF">2026-07-13T23:33:00Z</dcterms:modified>
</cp:coreProperties>
</file>