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ПОЯСНИТЕЛЬНАЯ ЗАПИСКА</w:t>
      </w:r>
    </w:p>
    <w:p>
      <w:pPr>
        <w:pStyle w:val="Normal"/>
        <w:widowControl w:val="false"/>
        <w:spacing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</w:p>
    <w:p>
      <w:pPr>
        <w:pStyle w:val="Normal"/>
        <w:widowControl w:val="false"/>
        <w:spacing w:lineRule="auto" w:line="240" w:before="0" w:after="0"/>
        <w:jc w:val="center"/>
        <w:rPr/>
      </w:pPr>
      <w:r>
        <w:rPr>
          <w:rFonts w:ascii="Times New Roman" w:hAnsi="Times New Roman"/>
          <w:sz w:val="28"/>
        </w:rPr>
        <w:t>к проекту закона Приморского края</w:t>
      </w:r>
    </w:p>
    <w:p>
      <w:pPr>
        <w:pStyle w:val="Normal"/>
        <w:widowControl w:val="false"/>
        <w:spacing w:lineRule="auto" w:line="240" w:before="0" w:after="0"/>
        <w:jc w:val="center"/>
        <w:rPr/>
      </w:pPr>
      <w:r>
        <w:rPr>
          <w:rFonts w:ascii="Times New Roman" w:hAnsi="Times New Roman"/>
          <w:color w:val="000000"/>
          <w:sz w:val="28"/>
        </w:rPr>
        <w:t xml:space="preserve">«О внесении изменения в Закон Приморского края </w:t>
      </w:r>
    </w:p>
    <w:p>
      <w:pPr>
        <w:pStyle w:val="Normal"/>
        <w:widowControl w:val="false"/>
        <w:spacing w:lineRule="auto" w:line="240" w:before="0" w:after="0"/>
        <w:jc w:val="center"/>
        <w:rPr/>
      </w:pPr>
      <w:r>
        <w:rPr>
          <w:rFonts w:ascii="Times New Roman" w:hAnsi="Times New Roman"/>
          <w:b w:val="false"/>
          <w:color w:val="000000"/>
          <w:sz w:val="28"/>
        </w:rPr>
        <w:t xml:space="preserve">«О налоге на имущество </w:t>
      </w:r>
      <w:r>
        <w:rPr>
          <w:rFonts w:eastAsia="Calibri" w:ascii="Times New Roman" w:hAnsi="Times New Roman"/>
          <w:b w:val="false"/>
          <w:bCs w:val="false"/>
          <w:iCs/>
          <w:color w:val="000000"/>
          <w:sz w:val="28"/>
          <w:szCs w:val="28"/>
          <w:lang w:eastAsia="en-US"/>
        </w:rPr>
        <w:t>организаций</w:t>
      </w:r>
      <w:r>
        <w:rPr>
          <w:rFonts w:ascii="Times New Roman" w:hAnsi="Times New Roman"/>
          <w:b w:val="false"/>
          <w:color w:val="000000"/>
          <w:sz w:val="28"/>
        </w:rPr>
        <w:t>»</w:t>
      </w:r>
    </w:p>
    <w:p>
      <w:pPr>
        <w:pStyle w:val="Normal"/>
        <w:widowControl w:val="false"/>
        <w:spacing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uppressAutoHyphens w:val="true"/>
        <w:bidi w:val="0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en-US" w:bidi="ar-SA"/>
        </w:rPr>
        <w:t xml:space="preserve">Законопроект подготовлен по результатам оценки бюджетной эффективности налоговых расходов Приморского края, а также </w:t>
      </w:r>
      <w:r>
        <w:rPr>
          <w:rStyle w:val="Hyperlink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u w:val="none" w:color="000000"/>
          <w:shd w:fill="auto" w:val="clear"/>
          <w:vertAlign w:val="baseline"/>
          <w:lang w:val="ru-RU" w:eastAsia="en-US" w:bidi="ar-SA"/>
        </w:rPr>
        <w:t>в рамках</w:t>
      </w:r>
      <w:r>
        <w:rPr>
          <w:rStyle w:val="Hyperlink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en-US" w:bidi="ar-SA"/>
        </w:rPr>
        <w:t xml:space="preserve"> проработки мер по увеличению доходной части краевого бюджета в части об</w:t>
      </w:r>
      <w:r>
        <w:rPr>
          <w:rStyle w:val="Hyperlink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en-US" w:bidi="ar-SA"/>
        </w:rPr>
        <w:t>еспечения поступления налога на имущество организаций.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>Частью 2 статьи 2</w:t>
      </w:r>
      <w:r>
        <w:rPr>
          <w:rStyle w:val="Hyperlink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>¹</w:t>
      </w:r>
      <w:r>
        <w:rPr>
          <w:rStyle w:val="Hyperlink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 xml:space="preserve"> </w:t>
      </w:r>
      <w:r>
        <w:rPr>
          <w:rStyle w:val="Hyperlink"/>
          <w:rFonts w:eastAsia="Calibri" w:cs="Times New Roman" w:eastAsiaTheme="minorHAns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en-US" w:bidi="ar-SA"/>
        </w:rPr>
        <w:t>Закона Приморского края от 28.11.2003 № 82-КЗ «</w:t>
      </w:r>
      <w:r>
        <w:rPr>
          <w:rStyle w:val="Hyperlink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en-US" w:bidi="ar-SA"/>
        </w:rPr>
        <w:t xml:space="preserve">О налоге на имущество </w:t>
      </w:r>
      <w:r>
        <w:rPr>
          <w:rStyle w:val="Hyperlink"/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en-US" w:bidi="ar-SA"/>
        </w:rPr>
        <w:t>организаций</w:t>
      </w:r>
      <w:r>
        <w:rPr>
          <w:rStyle w:val="Hyperlink"/>
          <w:rFonts w:eastAsia="Calibri" w:cs="Times New Roman" w:eastAsiaTheme="minorHAns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en-US" w:bidi="ar-SA"/>
        </w:rPr>
        <w:t>» (далее - Закон № 82-КЗ) установлена пониженная налоговая ставка налога на имущество организаций для налогоплательщиков, реализовавших инвестиционные проекты на территории Приморского края, в отношении имущества, вновь созданного и (или) приобретенного в целях реализации инвестиционного проекта и не входящего в состав налоговой базы до начала реализации такого инвестиционного проекта: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 w:eastAsiaTheme="minorHAns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>1) 0 процентов - на пять лет с месяца, следующего за месяцем постановки такого имущества на баланс организации;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 w:eastAsiaTheme="minorHAns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 xml:space="preserve">2) 0,5 процента - в течение последующих пяти лет с месяца, следующего за месяцем, в котором прекратила действие налоговая ставка в размере 0 процентов. 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 w:eastAsiaTheme="minorHAns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>При этом объем капитальных вложений в реалиованный инвестиционный проект не может быть менее: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 w:eastAsiaTheme="minorHAns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 xml:space="preserve">50 млн рублей при условии осуществления капитальных вложений в срок, не превышающий трех последовательных лет; 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 w:eastAsiaTheme="minorHAns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>500 млн рублей при условии осуществления капитальных вложений в срок, не превышающий пяти последовательных лет.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en-US" w:bidi="ar-SA"/>
        </w:rPr>
        <w:t>Министерством экономического развития в соответствии с подпунктом 4.3 пункта 4 постановления Администрации Приморского края от 24.12.2019 № 866-па «Об утверждении Порядка оценки налоговых расходов Приморского края и Порядка формирования перечня налоговых расходов Приморского края» проведена оценка эффективности курируемых налоговых льгот за 2024 год.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>По результатам проведенной оценки бюджетный эффект (самоокупаемость) налогового расхода, установленного частью 2 статьи 2</w:t>
      </w:r>
      <w:r>
        <w:rPr>
          <w:rStyle w:val="Hyperlink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>¹</w:t>
      </w:r>
      <w:r>
        <w:rPr>
          <w:rStyle w:val="Hyperlink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 xml:space="preserve"> </w:t>
      </w:r>
      <w:r>
        <w:rPr>
          <w:rStyle w:val="Hyperlink"/>
          <w:rFonts w:eastAsia="Calibri" w:cs="Times New Roman" w:eastAsiaTheme="minorHAns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en-US" w:bidi="ar-SA"/>
        </w:rPr>
        <w:t>Закона № 82-КЗ,</w:t>
      </w:r>
      <w:r>
        <w:rPr>
          <w:rStyle w:val="Hyperlink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 xml:space="preserve"> принимает отрицательное значение, соответственно, указанная налоговая льгота является неэффективной. 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>По информации, представленной УФНС по Приморскому краю, сумма выпадающих доходов в связи с применением данной льготы составила: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>2023 - 160 573 тыс.руб., воспользовались 8 налогоплательщиков;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>2024 - 183 304 тыс.руб., воспользовались 9 налогоплательщиков;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>2025 - 153 081 тыс.руб., воспользовались 8 налогоплательщиков.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 xml:space="preserve">Для налогоплательщиков, реализующих инвестиционные проекты на территории Приморского края, предусмотрен ряд налоговых и административных преференций: для организаций, являющихся резидентами территории опережающего развития и свободного порта Владивосток - пониженные налоговые ставки по налогу на имущество организаций, налогу на прибыль и земельному налогу; </w:t>
      </w:r>
      <w:r>
        <w:rPr>
          <w:rStyle w:val="Hyperlink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>для международных холдинговых компаний, зарегистрированных на территории специального административного района о. Русский - освобождение от уплаты налога на имущество, используемого в реализации проектов по геологическому изучению, разведке, добыче полезных ископаемых, а также исключение из налоговой базы по налогу на прибыль доходов (расходов) от реализации таких проектов (при определенных условиях); Совет по привлечению инвестиций в экономику Приморского края при Губернаторе Приморского края поддерживает реализацию инвестиционных проектов и признает их приоритетными для края - таким образом, указанные проекты получают имущественную поддержку в форме предоставления земельных участков в аренду без торгов и (или) возможность применить инвестиционный налоговый вычет по налогу на прибыль.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 xml:space="preserve">Учитывая изложенное, а также бюджетную неэффективность указанной налоговой льготы, законопроектом предлагается исключить </w:t>
      </w:r>
      <w:r>
        <w:rPr>
          <w:rStyle w:val="Hyperlink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>часть 2 статьи 2</w:t>
      </w:r>
      <w:r>
        <w:rPr>
          <w:rStyle w:val="Hyperlink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>¹</w:t>
      </w:r>
      <w:r>
        <w:rPr>
          <w:rStyle w:val="Hyperlink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 xml:space="preserve"> </w:t>
      </w:r>
      <w:r>
        <w:rPr>
          <w:rStyle w:val="Hyperlink"/>
          <w:rFonts w:eastAsia="Calibri" w:cs="Times New Roman" w:eastAsiaTheme="minorHAns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en-US" w:bidi="ar-SA"/>
        </w:rPr>
        <w:t>Закона № 82-КЗ.</w:t>
      </w:r>
      <w:r>
        <w:rPr>
          <w:rStyle w:val="Hyperlink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 xml:space="preserve"> </w:t>
      </w:r>
    </w:p>
    <w:p>
      <w:pPr>
        <w:pStyle w:val="Normal"/>
        <w:widowControl w:val="false"/>
        <w:suppressAutoHyphens w:val="true"/>
        <w:spacing w:lineRule="exact" w:line="454" w:before="0" w:after="0"/>
        <w:ind w:firstLine="737" w:left="0" w:right="0"/>
        <w:jc w:val="both"/>
        <w:rPr/>
      </w:pPr>
      <w:r>
        <w:rPr>
          <w:rStyle w:val="Hyperlink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w w:val="100"/>
          <w:position w:val="0"/>
          <w:sz w:val="28"/>
          <w:sz w:val="28"/>
          <w:szCs w:val="28"/>
          <w:u w:val="none"/>
          <w:shd w:fill="auto" w:val="clear"/>
          <w:vertAlign w:val="baseline"/>
          <w:lang w:eastAsia="en-US" w:bidi="ar-SA"/>
        </w:rPr>
        <w:t>Законопроект не содержит коррупциогенных факторов.</w:t>
      </w:r>
    </w:p>
    <w:tbl>
      <w:tblPr>
        <w:tblStyle w:val="Style_4"/>
        <w:tblW w:w="10174" w:type="dxa"/>
        <w:jc w:val="left"/>
        <w:tblInd w:w="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0"/>
        <w:gridCol w:w="3263"/>
      </w:tblGrid>
      <w:tr>
        <w:trPr/>
        <w:tc>
          <w:tcPr>
            <w:tcW w:w="6910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 xml:space="preserve">Заместитель Председателя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 xml:space="preserve">Правительства </w:t>
            </w: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Приморского края</w:t>
            </w:r>
          </w:p>
        </w:tc>
        <w:tc>
          <w:tcPr>
            <w:tcW w:w="3263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 xml:space="preserve">                      </w:t>
            </w: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Н.И. Стецко</w:t>
            </w:r>
          </w:p>
        </w:tc>
      </w:tr>
    </w:tbl>
    <w:p>
      <w:pPr>
        <w:pStyle w:val="Normal"/>
        <w:keepNext w:val="false"/>
        <w:widowControl w:val="false"/>
        <w:spacing w:lineRule="auto" w:line="360" w:before="0" w:after="0"/>
        <w:ind w:hanging="0" w:left="0" w:right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000000"/>
          <w:spacing w:val="0"/>
          <w:sz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63" w:right="543" w:gutter="0" w:header="250" w:top="763" w:footer="0" w:bottom="575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0" w:name="PageNumWizard_HEADER_Базовый2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bookmarkEnd w:id="0"/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</w:rPr>
    </w:pPr>
    <w:r>
      <w:rPr>
        <w:rFonts w:ascii="Times New Roman" w:hAnsi="Times New Roman"/>
      </w:rPr>
    </w:r>
  </w:p>
</w:hdr>
</file>

<file path=word/settings.xml><?xml version="1.0" encoding="utf-8"?>
<w:settings xmlns:w="http://schemas.openxmlformats.org/wordprocessingml/2006/main">
  <w:zoom w:percent="84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 Devanagari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64" w:before="0" w:after="16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Style9">
    <w:name w:val="Заголовок"/>
    <w:link w:val="11111111111111"/>
    <w:qFormat/>
    <w:rPr>
      <w:rFonts w:ascii="PT Astra Serif" w:hAnsi="PT Astra Serif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ListParagraph">
    <w:name w:val="List Paragraph"/>
    <w:link w:val="ListParagraph1"/>
    <w:qFormat/>
    <w:rPr/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rFonts w:ascii="Times New Roman" w:hAnsi="Times New Roman"/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Style10">
    <w:name w:val="Указатель"/>
    <w:link w:val="11111111111112"/>
    <w:qFormat/>
    <w:rPr>
      <w:rFonts w:ascii="PT Astra Serif" w:hAnsi="PT Astra Serif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Textbody">
    <w:name w:val="Text body"/>
    <w:qFormat/>
    <w:rPr/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List1">
    <w:name w:val="List1"/>
    <w:basedOn w:val="Textbody"/>
    <w:qFormat/>
    <w:rPr>
      <w:rFonts w:ascii="PT Astra Serif" w:hAnsi="PT Astra Serif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aption1">
    <w:name w:val="Caption1"/>
    <w:qFormat/>
    <w:rPr>
      <w:rFonts w:ascii="PT Astra Serif" w:hAnsi="PT Astra Serif"/>
      <w:i/>
      <w:sz w:val="24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character" w:styleId="user">
    <w:name w:val="Символ нумерации (user)"/>
    <w:qFormat/>
    <w:rPr/>
  </w:style>
  <w:style w:type="paragraph" w:styleId="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spacing w:before="120" w:after="120"/>
    </w:pPr>
    <w:rPr>
      <w:rFonts w:ascii="PT Astra Serif" w:hAnsi="PT Astra Serif"/>
      <w:i/>
      <w:sz w:val="24"/>
    </w:rPr>
  </w:style>
  <w:style w:type="paragraph" w:styleId="11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">
    <w:name w:val="Заголовок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">
    <w:name w:val="Указатель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">
    <w:name w:val="Заголовок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2">
    <w:name w:val="Указатель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1">
    <w:name w:val="Заголовок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12">
    <w:name w:val="Указатель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11">
    <w:name w:val="Заголовок1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112">
    <w:name w:val="Указатель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111">
    <w:name w:val="Заголовок11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1112">
    <w:name w:val="Указатель1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1111">
    <w:name w:val="Заголовок111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11112">
    <w:name w:val="Указатель11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11111">
    <w:name w:val="Заголовок1111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111112">
    <w:name w:val="Указатель111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111111">
    <w:name w:val="Заголовок11111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1111112">
    <w:name w:val="Указатель1111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1111111">
    <w:name w:val="Заголовок111111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11111112">
    <w:name w:val="Указатель11111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11111111">
    <w:name w:val="Заголовок1111111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111111112">
    <w:name w:val="Указатель111111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111111111">
    <w:name w:val="Заголовок11111111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1111111112">
    <w:name w:val="Указатель1111111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1111111111">
    <w:name w:val="Заголовок1111111111111"/>
    <w:basedOn w:val="Normal"/>
    <w:next w:val="BodyText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11111111111112">
    <w:name w:val="Указатель1111111111111"/>
    <w:basedOn w:val="Normal"/>
    <w:qFormat/>
    <w:pPr/>
    <w:rPr>
      <w:rFonts w:ascii="PT Astra Serif" w:hAnsi="PT Astra Serif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1">
    <w:name w:val="List Paragraph1"/>
    <w:basedOn w:val="Normal"/>
    <w:link w:val="ListParagraph"/>
    <w:qFormat/>
    <w:pPr>
      <w:spacing w:before="0" w:after="160"/>
      <w:ind w:hanging="0" w:left="720" w:right="0"/>
      <w:contextualSpacing/>
    </w:pPr>
    <w:rPr/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yle11">
    <w:name w:val="Колонтитул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-">
    <w:name w:val="Интернет-ссылка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HeaderandFooter1">
    <w:name w:val="Header and Footer1"/>
    <w:basedOn w:val="Normal"/>
    <w:qFormat/>
    <w:pPr/>
    <w:rPr/>
  </w:style>
  <w:style w:type="paragraph" w:styleId="HeaderandFooter2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andFooter4">
    <w:name w:val="Header and Footer4"/>
    <w:basedOn w:val="Normal"/>
    <w:qFormat/>
    <w:pPr/>
    <w:rPr/>
  </w:style>
  <w:style w:type="paragraph" w:styleId="HeaderandFooter5">
    <w:name w:val="Header and Footer5"/>
    <w:basedOn w:val="Normal"/>
    <w:qFormat/>
    <w:pPr/>
    <w:rPr/>
  </w:style>
  <w:style w:type="paragraph" w:styleId="HeaderandFooter6">
    <w:name w:val="Header and Footer6"/>
    <w:basedOn w:val="Normal"/>
    <w:qFormat/>
    <w:pPr/>
    <w:rPr/>
  </w:style>
  <w:style w:type="paragraph" w:styleId="Style12">
    <w:name w:val="Колонтитулы"/>
    <w:basedOn w:val="Normal"/>
    <w:qFormat/>
    <w:pPr/>
    <w:rPr/>
  </w:style>
  <w:style w:type="paragraph" w:styleId="user1">
    <w:name w:val="Колонтитулы (user)"/>
    <w:basedOn w:val="Normal"/>
    <w:qFormat/>
    <w:pPr/>
    <w:rPr/>
  </w:style>
  <w:style w:type="paragraph" w:styleId="Header">
    <w:name w:val="header"/>
    <w:basedOn w:val="Style11"/>
    <w:pPr>
      <w:suppressLineNumbers/>
      <w:tabs>
        <w:tab w:val="clear" w:pos="708"/>
        <w:tab w:val="center" w:pos="5100" w:leader="none"/>
        <w:tab w:val="right" w:pos="10200" w:leader="none"/>
      </w:tabs>
    </w:pPr>
    <w:rPr/>
  </w:style>
  <w:style w:type="paragraph" w:styleId="12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ahoma" w:cs="Noto Sans Devanagari" w:asciiTheme="minorAscii" w:hAnsiTheme="minorHAnsi"/>
      <w:color w:val="000000"/>
      <w:kern w:val="0"/>
      <w:sz w:val="26"/>
      <w:szCs w:val="20"/>
      <w:lang w:val="ru-RU" w:eastAsia="zh-CN" w:bidi="hi-IN"/>
    </w:rPr>
  </w:style>
  <w:style w:type="paragraph" w:styleId="Style13">
    <w:name w:val="Содержимое таблицы"/>
    <w:basedOn w:val="Normal"/>
    <w:qFormat/>
    <w:pPr>
      <w:widowControl w:val="false"/>
      <w:suppressLineNumbers/>
    </w:pPr>
    <w:rPr/>
  </w:style>
  <w:style w:type="paragraph" w:styleId="Style14">
    <w:name w:val="Заголовок таблицы"/>
    <w:basedOn w:val="Style13"/>
    <w:qFormat/>
    <w:pPr>
      <w:suppressLineNumbers/>
      <w:jc w:val="center"/>
    </w:pPr>
    <w:rPr>
      <w:b/>
      <w:bCs/>
    </w:rPr>
  </w:style>
  <w:style w:type="table" w:default="1" w:styleId="Style_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Application>LibreOffice/25.2.6.2$Linux_X86_64 LibreOffice_project/520$Build-2</Application>
  <AppVersion>15.0000</AppVersion>
  <Pages>2</Pages>
  <Words>484</Words>
  <Characters>3320</Characters>
  <CharactersWithSpaces>3806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2025-07-28T11:45:01Z</cp:lastPrinted>
  <dcterms:modified xsi:type="dcterms:W3CDTF">2026-06-08T16:07:52Z</dcterms:modified>
  <cp:revision>63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