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132" w:rsidRPr="00E46E48" w:rsidRDefault="005B2132" w:rsidP="005B2132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758201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990"/>
        <w:gridCol w:w="3538"/>
        <w:gridCol w:w="754"/>
        <w:gridCol w:w="904"/>
      </w:tblGrid>
      <w:tr w:rsidR="005B2132" w:rsidTr="003321AB">
        <w:trPr>
          <w:cantSplit/>
          <w:trHeight w:val="1141"/>
        </w:trPr>
        <w:tc>
          <w:tcPr>
            <w:tcW w:w="5000" w:type="pct"/>
            <w:gridSpan w:val="5"/>
          </w:tcPr>
          <w:p w:rsidR="005B2132" w:rsidRPr="00E77161" w:rsidRDefault="005B2132" w:rsidP="003321A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B2132" w:rsidRPr="00383131" w:rsidRDefault="005B2132" w:rsidP="003321AB">
            <w:pPr>
              <w:rPr>
                <w:sz w:val="20"/>
              </w:rPr>
            </w:pPr>
          </w:p>
          <w:p w:rsidR="005B2132" w:rsidRPr="00FE5980" w:rsidRDefault="005B2132" w:rsidP="003321AB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5B2132" w:rsidRPr="00EB1280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5B2132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B2132" w:rsidRPr="00E77161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B2132" w:rsidRPr="009F0165" w:rsidRDefault="005B2132" w:rsidP="003321AB">
            <w:pPr>
              <w:rPr>
                <w:sz w:val="20"/>
              </w:rPr>
            </w:pPr>
          </w:p>
        </w:tc>
      </w:tr>
      <w:tr w:rsidR="005B2132" w:rsidTr="003321AB">
        <w:trPr>
          <w:cantSplit/>
        </w:trPr>
        <w:tc>
          <w:tcPr>
            <w:tcW w:w="1694" w:type="pct"/>
          </w:tcPr>
          <w:p w:rsidR="005B2132" w:rsidRPr="00080DED" w:rsidRDefault="000B5787" w:rsidP="00B80D4A">
            <w:pPr>
              <w:rPr>
                <w:sz w:val="24"/>
              </w:rPr>
            </w:pPr>
            <w:r>
              <w:rPr>
                <w:sz w:val="24"/>
              </w:rPr>
              <w:t>20</w:t>
            </w:r>
            <w:r w:rsidR="006403A4">
              <w:rPr>
                <w:sz w:val="24"/>
              </w:rPr>
              <w:t>.</w:t>
            </w:r>
            <w:r w:rsidR="00B80D4A">
              <w:rPr>
                <w:sz w:val="24"/>
              </w:rPr>
              <w:t>04</w:t>
            </w:r>
            <w:r w:rsidR="004D1218">
              <w:rPr>
                <w:sz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5B2132" w:rsidRPr="005D5253" w:rsidRDefault="005B2132" w:rsidP="003321AB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5B2132" w:rsidRPr="0000058E" w:rsidRDefault="005B2132" w:rsidP="003321AB">
            <w:pPr>
              <w:jc w:val="right"/>
              <w:rPr>
                <w:sz w:val="24"/>
                <w:szCs w:val="24"/>
              </w:rPr>
            </w:pPr>
            <w:r w:rsidRPr="0000058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5B2132" w:rsidRPr="0000058E" w:rsidRDefault="005B2132" w:rsidP="00CB336A">
            <w:pPr>
              <w:ind w:hanging="107"/>
              <w:rPr>
                <w:sz w:val="24"/>
                <w:szCs w:val="24"/>
              </w:rPr>
            </w:pPr>
          </w:p>
        </w:tc>
      </w:tr>
      <w:tr w:rsidR="005B2132" w:rsidTr="003321AB">
        <w:trPr>
          <w:cantSplit/>
        </w:trPr>
        <w:tc>
          <w:tcPr>
            <w:tcW w:w="5000" w:type="pct"/>
            <w:gridSpan w:val="5"/>
          </w:tcPr>
          <w:p w:rsidR="005B2132" w:rsidRPr="003D4A28" w:rsidRDefault="005B2132" w:rsidP="003321AB">
            <w:pPr>
              <w:jc w:val="center"/>
              <w:rPr>
                <w:sz w:val="24"/>
                <w:szCs w:val="24"/>
              </w:rPr>
            </w:pPr>
          </w:p>
        </w:tc>
      </w:tr>
      <w:tr w:rsidR="005B2132" w:rsidTr="00B7081E">
        <w:trPr>
          <w:gridAfter w:val="3"/>
          <w:wAfter w:w="2777" w:type="pct"/>
        </w:trPr>
        <w:tc>
          <w:tcPr>
            <w:tcW w:w="2223" w:type="pct"/>
            <w:gridSpan w:val="2"/>
          </w:tcPr>
          <w:p w:rsidR="005B2132" w:rsidRDefault="00B7081E" w:rsidP="004D1218">
            <w:pPr>
              <w:jc w:val="both"/>
            </w:pPr>
            <w:r>
              <w:rPr>
                <w:szCs w:val="28"/>
              </w:rPr>
              <w:t xml:space="preserve">О рассмотрении </w:t>
            </w:r>
            <w:proofErr w:type="spellStart"/>
            <w:r>
              <w:rPr>
                <w:szCs w:val="28"/>
              </w:rPr>
              <w:t>правопримени</w:t>
            </w:r>
            <w:proofErr w:type="spellEnd"/>
            <w:r>
              <w:rPr>
                <w:szCs w:val="28"/>
              </w:rPr>
              <w:t>-</w:t>
            </w:r>
            <w:r w:rsidR="005B2132">
              <w:rPr>
                <w:szCs w:val="28"/>
              </w:rPr>
              <w:t>тельной практики по вопросам профилактики коррупции</w:t>
            </w:r>
            <w:r w:rsidR="005B2132">
              <w:rPr>
                <w:szCs w:val="28"/>
              </w:rPr>
              <w:br/>
            </w:r>
            <w:r w:rsidR="005B2132">
              <w:rPr>
                <w:snapToGrid w:val="0"/>
                <w:szCs w:val="28"/>
              </w:rPr>
              <w:t>з</w:t>
            </w:r>
            <w:r w:rsidR="005B2132" w:rsidRPr="00F369F2">
              <w:rPr>
                <w:snapToGrid w:val="0"/>
                <w:szCs w:val="28"/>
              </w:rPr>
              <w:t>а</w:t>
            </w:r>
            <w:r w:rsidR="005B2132">
              <w:rPr>
                <w:snapToGrid w:val="0"/>
                <w:szCs w:val="28"/>
              </w:rPr>
              <w:t xml:space="preserve"> </w:t>
            </w:r>
            <w:r w:rsidR="00B80D4A">
              <w:rPr>
                <w:snapToGrid w:val="0"/>
                <w:szCs w:val="28"/>
              </w:rPr>
              <w:t>1</w:t>
            </w:r>
            <w:r w:rsidR="005B2132">
              <w:rPr>
                <w:szCs w:val="28"/>
              </w:rPr>
              <w:t xml:space="preserve">-й </w:t>
            </w:r>
            <w:r w:rsidR="005B2132">
              <w:rPr>
                <w:snapToGrid w:val="0"/>
                <w:szCs w:val="28"/>
              </w:rPr>
              <w:t>квартал</w:t>
            </w:r>
            <w:r w:rsidR="005B2132" w:rsidRPr="00F369F2">
              <w:rPr>
                <w:snapToGrid w:val="0"/>
                <w:szCs w:val="28"/>
              </w:rPr>
              <w:t xml:space="preserve"> 20</w:t>
            </w:r>
            <w:r w:rsidR="005B2132">
              <w:rPr>
                <w:snapToGrid w:val="0"/>
                <w:szCs w:val="28"/>
              </w:rPr>
              <w:t>2</w:t>
            </w:r>
            <w:r w:rsidR="004D1218">
              <w:rPr>
                <w:snapToGrid w:val="0"/>
                <w:szCs w:val="28"/>
              </w:rPr>
              <w:t>6</w:t>
            </w:r>
            <w:r w:rsidR="005B2132" w:rsidRPr="00F369F2">
              <w:rPr>
                <w:snapToGrid w:val="0"/>
                <w:szCs w:val="28"/>
              </w:rPr>
              <w:t xml:space="preserve"> год</w:t>
            </w:r>
            <w:r w:rsidR="005B2132">
              <w:rPr>
                <w:snapToGrid w:val="0"/>
                <w:szCs w:val="28"/>
              </w:rPr>
              <w:t>а</w:t>
            </w:r>
          </w:p>
        </w:tc>
      </w:tr>
    </w:tbl>
    <w:p w:rsidR="005B2132" w:rsidRDefault="005B2132" w:rsidP="005B2132">
      <w:pPr>
        <w:jc w:val="both"/>
      </w:pPr>
    </w:p>
    <w:p w:rsidR="005B2132" w:rsidRPr="004E15DC" w:rsidRDefault="005B2132" w:rsidP="00B80D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72D0">
        <w:t xml:space="preserve">Ознакомившись с обзором </w:t>
      </w:r>
      <w:r w:rsidRPr="00C572D0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</w:t>
      </w:r>
      <w:r>
        <w:rPr>
          <w:szCs w:val="28"/>
        </w:rPr>
        <w:t xml:space="preserve"> должностных лиц в</w:t>
      </w:r>
      <w:r w:rsidRPr="004E15DC">
        <w:rPr>
          <w:szCs w:val="28"/>
        </w:rPr>
        <w:t xml:space="preserve"> </w:t>
      </w:r>
      <w:r w:rsidR="00B80D4A">
        <w:rPr>
          <w:szCs w:val="28"/>
        </w:rPr>
        <w:t>1</w:t>
      </w:r>
      <w:r w:rsidRPr="004E15DC">
        <w:rPr>
          <w:szCs w:val="28"/>
        </w:rPr>
        <w:t>-м квартале 20</w:t>
      </w:r>
      <w:r>
        <w:rPr>
          <w:szCs w:val="28"/>
        </w:rPr>
        <w:t>2</w:t>
      </w:r>
      <w:r w:rsidR="004D1218">
        <w:rPr>
          <w:szCs w:val="28"/>
        </w:rPr>
        <w:t>6</w:t>
      </w:r>
      <w:r w:rsidRPr="004E15DC">
        <w:rPr>
          <w:szCs w:val="28"/>
        </w:rPr>
        <w:t xml:space="preserve"> года;</w:t>
      </w:r>
    </w:p>
    <w:p w:rsidR="00FD5BEF" w:rsidRDefault="00FF0821" w:rsidP="00B80D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067E">
        <w:rPr>
          <w:kern w:val="28"/>
          <w:szCs w:val="28"/>
        </w:rPr>
        <w:t>отмечая, что в</w:t>
      </w:r>
      <w:r w:rsidR="005B2132" w:rsidRPr="0065067E">
        <w:rPr>
          <w:kern w:val="28"/>
          <w:szCs w:val="28"/>
        </w:rPr>
        <w:t xml:space="preserve"> </w:t>
      </w:r>
      <w:r w:rsidR="00B80D4A">
        <w:rPr>
          <w:kern w:val="28"/>
          <w:szCs w:val="28"/>
        </w:rPr>
        <w:t>1</w:t>
      </w:r>
      <w:r w:rsidR="005B2132" w:rsidRPr="0065067E">
        <w:rPr>
          <w:kern w:val="28"/>
          <w:szCs w:val="28"/>
        </w:rPr>
        <w:t>-м квартале 202</w:t>
      </w:r>
      <w:r w:rsidR="004D1218">
        <w:rPr>
          <w:kern w:val="28"/>
          <w:szCs w:val="28"/>
        </w:rPr>
        <w:t>6</w:t>
      </w:r>
      <w:r w:rsidR="005B2132" w:rsidRPr="0065067E">
        <w:rPr>
          <w:kern w:val="28"/>
          <w:szCs w:val="28"/>
        </w:rPr>
        <w:t xml:space="preserve"> года судами общей юрисдикции, </w:t>
      </w:r>
      <w:r w:rsidR="00FD5BEF" w:rsidRPr="0065067E">
        <w:rPr>
          <w:szCs w:val="28"/>
        </w:rPr>
        <w:t>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</w:t>
      </w:r>
      <w:r w:rsidR="008A5BAB" w:rsidRPr="0065067E">
        <w:rPr>
          <w:szCs w:val="28"/>
        </w:rPr>
        <w:t>,</w:t>
      </w:r>
    </w:p>
    <w:p w:rsidR="000B5787" w:rsidRPr="000B5787" w:rsidRDefault="00A12690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вместе с тем, </w:t>
      </w:r>
      <w:r w:rsidR="00153B1F" w:rsidRPr="00124FE1">
        <w:rPr>
          <w:szCs w:val="28"/>
        </w:rPr>
        <w:t xml:space="preserve">Законодательным Собранием Приморского края может быть учтено </w:t>
      </w:r>
      <w:r w:rsidR="000B5787" w:rsidRPr="000B5787">
        <w:rPr>
          <w:szCs w:val="28"/>
        </w:rPr>
        <w:t>кассационное определение Судебной коллегии по административным делам Первого кассационного суда общей юрисдикции</w:t>
      </w:r>
      <w:r w:rsidR="000B5787">
        <w:rPr>
          <w:szCs w:val="28"/>
        </w:rPr>
        <w:br/>
      </w:r>
      <w:r w:rsidR="000B5787" w:rsidRPr="000B5787">
        <w:rPr>
          <w:szCs w:val="28"/>
        </w:rPr>
        <w:t xml:space="preserve">от </w:t>
      </w:r>
      <w:r w:rsidR="000B5787">
        <w:rPr>
          <w:szCs w:val="28"/>
        </w:rPr>
        <w:t xml:space="preserve">17 февраля </w:t>
      </w:r>
      <w:r w:rsidR="000B5787" w:rsidRPr="000B5787">
        <w:rPr>
          <w:szCs w:val="28"/>
        </w:rPr>
        <w:t xml:space="preserve">2026 года № 88а-3849/2026, которым решение Пензенского районного суда Пензенской области от 23 мая 2025 года и апелляционное определение судебной коллегии по административным делам Пензенского областного суда от 13 ноября 2025 года оставлены без изменения, кассационная жалоба - без удовлетворения. 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Так, прокурор Пензенского района Пензенской области обратился в суд с иском, указав, что в ходе проведения</w:t>
      </w:r>
      <w:r>
        <w:rPr>
          <w:szCs w:val="28"/>
        </w:rPr>
        <w:t xml:space="preserve"> проверки было установлено, что</w:t>
      </w:r>
      <w:r>
        <w:rPr>
          <w:szCs w:val="28"/>
        </w:rPr>
        <w:br/>
      </w:r>
      <w:r w:rsidRPr="000B5787">
        <w:rPr>
          <w:szCs w:val="28"/>
        </w:rPr>
        <w:t>21 ноября 2022 года исполняющей обязанности главы администрации Богословского сельсовета Пензенского района на имя главы Богословского сельсовета Пензенского района в связи с намерением заключить договор с ООО ГЦ "</w:t>
      </w:r>
      <w:proofErr w:type="spellStart"/>
      <w:r w:rsidRPr="000B5787">
        <w:rPr>
          <w:szCs w:val="28"/>
        </w:rPr>
        <w:t>АвтовердиктЪ</w:t>
      </w:r>
      <w:proofErr w:type="spellEnd"/>
      <w:r w:rsidRPr="000B5787">
        <w:rPr>
          <w:szCs w:val="28"/>
        </w:rPr>
        <w:t xml:space="preserve">", где родная сестра исполняющей обязанности главы являлась одним из учредителей (размер доли - 33%), направлено уведомление </w:t>
      </w:r>
      <w:r w:rsidRPr="000B5787">
        <w:rPr>
          <w:szCs w:val="28"/>
        </w:rPr>
        <w:lastRenderedPageBreak/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Уведомление было рассмотрено 24 ноября 2022 года на сессии депутатов Комитета местного самоуправления Богословского сельсовета Пензенского района Пензенской области. В связи с необходимостью проведения работ депутатами рекомендовано исполняющей обязанности главы администрации заключить договор с ООО ГЦ "</w:t>
      </w:r>
      <w:proofErr w:type="spellStart"/>
      <w:r w:rsidRPr="000B5787">
        <w:rPr>
          <w:szCs w:val="28"/>
        </w:rPr>
        <w:t>АвтовердиктЪ</w:t>
      </w:r>
      <w:proofErr w:type="spellEnd"/>
      <w:r w:rsidRPr="000B5787">
        <w:rPr>
          <w:szCs w:val="28"/>
        </w:rPr>
        <w:t>".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В результате между администрацией Богословского сельсовета Пензенского района в лице исполняющей обязанности главы администрации и ООО ГЦ "</w:t>
      </w:r>
      <w:proofErr w:type="spellStart"/>
      <w:r w:rsidRPr="000B5787">
        <w:rPr>
          <w:szCs w:val="28"/>
        </w:rPr>
        <w:t>АвтовердиктЪ</w:t>
      </w:r>
      <w:proofErr w:type="spellEnd"/>
      <w:r w:rsidRPr="000B5787">
        <w:rPr>
          <w:szCs w:val="28"/>
        </w:rPr>
        <w:t>" заключен договор на проведение оценки технического состояния, диагностики и изготовление технических паспортов автомобильных дорог, а также иные договоры.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На должность главы администрации Богословского сельсовета Пензенского района Пензенской области ранее исполняющая обязанности главы администрации назначена с 7 мая 2024 года. Данным решением также прекращены полномочия исполняющей обязанности главы администрации Богословского сельсовета Пензенского района с 6 мая 2024 года.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9 декабря 2024 года в Комитет местного самоуправления Богословского сельсовета Пензенского района внесено представление прокуратуры Пензенского района Пензенской области. Решение об увольнении главы администрации принято не было.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По мнению прокурора, депутатами Комитета местного самоуправления Богословского сельсовета Пензенского района Пензенской области не были соблюдены требования статьи 11 Федерального закона от 25 декабря 2008 года № 273-ФЗ "О противодействии коррупции", не приняты меры по предотвращению или урегулированию конфликта интересов. Направление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не свидетельствует об исполнении исполняющей обязанности главы администрации требований антикоррупционного законодательства надлежащим образ</w:t>
      </w:r>
      <w:r>
        <w:rPr>
          <w:szCs w:val="28"/>
        </w:rPr>
        <w:t>ом. Факт заключения договоров с</w:t>
      </w:r>
      <w:r>
        <w:rPr>
          <w:szCs w:val="28"/>
        </w:rPr>
        <w:br/>
      </w:r>
      <w:r w:rsidRPr="000B5787">
        <w:rPr>
          <w:szCs w:val="28"/>
        </w:rPr>
        <w:t>ООО ГЦ "</w:t>
      </w:r>
      <w:proofErr w:type="spellStart"/>
      <w:r w:rsidRPr="000B5787">
        <w:rPr>
          <w:szCs w:val="28"/>
        </w:rPr>
        <w:t>АвтовердиктЪ</w:t>
      </w:r>
      <w:proofErr w:type="spellEnd"/>
      <w:r w:rsidRPr="000B5787">
        <w:rPr>
          <w:szCs w:val="28"/>
        </w:rPr>
        <w:t>", где ее родная сестра является одним из учредителей, несмотря на направление уведомления о возникновении личной заинтересованности, свидетельствует о непринятии мер по недопущению конфликта интересов.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 xml:space="preserve">Удовлетворяя административные исковые требования прокурора о досрочном прекращении полномочий главы администрации Богословского сельсовета Пензенского района Пензенской области в связи с непринятием мер по предотвращению и (или) урегулированию конфликта интересов, суд первой инстанции, выводы которого признаны правильными судом апелляционной инстанции, исходил из того, что Комитет местного самоуправления Богословского сельсовета Пензенского района Пензенской области допустил бездействие в решении вопроса о прекращении полномочий главы местной администрации в связи с утратой доверия при том, что наступление ответственности главы администрации за несоблюдение </w:t>
      </w:r>
      <w:r w:rsidRPr="000B5787">
        <w:rPr>
          <w:szCs w:val="28"/>
        </w:rPr>
        <w:lastRenderedPageBreak/>
        <w:t>ограничений, запретов, неисполнение обязанностей установлено федеральным законодательством.</w:t>
      </w:r>
    </w:p>
    <w:p w:rsidR="000B5787" w:rsidRPr="000B5787" w:rsidRDefault="000B5787" w:rsidP="000B57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Кроме того, по мнению суда, увольнение с должности по собственному желанию и последующее назначение на нее не отменяют исполнения требований законодательства о противодействии коррупции, и не может освобождать от ответственности за его несоблюдение. Поскольку после увольнения по собственному желанию исполняющая обязанности главы администрации была вновь назначена на ту же должность, правовые основания для ее увольнения с муниципальной службы в связи с утратой доверия не отпали.</w:t>
      </w:r>
    </w:p>
    <w:p w:rsidR="008A2490" w:rsidRDefault="000B5787" w:rsidP="00B80D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5787">
        <w:rPr>
          <w:szCs w:val="28"/>
        </w:rPr>
        <w:t>Таким образом, Судебная коллегия по административным делам Первого кассационного суда общей юрисдикции оставила без изменения решение Пензенского районного суда Пензенской области и апелляционное определение судебной коллегии по административным делам Пензенского областного суда, в соответствии с которыми полномочия главы администрации Богословского сельсовета Пензенского района Пензенской области прекращены досрочно в связи с непринятием мер по предотвращению и (или) урегулированию конфликта интересов</w:t>
      </w:r>
      <w:r w:rsidR="008A2490">
        <w:rPr>
          <w:szCs w:val="28"/>
        </w:rPr>
        <w:t xml:space="preserve">, </w:t>
      </w:r>
    </w:p>
    <w:p w:rsidR="00FF0821" w:rsidRPr="0065067E" w:rsidRDefault="00153B1F" w:rsidP="00B80D4A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р</w:t>
      </w:r>
      <w:r w:rsidR="00FF0821" w:rsidRPr="0065067E">
        <w:rPr>
          <w:szCs w:val="28"/>
        </w:rPr>
        <w:t>уководствуясь положениями части 2</w:t>
      </w:r>
      <w:r w:rsidR="00FF0821" w:rsidRPr="0065067E">
        <w:rPr>
          <w:szCs w:val="28"/>
          <w:vertAlign w:val="superscript"/>
        </w:rPr>
        <w:t>1</w:t>
      </w:r>
      <w:r w:rsidR="00FF0821" w:rsidRPr="0065067E">
        <w:rPr>
          <w:szCs w:val="28"/>
        </w:rPr>
        <w:t xml:space="preserve"> статьи 2 Закона Приморского края от 10 марта 2009 года № 387-КЗ "О противодействии коррупции в Приморском крае", комитет</w:t>
      </w:r>
    </w:p>
    <w:p w:rsidR="00B7081E" w:rsidRDefault="00B7081E" w:rsidP="00B80D4A">
      <w:pPr>
        <w:ind w:firstLine="709"/>
        <w:jc w:val="both"/>
      </w:pPr>
    </w:p>
    <w:p w:rsidR="005B2132" w:rsidRDefault="005B2132" w:rsidP="00B80D4A">
      <w:pPr>
        <w:jc w:val="both"/>
      </w:pPr>
      <w:r>
        <w:t>РЕШИЛ:</w:t>
      </w:r>
    </w:p>
    <w:p w:rsidR="005B2132" w:rsidRDefault="005B2132" w:rsidP="00B80D4A">
      <w:pPr>
        <w:ind w:firstLine="709"/>
        <w:jc w:val="both"/>
      </w:pPr>
    </w:p>
    <w:p w:rsidR="005B2132" w:rsidRPr="00C572D0" w:rsidRDefault="005B2132" w:rsidP="00B80D4A">
      <w:pPr>
        <w:ind w:firstLine="709"/>
        <w:jc w:val="both"/>
      </w:pPr>
      <w:r w:rsidRPr="00A43FE9">
        <w:t xml:space="preserve">Принять к сведению и учитывать в работе информацию, изложенную в обзоре правоприменительной практики </w:t>
      </w:r>
      <w:r w:rsidRPr="00A43FE9">
        <w:rPr>
          <w:szCs w:val="28"/>
        </w:rPr>
        <w:t xml:space="preserve">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за </w:t>
      </w:r>
      <w:r w:rsidR="00B80D4A">
        <w:rPr>
          <w:szCs w:val="28"/>
        </w:rPr>
        <w:t>1</w:t>
      </w:r>
      <w:r w:rsidRPr="00A43FE9">
        <w:rPr>
          <w:szCs w:val="28"/>
        </w:rPr>
        <w:t>-й квартал 20</w:t>
      </w:r>
      <w:r>
        <w:rPr>
          <w:szCs w:val="28"/>
        </w:rPr>
        <w:t>2</w:t>
      </w:r>
      <w:r w:rsidR="004D1218">
        <w:rPr>
          <w:szCs w:val="28"/>
        </w:rPr>
        <w:t>6</w:t>
      </w:r>
      <w:r w:rsidRPr="00A43FE9">
        <w:rPr>
          <w:szCs w:val="28"/>
        </w:rPr>
        <w:t xml:space="preserve"> года.</w:t>
      </w: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</w:pPr>
    </w:p>
    <w:p w:rsidR="00511740" w:rsidRPr="00511740" w:rsidRDefault="00511740" w:rsidP="00511740">
      <w:pPr>
        <w:jc w:val="both"/>
      </w:pPr>
      <w:r w:rsidRPr="00511740">
        <w:t>Председатель</w:t>
      </w:r>
      <w:r w:rsidR="00B80D4A">
        <w:t xml:space="preserve"> </w:t>
      </w:r>
      <w:r w:rsidR="00CA3F02">
        <w:t xml:space="preserve"> </w:t>
      </w:r>
      <w:r w:rsidRPr="00511740">
        <w:t xml:space="preserve">комитета </w:t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="00B80D4A">
        <w:t>Д.А. Текиев</w:t>
      </w:r>
    </w:p>
    <w:p w:rsidR="00987D16" w:rsidRDefault="00987D16" w:rsidP="00511740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568" w:rsidRDefault="00125678">
      <w:r>
        <w:separator/>
      </w:r>
    </w:p>
  </w:endnote>
  <w:endnote w:type="continuationSeparator" w:id="0">
    <w:p w:rsidR="00334568" w:rsidRDefault="0012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568" w:rsidRDefault="00125678">
      <w:r>
        <w:separator/>
      </w:r>
    </w:p>
  </w:footnote>
  <w:footnote w:type="continuationSeparator" w:id="0">
    <w:p w:rsidR="00334568" w:rsidRDefault="00125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1256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2490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4A1" w:rsidRPr="009616CE" w:rsidRDefault="005510BE" w:rsidP="00B7081E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132"/>
    <w:rsid w:val="00073F79"/>
    <w:rsid w:val="000B4567"/>
    <w:rsid w:val="000B5787"/>
    <w:rsid w:val="000F5CFE"/>
    <w:rsid w:val="00125678"/>
    <w:rsid w:val="00153B1F"/>
    <w:rsid w:val="00156180"/>
    <w:rsid w:val="00272482"/>
    <w:rsid w:val="00334568"/>
    <w:rsid w:val="0037748E"/>
    <w:rsid w:val="004B30DE"/>
    <w:rsid w:val="004D1218"/>
    <w:rsid w:val="00511740"/>
    <w:rsid w:val="00534382"/>
    <w:rsid w:val="005510BE"/>
    <w:rsid w:val="00557373"/>
    <w:rsid w:val="005B2132"/>
    <w:rsid w:val="006403A4"/>
    <w:rsid w:val="0065067E"/>
    <w:rsid w:val="007D4B90"/>
    <w:rsid w:val="00851082"/>
    <w:rsid w:val="008A2490"/>
    <w:rsid w:val="008A5BAB"/>
    <w:rsid w:val="009616CE"/>
    <w:rsid w:val="00987D16"/>
    <w:rsid w:val="009C6B5F"/>
    <w:rsid w:val="009E19A3"/>
    <w:rsid w:val="00A12690"/>
    <w:rsid w:val="00A727A6"/>
    <w:rsid w:val="00A7731D"/>
    <w:rsid w:val="00B7081E"/>
    <w:rsid w:val="00B80D4A"/>
    <w:rsid w:val="00C2058E"/>
    <w:rsid w:val="00CA3F02"/>
    <w:rsid w:val="00CB336A"/>
    <w:rsid w:val="00CB500D"/>
    <w:rsid w:val="00D5125E"/>
    <w:rsid w:val="00DA7BD0"/>
    <w:rsid w:val="00DD3509"/>
    <w:rsid w:val="00E43FB6"/>
    <w:rsid w:val="00FD5BEF"/>
    <w:rsid w:val="00FF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3532F6"/>
  <w15:docId w15:val="{8314CF44-48AE-4C63-A5C5-01470B2C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73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5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cp:lastPrinted>2022-10-25T07:11:00Z</cp:lastPrinted>
  <dcterms:created xsi:type="dcterms:W3CDTF">2024-01-19T04:03:00Z</dcterms:created>
  <dcterms:modified xsi:type="dcterms:W3CDTF">2026-04-13T00:40:00Z</dcterms:modified>
</cp:coreProperties>
</file>