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right="23" w:hanging="0"/>
        <w:jc w:val="center"/>
        <w:rPr>
          <w:b/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</w:r>
    </w:p>
    <w:p>
      <w:pPr>
        <w:pStyle w:val="Normal"/>
        <w:shd w:val="clear" w:color="auto" w:fill="FFFFFF"/>
        <w:ind w:right="23" w:hanging="0"/>
        <w:jc w:val="center"/>
        <w:rPr>
          <w:b/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ФИНАНСОВО-ЭКОНОМИЧЕСКОЕ ОБОСНОВАНИЕ</w:t>
      </w:r>
    </w:p>
    <w:p>
      <w:pPr>
        <w:pStyle w:val="Normal"/>
        <w:shd w:val="clear" w:color="auto" w:fill="FFFFFF"/>
        <w:ind w:right="23" w:hanging="0"/>
        <w:jc w:val="center"/>
        <w:rPr>
          <w:b/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</w:r>
    </w:p>
    <w:p>
      <w:pPr>
        <w:pStyle w:val="Normal"/>
        <w:shd w:val="clear" w:color="auto" w:fill="FFFFFF"/>
        <w:ind w:right="23" w:hanging="0"/>
        <w:jc w:val="center"/>
        <w:rPr>
          <w:b/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</w:r>
    </w:p>
    <w:p>
      <w:pPr>
        <w:pStyle w:val="Normal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проекта закона Приморского края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«О внесении изменений в Закон Приморского края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«О социальной поддержке в Приморском крае детей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лиц, участвовавших в специальной военной операции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на территориях Украины, Донецкой Народной Республики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и Луганской Народной Республики»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color w:val="000000"/>
          <w:spacing w:val="2"/>
          <w:sz w:val="28"/>
          <w:szCs w:val="28"/>
        </w:rPr>
        <w:t xml:space="preserve">Законом Приморского края от 20.12.2022 № 253-КЗ «О краевом бюджете на 2023 год и плановый период 2024 и 2025 годов» на  предоставление денежной выплаты на приобретение или строительство жилого помещения на территории Приморского края детям лиц, участвовавших в специальной военной операции на территориях Украины, Донецкой Народной Республики и Луганской Народной Республики (далее — ветераны боевых действий) в 2023 году предусмотрены средства в объеме 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lang w:val="ru-RU" w:eastAsia="ru-RU" w:bidi="ar-SA"/>
        </w:rPr>
        <w:t>8,3</w:t>
      </w:r>
      <w:r>
        <w:rPr>
          <w:b w:val="false"/>
          <w:bCs w:val="false"/>
          <w:color w:val="000000"/>
          <w:spacing w:val="2"/>
          <w:sz w:val="28"/>
          <w:szCs w:val="28"/>
        </w:rPr>
        <w:t xml:space="preserve"> млн. рублей.</w:t>
      </w:r>
    </w:p>
    <w:p>
      <w:pPr>
        <w:pStyle w:val="Normal"/>
        <w:spacing w:lineRule="auto" w:line="276"/>
        <w:ind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color w:val="000000"/>
          <w:spacing w:val="2"/>
          <w:sz w:val="28"/>
          <w:szCs w:val="28"/>
        </w:rPr>
        <w:t xml:space="preserve">По состоянию на 01.04.2023 заявление о предоставлении денежной выплаты подали 12 детей, достигших возраста 18 лет. 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lang w:val="ru-RU" w:eastAsia="ru-RU" w:bidi="ar-SA"/>
        </w:rPr>
        <w:t xml:space="preserve">В 2023 году на предоставление выплаты </w:t>
      </w:r>
      <w:r>
        <w:rPr>
          <w:b w:val="false"/>
          <w:bCs w:val="false"/>
          <w:color w:val="000000"/>
          <w:spacing w:val="2"/>
          <w:sz w:val="28"/>
          <w:szCs w:val="28"/>
        </w:rPr>
        <w:t>дополнительно потребуется 32,34 млн. рублей.</w:t>
      </w:r>
    </w:p>
    <w:p>
      <w:pPr>
        <w:pStyle w:val="Normal"/>
        <w:spacing w:lineRule="auto" w:line="276"/>
        <w:ind w:firstLine="709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color w:val="000000"/>
          <w:spacing w:val="2"/>
          <w:sz w:val="28"/>
          <w:szCs w:val="28"/>
        </w:rPr>
        <w:t>П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lang w:val="ru-RU" w:eastAsia="ru-RU" w:bidi="ar-SA"/>
        </w:rPr>
        <w:t>о</w:t>
      </w:r>
      <w:r>
        <w:rPr>
          <w:b w:val="false"/>
          <w:bCs w:val="false"/>
          <w:color w:val="000000"/>
          <w:spacing w:val="2"/>
          <w:sz w:val="28"/>
          <w:szCs w:val="28"/>
        </w:rPr>
        <w:t xml:space="preserve"> предварительной оценке 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lang w:val="ru-RU" w:eastAsia="ru-RU" w:bidi="ar-SA"/>
        </w:rPr>
        <w:t>для</w:t>
      </w:r>
      <w:r>
        <w:rPr>
          <w:b w:val="false"/>
          <w:bCs w:val="false"/>
          <w:color w:val="000000"/>
          <w:spacing w:val="2"/>
          <w:sz w:val="28"/>
          <w:szCs w:val="28"/>
        </w:rPr>
        <w:t xml:space="preserve"> реализаци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lang w:val="ru-RU" w:eastAsia="ru-RU" w:bidi="ar-SA"/>
        </w:rPr>
        <w:t>и</w:t>
      </w:r>
      <w:r>
        <w:rPr>
          <w:b w:val="false"/>
          <w:bCs w:val="false"/>
          <w:color w:val="000000"/>
          <w:spacing w:val="2"/>
          <w:sz w:val="28"/>
          <w:szCs w:val="28"/>
        </w:rPr>
        <w:t xml:space="preserve"> проекта закона Приморского края </w:t>
      </w:r>
      <w:r>
        <w:rPr>
          <w:b w:val="false"/>
          <w:bCs w:val="false"/>
          <w:sz w:val="28"/>
          <w:szCs w:val="28"/>
        </w:rPr>
        <w:t xml:space="preserve">«О социальной поддержке в Приморском крае детей лиц, участвовавших в специальной военной операции на территориях Украины, Донецкой Народной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Р</w:t>
      </w:r>
      <w:r>
        <w:rPr>
          <w:b w:val="false"/>
          <w:bCs w:val="false"/>
          <w:sz w:val="28"/>
          <w:szCs w:val="28"/>
        </w:rPr>
        <w:t xml:space="preserve">еспублики и Луганской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</w:t>
      </w:r>
      <w:r>
        <w:rPr>
          <w:b w:val="false"/>
          <w:bCs w:val="false"/>
          <w:sz w:val="28"/>
          <w:szCs w:val="28"/>
        </w:rPr>
        <w:t xml:space="preserve">ародной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Р</w:t>
      </w:r>
      <w:r>
        <w:rPr>
          <w:b w:val="false"/>
          <w:bCs w:val="false"/>
          <w:sz w:val="28"/>
          <w:szCs w:val="28"/>
        </w:rPr>
        <w:t xml:space="preserve">еспублики» в части предоставления денежной выплаты на приобретение жилого помещения  </w:t>
      </w:r>
      <w:r>
        <w:rPr>
          <w:b w:val="false"/>
          <w:bCs w:val="false"/>
          <w:strike w:val="false"/>
          <w:dstrike w:val="false"/>
          <w:sz w:val="28"/>
          <w:szCs w:val="28"/>
          <w:lang w:eastAsia="zh-CN"/>
        </w:rPr>
        <w:t>потребуются средства краевого бюджета в размере</w:t>
      </w:r>
      <w:r>
        <w:rPr>
          <w:rFonts w:eastAsia="Times New Roman" w:cs="Times New Roman"/>
          <w:b w:val="false"/>
          <w:bCs w:val="false"/>
          <w:strike w:val="false"/>
          <w:dstrike w:val="false"/>
          <w:color w:val="auto"/>
          <w:kern w:val="0"/>
          <w:sz w:val="28"/>
          <w:szCs w:val="28"/>
          <w:lang w:val="ru-RU" w:eastAsia="ru-RU" w:bidi="ar-SA"/>
        </w:rPr>
        <w:br/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436,622 млн руб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lineRule="auto" w:line="276"/>
        <w:ind w:firstLine="709"/>
        <w:jc w:val="both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Кроме того, проектом закона устанавливается новая мера поддержки в виде однократного предоставления в жилого помещения в собственность. Для осуществления передачи 47 жилых помещений детям погибших ветеранов боевых действий необходимо проведение их капитального ремонта на общую с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умму 63,75  млн руб. </w:t>
      </w:r>
    </w:p>
    <w:p>
      <w:pPr>
        <w:pStyle w:val="Normal"/>
        <w:spacing w:lineRule="auto" w:line="276"/>
        <w:ind w:firstLine="709"/>
        <w:jc w:val="both"/>
        <w:rPr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Выделенных жилых помещений достаточно для предоставления детям, проживающим в г. Владивостоке, по состоянию на 15.03.2023.</w:t>
      </w:r>
    </w:p>
    <w:p>
      <w:pPr>
        <w:pStyle w:val="Normal"/>
        <w:spacing w:lineRule="auto" w:line="276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r>
    </w:p>
    <w:tbl>
      <w:tblPr>
        <w:tblW w:w="9747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485"/>
        <w:gridCol w:w="5261"/>
      </w:tblGrid>
      <w:tr>
        <w:trPr>
          <w:trHeight w:val="2090" w:hRule="atLeast"/>
        </w:trPr>
        <w:tc>
          <w:tcPr>
            <w:tcW w:w="4485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Заместитель</w:t>
            </w:r>
          </w:p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</w:t>
            </w:r>
            <w:r>
              <w:rPr>
                <w:color w:val="000000"/>
                <w:sz w:val="28"/>
                <w:szCs w:val="28"/>
              </w:rPr>
              <w:t>редседателя Правительства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Приморского края – министр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культуры и архивного дела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5261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Е.Н. Бронникова</w:t>
            </w:r>
          </w:p>
        </w:tc>
      </w:tr>
    </w:tbl>
    <w:p>
      <w:pPr>
        <w:pStyle w:val="Style16"/>
        <w:jc w:val="both"/>
        <w:rPr>
          <w:sz w:val="6"/>
          <w:szCs w:val="28"/>
        </w:rPr>
      </w:pPr>
      <w:r>
        <w:rPr/>
      </w:r>
    </w:p>
    <w:sectPr>
      <w:type w:val="nextPage"/>
      <w:pgSz w:w="11906" w:h="16838"/>
      <w:pgMar w:left="1418" w:right="851" w:header="0" w:top="567" w:footer="0" w:bottom="731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408"/>
  <w:autoHyphenation w:val="true"/>
  <w:doNotHyphenateCaps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3e5e24"/>
    <w:rPr/>
  </w:style>
  <w:style w:type="character" w:styleId="2" w:customStyle="1">
    <w:name w:val="Основной текст с отступом 2 Знак"/>
    <w:link w:val="2"/>
    <w:qFormat/>
    <w:rsid w:val="002422bb"/>
    <w:rPr>
      <w:lang w:val="ru-RU" w:eastAsia="ru-RU" w:bidi="ar-SA"/>
    </w:rPr>
  </w:style>
  <w:style w:type="character" w:styleId="3" w:customStyle="1">
    <w:name w:val="Основной текст с отступом 3 Знак"/>
    <w:link w:val="3"/>
    <w:qFormat/>
    <w:rsid w:val="00a217ff"/>
    <w:rPr>
      <w:sz w:val="16"/>
      <w:szCs w:val="16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6">
    <w:name w:val="Body Text"/>
    <w:basedOn w:val="Normal"/>
    <w:rsid w:val="005513b9"/>
    <w:pPr>
      <w:widowControl/>
      <w:jc w:val="center"/>
    </w:pPr>
    <w:rPr>
      <w:sz w:val="26"/>
    </w:rPr>
  </w:style>
  <w:style w:type="paragraph" w:styleId="Style17">
    <w:name w:val="List"/>
    <w:basedOn w:val="Style16"/>
    <w:pPr/>
    <w:rPr>
      <w:rFonts w:ascii="Times New Roman" w:hAnsi="Times New Roman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rsid w:val="003e5e24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323ca7"/>
    <w:pPr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rsid w:val="006f2abd"/>
    <w:pPr>
      <w:widowControl/>
      <w:ind w:left="1418" w:right="1418" w:hanging="0"/>
      <w:jc w:val="center"/>
    </w:pPr>
    <w:rPr>
      <w:b/>
      <w:sz w:val="26"/>
    </w:rPr>
  </w:style>
  <w:style w:type="paragraph" w:styleId="BodyTextIndent2">
    <w:name w:val="Body Text Indent 2"/>
    <w:basedOn w:val="Normal"/>
    <w:link w:val="20"/>
    <w:unhideWhenUsed/>
    <w:qFormat/>
    <w:rsid w:val="002422bb"/>
    <w:pPr>
      <w:spacing w:lineRule="auto" w:line="480" w:before="0" w:after="120"/>
      <w:ind w:left="283" w:hanging="0"/>
    </w:pPr>
    <w:rPr/>
  </w:style>
  <w:style w:type="paragraph" w:styleId="ConsPlusNormal" w:customStyle="1">
    <w:name w:val="ConsPlusNormal"/>
    <w:qFormat/>
    <w:rsid w:val="00dd7744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Знак Знак Знак1"/>
    <w:basedOn w:val="Normal"/>
    <w:qFormat/>
    <w:rsid w:val="00dd7744"/>
    <w:pPr>
      <w:widowControl/>
      <w:spacing w:lineRule="exact" w:line="240" w:before="0" w:after="160"/>
    </w:pPr>
    <w:rPr>
      <w:rFonts w:ascii="Verdana" w:hAnsi="Verdana"/>
      <w:sz w:val="24"/>
      <w:szCs w:val="24"/>
      <w:lang w:val="en-US" w:eastAsia="en-US"/>
    </w:rPr>
  </w:style>
  <w:style w:type="paragraph" w:styleId="ConsPlusTitle" w:customStyle="1">
    <w:name w:val="ConsPlusTitle"/>
    <w:uiPriority w:val="99"/>
    <w:qFormat/>
    <w:rsid w:val="00af4d5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11" w:customStyle="1">
    <w:name w:val="Знак Знак Знак Знак Знак Знак Знак Знак Знак1"/>
    <w:basedOn w:val="Normal"/>
    <w:qFormat/>
    <w:rsid w:val="005b6d7d"/>
    <w:pPr>
      <w:widowControl/>
      <w:spacing w:lineRule="exact" w:line="240" w:before="0" w:after="160"/>
    </w:pPr>
    <w:rPr>
      <w:rFonts w:ascii="Verdana" w:hAnsi="Verdana"/>
      <w:sz w:val="24"/>
      <w:szCs w:val="24"/>
      <w:lang w:val="en-US" w:eastAsia="en-US"/>
    </w:rPr>
  </w:style>
  <w:style w:type="paragraph" w:styleId="Style22">
    <w:name w:val="Footer"/>
    <w:basedOn w:val="Normal"/>
    <w:rsid w:val="00d60aa6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0"/>
    <w:qFormat/>
    <w:rsid w:val="00a217ff"/>
    <w:pPr>
      <w:widowControl/>
      <w:spacing w:before="0" w:after="120"/>
      <w:ind w:left="283" w:hanging="0"/>
    </w:pPr>
    <w:rPr>
      <w:sz w:val="16"/>
      <w:szCs w:val="16"/>
      <w:lang w:val="x-none" w:eastAsia="x-none"/>
    </w:rPr>
  </w:style>
  <w:style w:type="paragraph" w:styleId="NormalWeb">
    <w:name w:val="Normal (Web)"/>
    <w:basedOn w:val="Normal"/>
    <w:qFormat/>
    <w:rsid w:val="00d44078"/>
    <w:pPr>
      <w:widowControl/>
      <w:spacing w:before="0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51b1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c0093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4A532-AFCD-40DD-B199-B932FD81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Application>LibreOffice/6.4.7.2$Linux_X86_64 LibreOffice_project/40$Build-2</Application>
  <Pages>1</Pages>
  <Words>246</Words>
  <Characters>1661</Characters>
  <CharactersWithSpaces>1895</CharactersWithSpaces>
  <Paragraphs>18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2023-01-11T12:56:00Z</dcterms:created>
  <dc:creator>Цымбалюк Елена Вячеславовна</dc:creator>
  <dc:description/>
  <dc:language>ru-RU</dc:language>
  <cp:lastModifiedBy>Владимировна Тарасенко Марина</cp:lastModifiedBy>
  <cp:lastPrinted>2023-04-10T15:11:42Z</cp:lastPrinted>
  <dcterms:modified xsi:type="dcterms:W3CDTF">2023-04-10T15:11:50Z</dcterms:modified>
  <cp:revision>44</cp:revision>
  <dc:subject/>
  <dc:title>Закон Приморского края от 26.05.2011 N 772-КЗ(ред. от 22.09.2021)"О социальной поддержке граждан в сфере ипотечного жилищного кредитования в Приморском крае"(принят Законодательным Собранием Приморского края 28.04.2011)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