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hd w:val="clear" w:color="auto" w:fill="FFFFFF"/>
        <w:ind w:right="23" w:hanging="0"/>
        <w:jc w:val="center"/>
        <w:rPr>
          <w:b/>
          <w:b/>
          <w:bCs/>
          <w:color w:val="000000"/>
          <w:spacing w:val="2"/>
          <w:sz w:val="28"/>
          <w:szCs w:val="28"/>
        </w:rPr>
      </w:pPr>
      <w:r>
        <w:rPr>
          <w:b/>
          <w:bCs/>
          <w:color w:val="000000"/>
          <w:spacing w:val="2"/>
          <w:sz w:val="28"/>
          <w:szCs w:val="28"/>
        </w:rPr>
        <w:t>ПОЯСНИТЕЛЬНАЯ ЗАПИСКА</w:t>
      </w:r>
    </w:p>
    <w:p>
      <w:pPr>
        <w:pStyle w:val="Normal"/>
        <w:shd w:val="clear" w:color="auto" w:fill="FFFFFF"/>
        <w:ind w:right="23" w:hanging="0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color w:val="000000"/>
          <w:spacing w:val="2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>к проекту закона Приморского края</w:t>
      </w:r>
    </w:p>
    <w:p>
      <w:pPr>
        <w:pStyle w:val="Normal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«О внесении изменений в Закон Приморского края</w:t>
      </w:r>
    </w:p>
    <w:p>
      <w:pPr>
        <w:pStyle w:val="Normal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«О социальной поддержке в Приморском крае детей</w:t>
      </w:r>
    </w:p>
    <w:p>
      <w:pPr>
        <w:pStyle w:val="Normal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лиц, участвовавших в специальной военной операции</w:t>
      </w:r>
    </w:p>
    <w:p>
      <w:pPr>
        <w:pStyle w:val="Normal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на территориях Украины, Донецкой Народной Республики</w:t>
      </w:r>
    </w:p>
    <w:p>
      <w:pPr>
        <w:pStyle w:val="Normal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и Луганской Народной Республики»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spacing w:lineRule="auto" w:line="360"/>
        <w:ind w:firstLine="709"/>
        <w:jc w:val="both"/>
        <w:rPr/>
      </w:pPr>
      <w:r>
        <w:rPr>
          <w:color w:val="000000"/>
          <w:spacing w:val="2"/>
          <w:sz w:val="28"/>
          <w:szCs w:val="28"/>
        </w:rPr>
        <w:t>Проектом закона Приморского края «О внесении изменений в Закон Приморского края «О социальной поддержке в Приморском крае детей лиц, участвовавших в специальной военной операции на территориях Украины, Донецкой Народной Республики и Луганской Народной Республики»</w:t>
      </w:r>
      <w:r>
        <w:rPr>
          <w:bCs/>
          <w:color w:val="000000"/>
          <w:spacing w:val="2"/>
          <w:sz w:val="28"/>
          <w:szCs w:val="28"/>
        </w:rPr>
        <w:t xml:space="preserve"> (далее соответственно – проект закона, специальная военная операция)</w:t>
      </w:r>
      <w:r>
        <w:rPr>
          <w:color w:val="000000"/>
          <w:spacing w:val="2"/>
          <w:sz w:val="28"/>
          <w:szCs w:val="28"/>
        </w:rPr>
        <w:t xml:space="preserve"> вносятся следующие изменения.</w:t>
      </w:r>
    </w:p>
    <w:p>
      <w:pPr>
        <w:pStyle w:val="Normal"/>
        <w:spacing w:lineRule="auto" w:line="360"/>
        <w:ind w:firstLine="709"/>
        <w:jc w:val="both"/>
        <w:rPr/>
      </w:pPr>
      <w:r>
        <w:rPr>
          <w:bCs/>
          <w:sz w:val="28"/>
          <w:szCs w:val="28"/>
        </w:rPr>
        <w:t>Устанавлива</w:t>
      </w:r>
      <w:r>
        <w:rPr>
          <w:rFonts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е</w:t>
      </w:r>
      <w:r>
        <w:rPr>
          <w:bCs/>
          <w:sz w:val="28"/>
          <w:szCs w:val="28"/>
        </w:rPr>
        <w:t>тся нов</w:t>
      </w:r>
      <w:r>
        <w:rPr>
          <w:rFonts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ая</w:t>
      </w:r>
      <w:r>
        <w:rPr>
          <w:bCs/>
          <w:sz w:val="28"/>
          <w:szCs w:val="28"/>
        </w:rPr>
        <w:t xml:space="preserve"> категори</w:t>
      </w:r>
      <w:r>
        <w:rPr>
          <w:rFonts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я</w:t>
      </w:r>
      <w:r>
        <w:rPr>
          <w:bCs/>
          <w:sz w:val="28"/>
          <w:szCs w:val="28"/>
        </w:rPr>
        <w:t xml:space="preserve"> детей, имеющих право на однократное предоставление денежной выплаты на приобретение или строительство жилого помещения на территории Приморского края (далее - денежная выплата) — </w:t>
      </w:r>
      <w:r>
        <w:rPr>
          <w:rFonts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дети,</w:t>
      </w:r>
      <w:r>
        <w:rPr>
          <w:bCs/>
          <w:sz w:val="28"/>
          <w:szCs w:val="28"/>
        </w:rPr>
        <w:t xml:space="preserve"> рожденны</w:t>
      </w:r>
      <w:r>
        <w:rPr>
          <w:rFonts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е</w:t>
      </w:r>
      <w:r>
        <w:rPr>
          <w:bCs/>
          <w:sz w:val="28"/>
          <w:szCs w:val="28"/>
        </w:rPr>
        <w:t xml:space="preserve"> после гибели ветерана боевых действий, в отношении котор</w:t>
      </w:r>
      <w:r>
        <w:rPr>
          <w:rFonts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ых</w:t>
      </w:r>
      <w:r>
        <w:rPr>
          <w:bCs/>
          <w:sz w:val="28"/>
          <w:szCs w:val="28"/>
        </w:rPr>
        <w:t xml:space="preserve"> отцовство установлено в соответствии с пунктом 2 статьи 48 Семейного кодекса Российской Федерации.</w:t>
      </w:r>
    </w:p>
    <w:p>
      <w:pPr>
        <w:pStyle w:val="Normal"/>
        <w:spacing w:lineRule="auto" w:line="360"/>
        <w:ind w:firstLine="709"/>
        <w:jc w:val="both"/>
        <w:rPr/>
      </w:pPr>
      <w:r>
        <w:rPr>
          <w:bCs/>
          <w:sz w:val="28"/>
          <w:szCs w:val="28"/>
        </w:rPr>
        <w:t xml:space="preserve">В соответствии с проектом закона денежная выплата предоставляется в случае отсутствия у детей права собственности на жилое помещение, за исключением случаев наличия права собственности на часть жилого помещения либо жилого помещения на праве общей долевой или общей совместной </w:t>
      </w:r>
      <w:r>
        <w:rPr>
          <w:rFonts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собственности</w:t>
      </w:r>
      <w:r>
        <w:rPr>
          <w:bCs/>
          <w:sz w:val="28"/>
          <w:szCs w:val="28"/>
        </w:rPr>
        <w:t>.</w:t>
      </w:r>
    </w:p>
    <w:p>
      <w:pPr>
        <w:pStyle w:val="Normal"/>
        <w:spacing w:lineRule="auto" w:line="360"/>
        <w:ind w:firstLine="709"/>
        <w:jc w:val="both"/>
        <w:rPr/>
      </w:pPr>
      <w:r>
        <w:rPr>
          <w:bCs/>
          <w:sz w:val="28"/>
          <w:szCs w:val="28"/>
        </w:rPr>
        <w:t>С заявлен</w:t>
      </w:r>
      <w:r>
        <w:rPr>
          <w:rFonts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 xml:space="preserve">ием </w:t>
      </w:r>
      <w:r>
        <w:rPr>
          <w:bCs/>
          <w:sz w:val="28"/>
          <w:szCs w:val="28"/>
        </w:rPr>
        <w:t>о предоставлении выплаты дети могут обратиться в течени</w:t>
      </w:r>
      <w:r>
        <w:rPr>
          <w:bCs/>
          <w:sz w:val="28"/>
          <w:szCs w:val="28"/>
        </w:rPr>
        <w:t>е</w:t>
      </w:r>
      <w:r>
        <w:rPr>
          <w:bCs/>
          <w:sz w:val="28"/>
          <w:szCs w:val="28"/>
        </w:rPr>
        <w:t xml:space="preserve">  18 месяцев с даты достижения возраста 18 лет или 18 месяцев с даты гибели (смерти) ветерана боевых действий или установления инвалидности  1 группы ветерану боевых действий, но не ранее 6 месяцев с даты смерти (гибели) ветерана.</w:t>
      </w:r>
    </w:p>
    <w:p>
      <w:pPr>
        <w:pStyle w:val="Normal"/>
        <w:spacing w:lineRule="auto" w:line="360"/>
        <w:ind w:firstLine="709"/>
        <w:jc w:val="both"/>
        <w:rPr/>
      </w:pPr>
      <w:r>
        <w:rPr>
          <w:bCs/>
          <w:sz w:val="28"/>
          <w:szCs w:val="28"/>
        </w:rPr>
        <w:t xml:space="preserve">Право на денежную выплату может быть реализовано посредством оплаты договора купли-продажи жилого помещения или договора участия в долевом строительстве жилого помещения. </w:t>
      </w:r>
    </w:p>
    <w:p>
      <w:pPr>
        <w:pStyle w:val="Normal"/>
        <w:spacing w:lineRule="auto" w:line="360"/>
        <w:ind w:firstLine="709"/>
        <w:jc w:val="both"/>
        <w:rPr/>
      </w:pPr>
      <w:r>
        <w:rPr>
          <w:bCs/>
          <w:sz w:val="28"/>
          <w:szCs w:val="28"/>
        </w:rPr>
        <w:t xml:space="preserve">При этом </w:t>
      </w:r>
      <w:r>
        <w:rPr>
          <w:rFonts w:eastAsia="Times New Roman" w:cs="Times New Roman"/>
          <w:b w:val="false"/>
          <w:bCs w:val="false"/>
          <w:i w:val="false"/>
          <w:iCs w:val="false"/>
          <w:color w:val="auto"/>
          <w:kern w:val="0"/>
          <w:sz w:val="28"/>
          <w:szCs w:val="28"/>
          <w:lang w:val="ru-RU" w:eastAsia="ru-RU" w:bidi="ar-SA"/>
        </w:rPr>
        <w:t>о</w:t>
      </w:r>
      <w:r>
        <w:rPr>
          <w:rFonts w:cs="Times New Roman"/>
          <w:b w:val="false"/>
          <w:bCs w:val="false"/>
          <w:i w:val="false"/>
          <w:iCs w:val="false"/>
          <w:color w:val="auto"/>
          <w:sz w:val="28"/>
          <w:szCs w:val="28"/>
        </w:rPr>
        <w:t xml:space="preserve">бщая площадь приобретенного, построенного жилого помещения не может быть меньше </w:t>
      </w:r>
      <w:r>
        <w:rPr>
          <w:rFonts w:eastAsia="Times New Roman;DejaVu Sans" w:cs="Times New Roman"/>
          <w:b w:val="false"/>
          <w:bCs w:val="false"/>
          <w:i w:val="false"/>
          <w:iCs w:val="false"/>
          <w:color w:val="000000"/>
          <w:sz w:val="28"/>
          <w:szCs w:val="28"/>
          <w:lang w:val="ru-RU" w:eastAsia="zh-CN" w:bidi="ar-SA"/>
        </w:rPr>
        <w:t>18 квадратных метров</w:t>
      </w:r>
      <w:r>
        <w:rPr>
          <w:rFonts w:cs="Times New Roman"/>
          <w:b w:val="false"/>
          <w:bCs w:val="false"/>
          <w:i w:val="false"/>
          <w:iCs w:val="false"/>
          <w:color w:val="000000"/>
          <w:sz w:val="28"/>
          <w:szCs w:val="28"/>
        </w:rPr>
        <w:t xml:space="preserve">. </w:t>
      </w:r>
    </w:p>
    <w:p>
      <w:pPr>
        <w:pStyle w:val="Normal"/>
        <w:spacing w:lineRule="auto" w:line="360"/>
        <w:ind w:firstLine="709"/>
        <w:jc w:val="both"/>
        <w:rPr/>
      </w:pPr>
      <w:r>
        <w:rPr>
          <w:bCs/>
          <w:sz w:val="28"/>
          <w:szCs w:val="28"/>
        </w:rPr>
        <w:t>Проектом закона вносятся юридико-технические правки.</w:t>
      </w:r>
    </w:p>
    <w:p>
      <w:pPr>
        <w:pStyle w:val="Normal"/>
        <w:spacing w:lineRule="auto" w:line="360"/>
        <w:ind w:firstLine="709"/>
        <w:jc w:val="both"/>
        <w:rPr/>
      </w:pPr>
      <w:r>
        <w:rPr>
          <w:bCs/>
          <w:sz w:val="28"/>
          <w:szCs w:val="28"/>
        </w:rPr>
        <w:t xml:space="preserve">Кроме того, проектом закона устанавливается право обратиться за предоставлением денежной выплаты детям до достижения возраста 18 лет, если  дети погибшего ветерана боевых действий </w:t>
      </w:r>
      <w:r>
        <w:rPr>
          <w:rFonts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являются членами семьи, в которой воспитывается двое и более несовершеннолетних детей погибшего ветерана боевых.</w:t>
      </w:r>
    </w:p>
    <w:p>
      <w:pPr>
        <w:pStyle w:val="Normal"/>
        <w:spacing w:lineRule="auto" w:line="360"/>
        <w:ind w:firstLine="709"/>
        <w:jc w:val="both"/>
        <w:rPr/>
      </w:pPr>
      <w:r>
        <w:rPr>
          <w:bCs/>
          <w:sz w:val="28"/>
          <w:szCs w:val="28"/>
        </w:rPr>
        <w:t>Для детей этой категории, в случае и</w:t>
      </w:r>
      <w:r>
        <w:rPr>
          <w:rFonts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х</w:t>
      </w:r>
      <w:r>
        <w:rPr>
          <w:bCs/>
          <w:sz w:val="28"/>
          <w:szCs w:val="28"/>
        </w:rPr>
        <w:t xml:space="preserve"> проживания на территории</w:t>
        <w:br/>
        <w:t>г. Владивостока, вводится новая мера поддержки в виде однократного предоставления жилого помещения в собственность.</w:t>
      </w:r>
    </w:p>
    <w:p>
      <w:pPr>
        <w:pStyle w:val="Normal"/>
        <w:spacing w:lineRule="auto" w:line="360"/>
        <w:ind w:firstLine="709"/>
        <w:jc w:val="both"/>
        <w:rPr/>
      </w:pPr>
      <w:r>
        <w:rPr>
          <w:bCs/>
          <w:sz w:val="28"/>
          <w:szCs w:val="28"/>
        </w:rPr>
        <w:t>Заявление о предоставлении жилого помещения подает законный представитель детей.</w:t>
      </w:r>
    </w:p>
    <w:p>
      <w:pPr>
        <w:pStyle w:val="Normal"/>
        <w:spacing w:lineRule="auto" w:line="360"/>
        <w:ind w:firstLine="709"/>
        <w:jc w:val="both"/>
        <w:rPr/>
      </w:pPr>
      <w:r>
        <w:rPr>
          <w:bCs/>
          <w:sz w:val="28"/>
          <w:szCs w:val="28"/>
        </w:rPr>
        <w:t xml:space="preserve">Законопроект определяет порядок формирования реестра </w:t>
      </w:r>
      <w:r>
        <w:rPr>
          <w:rFonts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лиц,</w:t>
      </w:r>
      <w:r>
        <w:rPr>
          <w:bCs/>
          <w:sz w:val="28"/>
          <w:szCs w:val="28"/>
        </w:rPr>
        <w:t xml:space="preserve"> имеющих право на меру поддержки, основания для отказа.</w:t>
      </w:r>
    </w:p>
    <w:p>
      <w:pPr>
        <w:pStyle w:val="Normal"/>
        <w:spacing w:lineRule="auto" w:line="360"/>
        <w:ind w:firstLine="709"/>
        <w:jc w:val="both"/>
        <w:rPr/>
      </w:pPr>
      <w:r>
        <w:rPr>
          <w:bCs/>
          <w:sz w:val="28"/>
          <w:szCs w:val="28"/>
        </w:rPr>
        <w:t>Устанавливает норму площади предоставления жилого помещения на</w:t>
        <w:br/>
        <w:t>1 ребенка 18 кв.м, но не более 36 кв.м.</w:t>
      </w:r>
    </w:p>
    <w:p>
      <w:pPr>
        <w:pStyle w:val="Normal"/>
        <w:spacing w:lineRule="auto" w:line="360"/>
        <w:ind w:firstLine="709"/>
        <w:jc w:val="both"/>
        <w:rPr/>
      </w:pPr>
      <w:r>
        <w:rPr>
          <w:bCs/>
          <w:sz w:val="28"/>
          <w:szCs w:val="28"/>
        </w:rPr>
        <w:t xml:space="preserve">Законопроектом устанавливается орган уполномоченный на проведение  ремонта предоставляемых жилых помещениях — министерство </w:t>
      </w:r>
      <w:r>
        <w:rPr>
          <w:rFonts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 xml:space="preserve">труда и социальной политики </w:t>
      </w:r>
      <w:r>
        <w:rPr>
          <w:bCs/>
          <w:sz w:val="28"/>
          <w:szCs w:val="28"/>
        </w:rPr>
        <w:t xml:space="preserve"> Приморского края.</w:t>
      </w:r>
    </w:p>
    <w:p>
      <w:pPr>
        <w:pStyle w:val="Normal"/>
        <w:spacing w:lineRule="auto" w:line="360"/>
        <w:ind w:firstLine="709"/>
        <w:jc w:val="both"/>
        <w:rPr>
          <w:rFonts w:ascii="Times New Roman" w:hAnsi="Times New Roman"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</w:pPr>
      <w:r>
        <w:rPr>
          <w:rFonts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Орган уполномоченный на предоставление жилых помещений в собственность граждан — министерство имущественных и земельных отношений Приморского края.</w:t>
      </w:r>
    </w:p>
    <w:p>
      <w:pPr>
        <w:pStyle w:val="Normal"/>
        <w:spacing w:lineRule="auto" w:line="360"/>
        <w:ind w:firstLine="709"/>
        <w:jc w:val="both"/>
        <w:rPr/>
      </w:pPr>
      <w:r>
        <w:rPr>
          <w:bCs/>
          <w:sz w:val="28"/>
          <w:szCs w:val="28"/>
        </w:rPr>
        <w:t xml:space="preserve">Порядок реализации меры социальной поддержки в виде предоставления  жилых помещений </w:t>
      </w:r>
      <w:r>
        <w:rPr>
          <w:rFonts w:eastAsia="Times New Roman" w:cs="Times New Roman"/>
          <w:bCs/>
          <w:color w:val="auto"/>
          <w:kern w:val="0"/>
          <w:sz w:val="28"/>
          <w:szCs w:val="28"/>
          <w:lang w:val="ru-RU" w:eastAsia="ru-RU" w:bidi="ar-SA"/>
        </w:rPr>
        <w:t>в собственность</w:t>
      </w:r>
      <w:r>
        <w:rPr>
          <w:bCs/>
          <w:sz w:val="28"/>
          <w:szCs w:val="28"/>
        </w:rPr>
        <w:t xml:space="preserve"> устанавливается Правительством Приморского края.</w:t>
      </w:r>
    </w:p>
    <w:p>
      <w:pPr>
        <w:pStyle w:val="Normal"/>
        <w:spacing w:lineRule="auto" w:line="276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</w:r>
    </w:p>
    <w:tbl>
      <w:tblPr>
        <w:tblW w:w="9747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 w:noVBand="1" w:noHBand="0" w:firstRow="1" w:lastRow="0" w:firstColumn="1" w:lastColumn="0"/>
      </w:tblPr>
      <w:tblGrid>
        <w:gridCol w:w="3975"/>
        <w:gridCol w:w="5771"/>
      </w:tblGrid>
      <w:tr>
        <w:trPr/>
        <w:tc>
          <w:tcPr>
            <w:tcW w:w="3975" w:type="dxa"/>
            <w:tcBorders/>
            <w:shd w:color="auto" w:fill="auto" w:val="clear"/>
          </w:tcPr>
          <w:p>
            <w:pPr>
              <w:pStyle w:val="Normal"/>
              <w:jc w:val="center"/>
              <w:rPr/>
            </w:pPr>
            <w:r>
              <w:rPr>
                <w:color w:val="000000"/>
                <w:sz w:val="28"/>
                <w:szCs w:val="28"/>
              </w:rPr>
              <w:t>Заместитель</w:t>
            </w:r>
          </w:p>
          <w:p>
            <w:pPr>
              <w:pStyle w:val="Normal"/>
              <w:jc w:val="center"/>
              <w:rPr/>
            </w:pPr>
            <w:r>
              <w:rPr>
                <w:rFonts w:eastAsia="Times New Roman" w:cs="Times New Roman"/>
                <w:color w:val="000000"/>
                <w:kern w:val="0"/>
                <w:sz w:val="28"/>
                <w:szCs w:val="28"/>
                <w:lang w:val="ru-RU" w:eastAsia="ru-RU" w:bidi="ar-SA"/>
              </w:rPr>
              <w:t>П</w:t>
            </w:r>
            <w:r>
              <w:rPr>
                <w:color w:val="000000"/>
                <w:sz w:val="28"/>
                <w:szCs w:val="28"/>
              </w:rPr>
              <w:t>редседателя Правительства</w:t>
            </w:r>
          </w:p>
          <w:p>
            <w:pPr>
              <w:pStyle w:val="Normal"/>
              <w:jc w:val="center"/>
              <w:rPr/>
            </w:pPr>
            <w:r>
              <w:rPr>
                <w:color w:val="000000"/>
                <w:sz w:val="28"/>
                <w:szCs w:val="28"/>
              </w:rPr>
              <w:t>Приморского края – министр</w:t>
            </w:r>
          </w:p>
          <w:p>
            <w:pPr>
              <w:pStyle w:val="Normal"/>
              <w:jc w:val="center"/>
              <w:rPr/>
            </w:pPr>
            <w:r>
              <w:rPr>
                <w:color w:val="000000"/>
                <w:sz w:val="28"/>
                <w:szCs w:val="28"/>
              </w:rPr>
              <w:t>культуры и архивного дела</w:t>
            </w:r>
          </w:p>
          <w:p>
            <w:pPr>
              <w:pStyle w:val="Normal"/>
              <w:jc w:val="center"/>
              <w:rPr/>
            </w:pPr>
            <w:bookmarkStart w:id="0" w:name="_GoBack"/>
            <w:bookmarkEnd w:id="0"/>
            <w:r>
              <w:rPr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5771" w:type="dxa"/>
            <w:tcBorders/>
            <w:shd w:color="auto" w:fill="auto" w:val="clear"/>
          </w:tcPr>
          <w:p>
            <w:pPr>
              <w:pStyle w:val="Normal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Normal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Normal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Normal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</w:p>
          <w:p>
            <w:pPr>
              <w:pStyle w:val="Normal"/>
              <w:jc w:val="righ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Е.Н. Бронникова</w:t>
            </w:r>
          </w:p>
        </w:tc>
      </w:tr>
    </w:tbl>
    <w:p>
      <w:pPr>
        <w:pStyle w:val="Style15"/>
        <w:jc w:val="both"/>
        <w:rPr>
          <w:sz w:val="6"/>
          <w:szCs w:val="28"/>
        </w:rPr>
      </w:pPr>
      <w:r>
        <w:rPr/>
      </w:r>
    </w:p>
    <w:sectPr>
      <w:headerReference w:type="default" r:id="rId2"/>
      <w:type w:val="nextPage"/>
      <w:pgSz w:w="11906" w:h="16838"/>
      <w:pgMar w:left="1418" w:right="851" w:header="0" w:top="795" w:footer="0" w:bottom="1134" w:gutter="0"/>
      <w:pgNumType w:fmt="decimal"/>
      <w:formProt w:val="false"/>
      <w:titlePg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Tahoma">
    <w:charset w:val="01"/>
    <w:family w:val="roman"/>
    <w:pitch w:val="default"/>
  </w:font>
  <w:font w:name="Arial">
    <w:charset w:val="01"/>
    <w:family w:val="roman"/>
    <w:pitch w:val="default"/>
  </w:font>
  <w:font w:name="Verdana"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0"/>
      <w:rPr/>
    </w:pPr>
    <w:r>
      <w:rPr/>
      <mc:AlternateContent>
        <mc:Choice Requires="wps">
          <w:drawing>
            <wp:anchor behindDoc="1" distT="0" distB="0" distL="0" distR="0" simplePos="0" locked="0" layoutInCell="1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133985</wp:posOffset>
              </wp:positionV>
              <wp:extent cx="90170" cy="174625"/>
              <wp:effectExtent l="0" t="0" r="0" b="0"/>
              <wp:wrapSquare wrapText="largest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9640" cy="1738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Style20"/>
                            <w:rPr>
                              <w:rStyle w:val="Pagenumber"/>
                              <w:sz w:val="24"/>
                              <w:szCs w:val="24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sz w:val="24"/>
                              <w:szCs w:val="24"/>
                              <w:color w:val="000000"/>
                            </w:rPr>
                            <w:instrText> PAGE </w:instrText>
                          </w:r>
                          <w:r>
                            <w:rPr>
                              <w:rStyle w:val="Pagenumber"/>
                              <w:sz w:val="24"/>
                              <w:szCs w:val="24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sz w:val="24"/>
                              <w:szCs w:val="24"/>
                              <w:color w:val="000000"/>
                            </w:rPr>
                            <w:t>2</w:t>
                          </w:r>
                          <w:r>
                            <w:rPr>
                              <w:rStyle w:val="Pagenumber"/>
                              <w:sz w:val="24"/>
                              <w:szCs w:val="24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stroked="f" style="position:absolute;margin-left:237.35pt;margin-top:10.55pt;width:7pt;height:13.65pt;mso-position-horizontal:center;mso-position-horizontal-relative:margin">
              <w10:wrap type="square"/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Style20"/>
                      <w:rPr>
                        <w:rStyle w:val="Pagenumber"/>
                        <w:sz w:val="24"/>
                        <w:szCs w:val="24"/>
                      </w:rPr>
                    </w:pPr>
                    <w:r>
                      <w:rPr>
                        <w:rStyle w:val="Pagenumber"/>
                        <w:color w:val="000000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Style w:val="Pagenumber"/>
                        <w:sz w:val="24"/>
                        <w:szCs w:val="24"/>
                        <w:color w:val="000000"/>
                      </w:rPr>
                      <w:instrText> PAGE </w:instrText>
                    </w:r>
                    <w:r>
                      <w:rPr>
                        <w:rStyle w:val="Pagenumber"/>
                        <w:sz w:val="24"/>
                        <w:szCs w:val="24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sz w:val="24"/>
                        <w:szCs w:val="24"/>
                        <w:color w:val="000000"/>
                      </w:rPr>
                      <w:t>2</w:t>
                    </w:r>
                    <w:r>
                      <w:rPr>
                        <w:rStyle w:val="Pagenumber"/>
                        <w:sz w:val="24"/>
                        <w:szCs w:val="24"/>
                        <w:color w:val="000000"/>
                      </w:rPr>
                      <w:fldChar w:fldCharType="end"/>
                    </w:r>
                  </w:p>
                </w:txbxContent>
              </v:textbox>
            </v:rect>
          </w:pict>
        </mc:Fallback>
      </mc:AlternateContent>
    </w:r>
  </w:p>
  <w:p>
    <w:pPr>
      <w:pStyle w:val="Style20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doNotHyphenateCaps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umentProtection w:edit="forms" w:enforcement="1" w:cryptProviderType="rsaAES" w:cryptAlgorithmClass="hash" w:cryptAlgorithmType="typeAny" w:cryptAlgorithmSid="" w:cryptSpinCount="0" w:hash="" w:salt=""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uiPriority="0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agenumber">
    <w:name w:val="page number"/>
    <w:basedOn w:val="DefaultParagraphFont"/>
    <w:qFormat/>
    <w:rsid w:val="003e5e24"/>
    <w:rPr/>
  </w:style>
  <w:style w:type="character" w:styleId="2" w:customStyle="1">
    <w:name w:val="Основной текст с отступом 2 Знак"/>
    <w:link w:val="2"/>
    <w:qFormat/>
    <w:rsid w:val="002422bb"/>
    <w:rPr>
      <w:lang w:val="ru-RU" w:eastAsia="ru-RU" w:bidi="ar-SA"/>
    </w:rPr>
  </w:style>
  <w:style w:type="character" w:styleId="3" w:customStyle="1">
    <w:name w:val="Основной текст с отступом 3 Знак"/>
    <w:link w:val="3"/>
    <w:qFormat/>
    <w:rsid w:val="00a217ff"/>
    <w:rPr>
      <w:sz w:val="16"/>
      <w:szCs w:val="16"/>
    </w:rPr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Times New Roman" w:hAnsi="Times New Roman" w:eastAsia="Tahoma" w:cs="Noto Sans Devanagari"/>
      <w:sz w:val="28"/>
      <w:szCs w:val="28"/>
    </w:rPr>
  </w:style>
  <w:style w:type="paragraph" w:styleId="Style15">
    <w:name w:val="Body Text"/>
    <w:basedOn w:val="Normal"/>
    <w:rsid w:val="005513b9"/>
    <w:pPr>
      <w:widowControl/>
      <w:jc w:val="center"/>
    </w:pPr>
    <w:rPr>
      <w:sz w:val="26"/>
    </w:rPr>
  </w:style>
  <w:style w:type="paragraph" w:styleId="Style16">
    <w:name w:val="List"/>
    <w:basedOn w:val="Style15"/>
    <w:pPr/>
    <w:rPr>
      <w:rFonts w:ascii="Times New Roman" w:hAnsi="Times New Roman" w:cs="Noto Sans Devanagari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ascii="Times New Roman" w:hAnsi="Times New Roman" w:cs="Noto Sans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ascii="Times New Roman" w:hAnsi="Times New Roman" w:cs="Noto Sans Devanagari"/>
    </w:rPr>
  </w:style>
  <w:style w:type="paragraph" w:styleId="Style19">
    <w:name w:val="Верхний и нижний колонтитулы"/>
    <w:basedOn w:val="Normal"/>
    <w:qFormat/>
    <w:pPr/>
    <w:rPr/>
  </w:style>
  <w:style w:type="paragraph" w:styleId="Style20">
    <w:name w:val="Header"/>
    <w:basedOn w:val="Normal"/>
    <w:rsid w:val="003e5e24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BalloonText">
    <w:name w:val="Balloon Text"/>
    <w:basedOn w:val="Normal"/>
    <w:semiHidden/>
    <w:qFormat/>
    <w:rsid w:val="00323ca7"/>
    <w:pPr/>
    <w:rPr>
      <w:rFonts w:ascii="Tahoma" w:hAnsi="Tahoma" w:cs="Tahoma"/>
      <w:sz w:val="16"/>
      <w:szCs w:val="16"/>
    </w:rPr>
  </w:style>
  <w:style w:type="paragraph" w:styleId="BlockText">
    <w:name w:val="Block Text"/>
    <w:basedOn w:val="Normal"/>
    <w:qFormat/>
    <w:rsid w:val="006f2abd"/>
    <w:pPr>
      <w:widowControl/>
      <w:ind w:left="1418" w:right="1418" w:hanging="0"/>
      <w:jc w:val="center"/>
    </w:pPr>
    <w:rPr>
      <w:b/>
      <w:sz w:val="26"/>
    </w:rPr>
  </w:style>
  <w:style w:type="paragraph" w:styleId="BodyTextIndent2">
    <w:name w:val="Body Text Indent 2"/>
    <w:basedOn w:val="Normal"/>
    <w:link w:val="20"/>
    <w:unhideWhenUsed/>
    <w:qFormat/>
    <w:rsid w:val="002422bb"/>
    <w:pPr>
      <w:spacing w:lineRule="auto" w:line="480" w:before="0" w:after="120"/>
      <w:ind w:left="283" w:hanging="0"/>
    </w:pPr>
    <w:rPr/>
  </w:style>
  <w:style w:type="paragraph" w:styleId="ConsPlusNormal" w:customStyle="1">
    <w:name w:val="ConsPlusNormal"/>
    <w:qFormat/>
    <w:rsid w:val="00dd7744"/>
    <w:pPr>
      <w:widowControl w:val="false"/>
      <w:suppressAutoHyphens w:val="true"/>
      <w:bidi w:val="0"/>
      <w:spacing w:before="0" w:after="0"/>
      <w:ind w:firstLine="72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paragraph" w:styleId="1" w:customStyle="1">
    <w:name w:val="Знак Знак Знак1"/>
    <w:basedOn w:val="Normal"/>
    <w:qFormat/>
    <w:rsid w:val="00dd7744"/>
    <w:pPr>
      <w:widowControl/>
      <w:spacing w:lineRule="exact" w:line="240" w:before="0" w:after="160"/>
    </w:pPr>
    <w:rPr>
      <w:rFonts w:ascii="Verdana" w:hAnsi="Verdana"/>
      <w:sz w:val="24"/>
      <w:szCs w:val="24"/>
      <w:lang w:val="en-US" w:eastAsia="en-US"/>
    </w:rPr>
  </w:style>
  <w:style w:type="paragraph" w:styleId="ConsPlusTitle" w:customStyle="1">
    <w:name w:val="ConsPlusTitle"/>
    <w:uiPriority w:val="99"/>
    <w:qFormat/>
    <w:rsid w:val="00af4d57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b/>
      <w:bCs/>
      <w:color w:val="auto"/>
      <w:kern w:val="0"/>
      <w:sz w:val="28"/>
      <w:szCs w:val="28"/>
      <w:lang w:val="ru-RU" w:eastAsia="ru-RU" w:bidi="ar-SA"/>
    </w:rPr>
  </w:style>
  <w:style w:type="paragraph" w:styleId="11" w:customStyle="1">
    <w:name w:val="Знак Знак Знак Знак Знак Знак Знак Знак Знак1"/>
    <w:basedOn w:val="Normal"/>
    <w:qFormat/>
    <w:rsid w:val="005b6d7d"/>
    <w:pPr>
      <w:widowControl/>
      <w:spacing w:lineRule="exact" w:line="240" w:before="0" w:after="160"/>
    </w:pPr>
    <w:rPr>
      <w:rFonts w:ascii="Verdana" w:hAnsi="Verdana"/>
      <w:sz w:val="24"/>
      <w:szCs w:val="24"/>
      <w:lang w:val="en-US" w:eastAsia="en-US"/>
    </w:rPr>
  </w:style>
  <w:style w:type="paragraph" w:styleId="Style21">
    <w:name w:val="Footer"/>
    <w:basedOn w:val="Normal"/>
    <w:rsid w:val="00d60aa6"/>
    <w:pPr>
      <w:tabs>
        <w:tab w:val="clear" w:pos="720"/>
        <w:tab w:val="center" w:pos="4677" w:leader="none"/>
        <w:tab w:val="right" w:pos="9355" w:leader="none"/>
      </w:tabs>
    </w:pPr>
    <w:rPr/>
  </w:style>
  <w:style w:type="paragraph" w:styleId="BodyTextIndent3">
    <w:name w:val="Body Text Indent 3"/>
    <w:basedOn w:val="Normal"/>
    <w:link w:val="30"/>
    <w:qFormat/>
    <w:rsid w:val="00a217ff"/>
    <w:pPr>
      <w:widowControl/>
      <w:spacing w:before="0" w:after="120"/>
      <w:ind w:left="283" w:hanging="0"/>
    </w:pPr>
    <w:rPr>
      <w:sz w:val="16"/>
      <w:szCs w:val="16"/>
      <w:lang w:val="x-none" w:eastAsia="x-none"/>
    </w:rPr>
  </w:style>
  <w:style w:type="paragraph" w:styleId="NormalWeb">
    <w:name w:val="Normal (Web)"/>
    <w:basedOn w:val="Normal"/>
    <w:qFormat/>
    <w:rsid w:val="00d44078"/>
    <w:pPr>
      <w:widowControl/>
      <w:spacing w:before="0" w:after="168"/>
    </w:pPr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dd51b1"/>
    <w:pPr>
      <w:spacing w:before="0" w:after="0"/>
      <w:ind w:left="720" w:hanging="0"/>
      <w:contextualSpacing/>
    </w:pPr>
    <w:rPr/>
  </w:style>
  <w:style w:type="paragraph" w:styleId="NoSpacing">
    <w:name w:val="No Spacing"/>
    <w:uiPriority w:val="1"/>
    <w:qFormat/>
    <w:rsid w:val="00c0093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Style22">
    <w:name w:val="Содержимое врезки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EE830B-F544-47C0-A62D-16076D53A4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Application>LibreOffice/6.4.7.2$Linux_X86_64 LibreOffice_project/40$Build-2</Application>
  <Pages>2</Pages>
  <Words>419</Words>
  <Characters>2896</Characters>
  <CharactersWithSpaces>3299</CharactersWithSpaces>
  <Paragraphs>29</Paragraphs>
  <Company>apk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2022-04-23T01:09:00Z</dcterms:created>
  <dc:creator>Цымбалюк Елена Вячеславовна</dc:creator>
  <dc:description/>
  <dc:language>ru-RU</dc:language>
  <cp:lastModifiedBy>Владимировна Тарасенко Марина</cp:lastModifiedBy>
  <cp:lastPrinted>2020-05-16T07:54:00Z</cp:lastPrinted>
  <dcterms:modified xsi:type="dcterms:W3CDTF">2023-04-11T10:50:25Z</dcterms:modified>
  <cp:revision>42</cp:revision>
  <dc:subject/>
  <dc:title>ПОЯСНИТЕЛЬНАЯ ЗАПИСКА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apk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