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1741288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624BA" w:rsidRPr="00096E25" w:rsidRDefault="00E624BA" w:rsidP="00E624BA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СТАТЬЮ 16</w:t>
      </w:r>
      <w:r w:rsidRPr="00152877">
        <w:rPr>
          <w:b/>
          <w:szCs w:val="28"/>
          <w:vertAlign w:val="superscript"/>
        </w:rPr>
        <w:t>1</w:t>
      </w:r>
      <w:r w:rsidRPr="00D77B75">
        <w:rPr>
          <w:b/>
          <w:szCs w:val="28"/>
        </w:rPr>
        <w:t xml:space="preserve"> ЗАКОНА ПРИМОРСКОГО КРАЯ</w:t>
      </w:r>
      <w:r>
        <w:rPr>
          <w:b/>
          <w:szCs w:val="28"/>
        </w:rPr>
        <w:t xml:space="preserve"> "</w:t>
      </w:r>
      <w:r w:rsidRPr="00D77B75">
        <w:rPr>
          <w:b/>
          <w:szCs w:val="28"/>
        </w:rPr>
        <w:t xml:space="preserve">О МУНИЦИПАЛЬНОЙ СЛУЖБЕ </w:t>
      </w:r>
      <w:r>
        <w:rPr>
          <w:b/>
          <w:szCs w:val="28"/>
        </w:rPr>
        <w:br/>
        <w:t>В ПРИМОРСКОМ КРАЕ"</w:t>
      </w:r>
    </w:p>
    <w:p w:rsidR="00E624BA" w:rsidRPr="009E4A0A" w:rsidRDefault="00E624BA" w:rsidP="00E624BA">
      <w:pPr>
        <w:pStyle w:val="ConsPlusTitle"/>
        <w:widowControl/>
        <w:ind w:firstLine="709"/>
        <w:jc w:val="center"/>
        <w:rPr>
          <w:b w:val="0"/>
        </w:rPr>
      </w:pPr>
    </w:p>
    <w:p w:rsidR="00E624BA" w:rsidRDefault="00E624BA" w:rsidP="00E624BA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 xml:space="preserve">дательным Собранием Приморского края 22 июня </w:t>
      </w:r>
      <w:r>
        <w:rPr>
          <w:b w:val="0"/>
        </w:rPr>
        <w:br/>
        <w:t>2022 года в первом чтении</w:t>
      </w:r>
    </w:p>
    <w:p w:rsidR="00E624BA" w:rsidRDefault="00E624BA" w:rsidP="00E624BA">
      <w:bookmarkStart w:id="0" w:name="_GoBack"/>
      <w:bookmarkEnd w:id="0"/>
    </w:p>
    <w:p w:rsidR="00E624BA" w:rsidRPr="00AA69A6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</w:t>
      </w:r>
      <w:r w:rsidRPr="00AA69A6">
        <w:rPr>
          <w:szCs w:val="28"/>
        </w:rPr>
        <w:t>.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статью 16</w:t>
      </w:r>
      <w:r w:rsidRPr="00152877">
        <w:rPr>
          <w:szCs w:val="28"/>
          <w:vertAlign w:val="superscript"/>
        </w:rPr>
        <w:t>1</w:t>
      </w:r>
      <w:r w:rsidRPr="00D77B75">
        <w:rPr>
          <w:szCs w:val="28"/>
        </w:rPr>
        <w:t xml:space="preserve"> Закона Приморского края от 4 июня 2007 года </w:t>
      </w:r>
      <w:r>
        <w:rPr>
          <w:szCs w:val="28"/>
        </w:rPr>
        <w:br/>
        <w:t>№ 82-КЗ "</w:t>
      </w:r>
      <w:r w:rsidRPr="00D77B75">
        <w:rPr>
          <w:szCs w:val="28"/>
        </w:rPr>
        <w:t>О муницип</w:t>
      </w:r>
      <w:r>
        <w:rPr>
          <w:szCs w:val="28"/>
        </w:rPr>
        <w:t>альной службе в Приморском крае"</w:t>
      </w:r>
      <w:r w:rsidRPr="00D77B75">
        <w:rPr>
          <w:szCs w:val="28"/>
        </w:rPr>
        <w:t xml:space="preserve"> (в редакции Закона Приморского края от 7 июня 2012 года </w:t>
      </w:r>
      <w:r>
        <w:rPr>
          <w:szCs w:val="28"/>
        </w:rPr>
        <w:t>№</w:t>
      </w:r>
      <w:r w:rsidRPr="00D77B75">
        <w:rPr>
          <w:szCs w:val="28"/>
        </w:rPr>
        <w:t xml:space="preserve"> 53-КЗ) (Ведомости Законодательного Собрания Приморского края, 2012, </w:t>
      </w:r>
      <w:r>
        <w:rPr>
          <w:szCs w:val="28"/>
        </w:rPr>
        <w:t>№</w:t>
      </w:r>
      <w:r w:rsidRPr="00D77B75">
        <w:rPr>
          <w:szCs w:val="28"/>
        </w:rPr>
        <w:t xml:space="preserve"> 15, стр. 80; 2013, </w:t>
      </w:r>
      <w:r>
        <w:rPr>
          <w:szCs w:val="28"/>
        </w:rPr>
        <w:br/>
        <w:t>№</w:t>
      </w:r>
      <w:r w:rsidRPr="00D77B75">
        <w:rPr>
          <w:szCs w:val="28"/>
        </w:rPr>
        <w:t xml:space="preserve"> 46, стр. 12, </w:t>
      </w:r>
      <w:r>
        <w:rPr>
          <w:szCs w:val="28"/>
        </w:rPr>
        <w:t>№</w:t>
      </w:r>
      <w:r w:rsidRPr="00D77B75">
        <w:rPr>
          <w:szCs w:val="28"/>
        </w:rPr>
        <w:t xml:space="preserve"> 60, стр. 9; 2014, </w:t>
      </w:r>
      <w:r>
        <w:rPr>
          <w:szCs w:val="28"/>
        </w:rPr>
        <w:t>№</w:t>
      </w:r>
      <w:r w:rsidRPr="00D77B75">
        <w:rPr>
          <w:szCs w:val="28"/>
        </w:rPr>
        <w:t xml:space="preserve"> 70, стр. 74, </w:t>
      </w:r>
      <w:r>
        <w:rPr>
          <w:szCs w:val="28"/>
        </w:rPr>
        <w:t>№</w:t>
      </w:r>
      <w:r w:rsidRPr="00D77B75">
        <w:rPr>
          <w:szCs w:val="28"/>
        </w:rPr>
        <w:t xml:space="preserve"> 89, стр. 3, </w:t>
      </w:r>
      <w:r>
        <w:rPr>
          <w:szCs w:val="28"/>
        </w:rPr>
        <w:t>№</w:t>
      </w:r>
      <w:r w:rsidRPr="00D77B75">
        <w:rPr>
          <w:szCs w:val="28"/>
        </w:rPr>
        <w:t xml:space="preserve"> 93, стр. 65; 2015, </w:t>
      </w:r>
      <w:r>
        <w:rPr>
          <w:szCs w:val="28"/>
        </w:rPr>
        <w:t>№</w:t>
      </w:r>
      <w:r w:rsidRPr="00D77B75">
        <w:rPr>
          <w:szCs w:val="28"/>
        </w:rPr>
        <w:t xml:space="preserve"> 120, стр. 86, </w:t>
      </w:r>
      <w:r>
        <w:rPr>
          <w:szCs w:val="28"/>
        </w:rPr>
        <w:t>№</w:t>
      </w:r>
      <w:r w:rsidRPr="00D77B75">
        <w:rPr>
          <w:szCs w:val="28"/>
        </w:rPr>
        <w:t xml:space="preserve"> 138, стр. 104; 2016, </w:t>
      </w:r>
      <w:r>
        <w:rPr>
          <w:szCs w:val="28"/>
        </w:rPr>
        <w:t>№</w:t>
      </w:r>
      <w:r w:rsidRPr="00D77B75">
        <w:rPr>
          <w:szCs w:val="28"/>
        </w:rPr>
        <w:t xml:space="preserve"> 154, стр. 66, </w:t>
      </w:r>
      <w:r>
        <w:rPr>
          <w:szCs w:val="28"/>
        </w:rPr>
        <w:t>№</w:t>
      </w:r>
      <w:r w:rsidRPr="00D77B75">
        <w:rPr>
          <w:szCs w:val="28"/>
        </w:rPr>
        <w:t xml:space="preserve"> 4, стр. 63; 2017, </w:t>
      </w:r>
      <w:r>
        <w:rPr>
          <w:szCs w:val="28"/>
        </w:rPr>
        <w:t>№</w:t>
      </w:r>
      <w:r w:rsidRPr="00D77B75">
        <w:rPr>
          <w:szCs w:val="28"/>
        </w:rPr>
        <w:t xml:space="preserve"> 29, стр. 14, </w:t>
      </w:r>
      <w:r>
        <w:rPr>
          <w:szCs w:val="28"/>
        </w:rPr>
        <w:t>№</w:t>
      </w:r>
      <w:r w:rsidRPr="00D77B75">
        <w:rPr>
          <w:szCs w:val="28"/>
        </w:rPr>
        <w:t xml:space="preserve"> 32, стр. 9, </w:t>
      </w:r>
      <w:r>
        <w:rPr>
          <w:szCs w:val="28"/>
        </w:rPr>
        <w:t>№</w:t>
      </w:r>
      <w:r w:rsidRPr="00D77B75">
        <w:rPr>
          <w:szCs w:val="28"/>
        </w:rPr>
        <w:t xml:space="preserve"> 38, стр. 14; 2018, </w:t>
      </w:r>
      <w:r>
        <w:rPr>
          <w:szCs w:val="28"/>
        </w:rPr>
        <w:t>№</w:t>
      </w:r>
      <w:r w:rsidRPr="00D77B75">
        <w:rPr>
          <w:szCs w:val="28"/>
        </w:rPr>
        <w:t xml:space="preserve"> 49, стр. 6, </w:t>
      </w:r>
      <w:r>
        <w:rPr>
          <w:szCs w:val="28"/>
        </w:rPr>
        <w:t>№</w:t>
      </w:r>
      <w:r w:rsidRPr="00D77B75">
        <w:rPr>
          <w:szCs w:val="28"/>
        </w:rPr>
        <w:t xml:space="preserve"> 66, стр. 40; 2020, </w:t>
      </w:r>
      <w:r>
        <w:rPr>
          <w:szCs w:val="28"/>
        </w:rPr>
        <w:t>№</w:t>
      </w:r>
      <w:r w:rsidRPr="00D77B75">
        <w:rPr>
          <w:szCs w:val="28"/>
        </w:rPr>
        <w:t xml:space="preserve"> 124, стр. 116, </w:t>
      </w:r>
      <w:r>
        <w:rPr>
          <w:szCs w:val="28"/>
        </w:rPr>
        <w:t>№</w:t>
      </w:r>
      <w:r w:rsidRPr="00D77B75">
        <w:rPr>
          <w:szCs w:val="28"/>
        </w:rPr>
        <w:t xml:space="preserve"> 137, стр. 85, </w:t>
      </w:r>
      <w:r>
        <w:rPr>
          <w:szCs w:val="28"/>
        </w:rPr>
        <w:t xml:space="preserve">№ </w:t>
      </w:r>
      <w:r w:rsidRPr="00D77B75">
        <w:rPr>
          <w:szCs w:val="28"/>
        </w:rPr>
        <w:t>147, стр. 30</w:t>
      </w:r>
      <w:r>
        <w:rPr>
          <w:szCs w:val="28"/>
        </w:rPr>
        <w:t>; 2022, № 23, стр. 17</w:t>
      </w:r>
      <w:r w:rsidRPr="00D77B75">
        <w:rPr>
          <w:szCs w:val="28"/>
        </w:rPr>
        <w:t>) следующие изменения:</w:t>
      </w:r>
    </w:p>
    <w:p w:rsidR="00E624BA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части 3: 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а)в</w:t>
      </w:r>
      <w:proofErr w:type="gramEnd"/>
      <w:r>
        <w:rPr>
          <w:szCs w:val="28"/>
        </w:rPr>
        <w:t xml:space="preserve"> абзаце первом слова "</w:t>
      </w:r>
      <w:r w:rsidRPr="00D77B75">
        <w:rPr>
          <w:szCs w:val="28"/>
        </w:rPr>
        <w:t>не ранее чем через дв</w:t>
      </w:r>
      <w:r>
        <w:rPr>
          <w:szCs w:val="28"/>
        </w:rPr>
        <w:t>а года после начала обучения и" исключить;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б)в</w:t>
      </w:r>
      <w:proofErr w:type="gramEnd"/>
      <w:r>
        <w:rPr>
          <w:szCs w:val="28"/>
        </w:rPr>
        <w:t xml:space="preserve"> абзаце втором слова "</w:t>
      </w:r>
      <w:r w:rsidRPr="00D77B75">
        <w:rPr>
          <w:szCs w:val="28"/>
        </w:rPr>
        <w:t>не ранее чем через шесть м</w:t>
      </w:r>
      <w:r>
        <w:rPr>
          <w:szCs w:val="28"/>
        </w:rPr>
        <w:t>есяцев после начала обучения и"</w:t>
      </w:r>
      <w:r w:rsidRPr="00D77B75">
        <w:rPr>
          <w:szCs w:val="28"/>
        </w:rPr>
        <w:t xml:space="preserve"> исключ</w:t>
      </w:r>
      <w:r>
        <w:rPr>
          <w:szCs w:val="28"/>
        </w:rPr>
        <w:t>ить;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в)</w:t>
      </w:r>
      <w:r w:rsidRPr="00D77B75">
        <w:rPr>
          <w:szCs w:val="28"/>
        </w:rPr>
        <w:t>в</w:t>
      </w:r>
      <w:proofErr w:type="gramEnd"/>
      <w:r w:rsidRPr="00D77B75">
        <w:rPr>
          <w:szCs w:val="28"/>
        </w:rPr>
        <w:t xml:space="preserve"> абзаце </w:t>
      </w:r>
      <w:r>
        <w:rPr>
          <w:szCs w:val="28"/>
        </w:rPr>
        <w:t>третьем слова "</w:t>
      </w:r>
      <w:r w:rsidRPr="00D77B75">
        <w:rPr>
          <w:szCs w:val="28"/>
        </w:rPr>
        <w:t>не ранее чем через полтор</w:t>
      </w:r>
      <w:r>
        <w:rPr>
          <w:szCs w:val="28"/>
        </w:rPr>
        <w:t>а года после начала обучения и" исключить;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2)абзацы шестой-девятый части 6 признать утратившими силу;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3)часть</w:t>
      </w:r>
      <w:r w:rsidRPr="00D77B75">
        <w:rPr>
          <w:szCs w:val="28"/>
        </w:rPr>
        <w:t xml:space="preserve"> 10 изложить в следующей редакции: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10.</w:t>
      </w:r>
      <w:r w:rsidRPr="00D77B75">
        <w:rPr>
          <w:szCs w:val="28"/>
        </w:rPr>
        <w:t>Конкурсные</w:t>
      </w:r>
      <w:proofErr w:type="gramEnd"/>
      <w:r w:rsidRPr="00D77B75">
        <w:rPr>
          <w:szCs w:val="28"/>
        </w:rPr>
        <w:t xml:space="preserve"> процедуры проводятся в два этапа: первый этап - тестирование, второй этап </w:t>
      </w:r>
      <w:r>
        <w:rPr>
          <w:szCs w:val="28"/>
        </w:rPr>
        <w:t>- индивидуальное собеседование.";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4)дополнить частью 10</w:t>
      </w:r>
      <w:r w:rsidRPr="00152877">
        <w:rPr>
          <w:szCs w:val="28"/>
          <w:vertAlign w:val="superscript"/>
        </w:rPr>
        <w:t>1</w:t>
      </w:r>
      <w:r w:rsidRPr="00D77B75">
        <w:rPr>
          <w:szCs w:val="28"/>
        </w:rPr>
        <w:t xml:space="preserve"> следующего содержания: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"10</w:t>
      </w:r>
      <w:r w:rsidRPr="00152877">
        <w:rPr>
          <w:szCs w:val="28"/>
          <w:vertAlign w:val="superscript"/>
        </w:rPr>
        <w:t>1</w:t>
      </w:r>
      <w:r>
        <w:rPr>
          <w:szCs w:val="28"/>
        </w:rPr>
        <w:t>.</w:t>
      </w:r>
      <w:r w:rsidRPr="00D77B75">
        <w:rPr>
          <w:szCs w:val="28"/>
        </w:rPr>
        <w:t>Тестирование претендентов проводится в соответствии с перечнем вопросов, первая часть которого состоит из вопросов на знание основ Конституции Российской Федерации, законодательства Российской Федерации о муниципальной службе и о противодействии коррупции, законодательства Приморского края о муниципальной службе и о противодействии коррупции, вторая часть - из вопросов на знание иных нормативных правовых актов в установленной сфере деятельности органа местного самоуправления муниципального образования (далее - перечень).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Количество вопросов, включенных в каждую из частей перечня, должно быть не менее 30. Максимальное количество вопросов перечня не ограничивается.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lastRenderedPageBreak/>
        <w:t xml:space="preserve">Орган местного самоуправления утверждает перечень и размещает его на своем официальном сайте в информационно-телекоммуникационной сети </w:t>
      </w:r>
      <w:r>
        <w:rPr>
          <w:szCs w:val="28"/>
        </w:rPr>
        <w:t>"Интернет"</w:t>
      </w:r>
      <w:r w:rsidRPr="00D77B75">
        <w:rPr>
          <w:szCs w:val="28"/>
        </w:rPr>
        <w:t xml:space="preserve"> не позднее чем за 15 дней до дня проведения конкурса. Размещение в информаци</w:t>
      </w:r>
      <w:r>
        <w:rPr>
          <w:szCs w:val="28"/>
        </w:rPr>
        <w:t>онно-телекоммуникационной сети "</w:t>
      </w:r>
      <w:r w:rsidRPr="00D77B75">
        <w:rPr>
          <w:szCs w:val="28"/>
        </w:rPr>
        <w:t>Ин</w:t>
      </w:r>
      <w:r>
        <w:rPr>
          <w:szCs w:val="28"/>
        </w:rPr>
        <w:t>тернет"</w:t>
      </w:r>
      <w:r w:rsidRPr="00D77B75">
        <w:rPr>
          <w:szCs w:val="28"/>
        </w:rPr>
        <w:t xml:space="preserve"> вариантов ответов на вопросы теста до завершения конкурса запрещается. 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При тестировании используется единый перечень вопросов.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 xml:space="preserve">Тест должен содержать 30 вопросов, случайно выбранных органом местного самоуправления: 10 вопросов </w:t>
      </w:r>
      <w:r>
        <w:rPr>
          <w:szCs w:val="28"/>
        </w:rPr>
        <w:t xml:space="preserve">- </w:t>
      </w:r>
      <w:r w:rsidRPr="00D77B75">
        <w:rPr>
          <w:szCs w:val="28"/>
        </w:rPr>
        <w:t xml:space="preserve">из первой части перечня и </w:t>
      </w:r>
      <w:r>
        <w:rPr>
          <w:szCs w:val="28"/>
        </w:rPr>
        <w:br/>
      </w:r>
      <w:r w:rsidRPr="00D77B75">
        <w:rPr>
          <w:szCs w:val="28"/>
        </w:rPr>
        <w:t xml:space="preserve">20 вопросов </w:t>
      </w:r>
      <w:r>
        <w:rPr>
          <w:szCs w:val="28"/>
        </w:rPr>
        <w:t xml:space="preserve">- </w:t>
      </w:r>
      <w:r w:rsidRPr="00D77B75">
        <w:rPr>
          <w:szCs w:val="28"/>
        </w:rPr>
        <w:t>из второй части перечня.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На каждый вопрос теста предусматривается не менее трех вариантов ответов, один из которых является правильным.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Всем претендентам пре</w:t>
      </w:r>
      <w:r>
        <w:rPr>
          <w:szCs w:val="28"/>
        </w:rPr>
        <w:t>доставляется 60 минут для ответов</w:t>
      </w:r>
      <w:r w:rsidRPr="00D77B75">
        <w:rPr>
          <w:szCs w:val="28"/>
        </w:rPr>
        <w:t xml:space="preserve"> на вопросы теста.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В ходе тестирования не допускается использование специальной, справочной литературы, письменных заметок, средств мобильной связи и средств хранения и передачи информации.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Оценка теста проводится конкурсной комиссией по количеству правильных ответов.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По результатам тестирования каждый член конкурсной комиссии выставляет претендентам определенное количество баллов исходя из следующего: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пять баллов, ес</w:t>
      </w:r>
      <w:r>
        <w:rPr>
          <w:szCs w:val="28"/>
        </w:rPr>
        <w:t>ли даны правильные ответы на 30-</w:t>
      </w:r>
      <w:r w:rsidRPr="00D77B75">
        <w:rPr>
          <w:szCs w:val="28"/>
        </w:rPr>
        <w:t>26 вопросов теста;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четыре балла, ес</w:t>
      </w:r>
      <w:r>
        <w:rPr>
          <w:szCs w:val="28"/>
        </w:rPr>
        <w:t>ли даны правильные ответы на 25-</w:t>
      </w:r>
      <w:r w:rsidRPr="00D77B75">
        <w:rPr>
          <w:szCs w:val="28"/>
        </w:rPr>
        <w:t>21 вопрос теста;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 xml:space="preserve">три балла, если даны </w:t>
      </w:r>
      <w:r>
        <w:rPr>
          <w:szCs w:val="28"/>
        </w:rPr>
        <w:t>правильные ответы на 20-</w:t>
      </w:r>
      <w:r w:rsidRPr="00D77B75">
        <w:rPr>
          <w:szCs w:val="28"/>
        </w:rPr>
        <w:t>16 вопросов теста;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два балла, ес</w:t>
      </w:r>
      <w:r>
        <w:rPr>
          <w:szCs w:val="28"/>
        </w:rPr>
        <w:t>ли даны правильные ответы на 15-</w:t>
      </w:r>
      <w:r w:rsidRPr="00D77B75">
        <w:rPr>
          <w:szCs w:val="28"/>
        </w:rPr>
        <w:t>11 вопросов теста;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один балл, ес</w:t>
      </w:r>
      <w:r>
        <w:rPr>
          <w:szCs w:val="28"/>
        </w:rPr>
        <w:t>ли даны правильные ответы на 10-</w:t>
      </w:r>
      <w:r w:rsidRPr="00D77B75">
        <w:rPr>
          <w:szCs w:val="28"/>
        </w:rPr>
        <w:t>6 вопросов теста;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ноль баллов, если даны правильные ответы на 5 и менее вопросов теста.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Результаты тестирования заносятся конкурсной комиссией в оценочный лист тестирования, форма которого утверждается органом местного самоуправления, который подписывается председателем конкурсной комиссии. Конкурсная комиссия после подписания оценочного листа тестирования уведомляет претендентов в устной форме о результатах тестирования, о времени и месте про</w:t>
      </w:r>
      <w:r>
        <w:rPr>
          <w:szCs w:val="28"/>
        </w:rPr>
        <w:t>ведения второго этапа конкурса.";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5)дополнить частью 10</w:t>
      </w:r>
      <w:r w:rsidRPr="00E87204">
        <w:rPr>
          <w:szCs w:val="28"/>
          <w:vertAlign w:val="superscript"/>
        </w:rPr>
        <w:t>2</w:t>
      </w:r>
      <w:r w:rsidRPr="00D77B75">
        <w:rPr>
          <w:szCs w:val="28"/>
        </w:rPr>
        <w:t xml:space="preserve"> следующего содержания: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"10</w:t>
      </w:r>
      <w:r w:rsidRPr="00E87204">
        <w:rPr>
          <w:szCs w:val="28"/>
          <w:vertAlign w:val="superscript"/>
        </w:rPr>
        <w:t>2</w:t>
      </w:r>
      <w:r>
        <w:rPr>
          <w:szCs w:val="28"/>
        </w:rPr>
        <w:t>.</w:t>
      </w:r>
      <w:r w:rsidRPr="00D77B75">
        <w:rPr>
          <w:szCs w:val="28"/>
        </w:rPr>
        <w:t>Индивидуальное собеседование с претендентом проводится конкурсной комиссией в день проведения тестирования.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Индивидуальное собеседование проводится в форме свободной беседы с претендентом, в ходе которой члены конкурсной комиссии задают ему вопросы по тематике, относящейся к области и виду его будущей профессиональной служебной деятельности (далее - тема), в ходе которой претендент отвечает на вопросы членов конкурсной комиссии в целях оценки теоретических знаний и личностных качеств претендента.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Оценка теоретических знаний и личностных качеств претендента осуществляется по следующим критериям: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уровень теоретических знаний;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lastRenderedPageBreak/>
        <w:t>логическое построение ответа;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знание русского языка, грамотность, культура речи;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уровень успеваемости претендента в образовательной организации;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наличие профессиональной мотивации.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По результатам индивидуального собеседования каждый член конкурсной комиссии выставляет: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пять баллов, если претендент последовательно, в полном объеме раскрыл содержание темы, правильно использовал понятия и термины;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четыре балла, если претендент последовательно, в полном объеме раскрыл содержание темы, правильно использовал понятия и термины, но допустил неточности и незначительные ошибки в их применении;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три балла, если претендент последовательно, но не в полном объеме раскрыл содержание темы, правильно использовал понятия и термины, но допустил незначительные неточности и незначительные ошибки в их применении;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 xml:space="preserve">два балла, если претендент не в полном объеме раскрыл содержание темы, при ответе не всегда правильно использовал понятия и термины, допустил иные неточности и ошибки; 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один балл, если претендент не раскрыл содержание темы, при ответе не всегда правильно использовал понятия и термины, допустил иные неточности и ошибки;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ноль баллов, если претендент не раскрыл содержание темы, при ответе неправильно использовал понятия и термины.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Баллы, выставленные претенденту всеми членами конкурсной комиссии, суммируются.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Результаты индивидуального собеседования заносятся конкурсной комиссией в оценочный лист собеседования, утвержденный органом местного самоуправления, который подписывается председа</w:t>
      </w:r>
      <w:r>
        <w:rPr>
          <w:szCs w:val="28"/>
        </w:rPr>
        <w:t>телем конкурсной комиссии.";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6)дополнить частью 10</w:t>
      </w:r>
      <w:r w:rsidRPr="00E87204">
        <w:rPr>
          <w:szCs w:val="28"/>
          <w:vertAlign w:val="superscript"/>
        </w:rPr>
        <w:t>3</w:t>
      </w:r>
      <w:r w:rsidRPr="00D77B75">
        <w:rPr>
          <w:szCs w:val="28"/>
        </w:rPr>
        <w:t xml:space="preserve"> следующего содержания: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"10</w:t>
      </w:r>
      <w:r w:rsidRPr="000030E1">
        <w:rPr>
          <w:szCs w:val="28"/>
          <w:vertAlign w:val="superscript"/>
        </w:rPr>
        <w:t>3</w:t>
      </w:r>
      <w:r>
        <w:rPr>
          <w:szCs w:val="28"/>
        </w:rPr>
        <w:t>.</w:t>
      </w:r>
      <w:r w:rsidRPr="00D77B75">
        <w:rPr>
          <w:szCs w:val="28"/>
        </w:rPr>
        <w:t>Конкурсная комиссия проводит заседание по оценке претенденто</w:t>
      </w:r>
      <w:r>
        <w:rPr>
          <w:szCs w:val="28"/>
        </w:rPr>
        <w:t>в по итогам конкурсных процедур</w:t>
      </w:r>
      <w:r w:rsidRPr="00D77B75">
        <w:rPr>
          <w:szCs w:val="28"/>
        </w:rPr>
        <w:t xml:space="preserve"> непосредственно после их проведения в тот же день или в течение дня, следующего за днем их проведения. В случае</w:t>
      </w:r>
      <w:r>
        <w:rPr>
          <w:szCs w:val="28"/>
        </w:rPr>
        <w:t>,</w:t>
      </w:r>
      <w:r w:rsidRPr="00D77B75">
        <w:rPr>
          <w:szCs w:val="28"/>
        </w:rPr>
        <w:t xml:space="preserve"> если день, следующий за днем проведения конкурсных процедур, выпадает на выходной или праздничный день, конкурсная комиссия проводит указанное заседание в первый рабочий день, следующий за выходным или праздничным днем.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Победителем конкурса признается претендент, который набрал в сумме наибольшее количество баллов по итогам конкурсных процедур. При равном количестве баллов у нескольких претендентов, набравших наибольшее количество баллов, решение конкурсной комиссии принимается открытым голосованием простым большинством голосов ее членов, присутствующих на заседании, в отсутствие претендентов.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Член конкурсной комиссии голосует только за одного из претендентов, набравших равное количество баллов. При голосовании мнение членов конкурсн</w:t>
      </w:r>
      <w:r>
        <w:rPr>
          <w:szCs w:val="28"/>
        </w:rPr>
        <w:t>ой комиссии выражается словами "за" или "против"</w:t>
      </w:r>
      <w:r w:rsidRPr="00D77B75">
        <w:rPr>
          <w:szCs w:val="28"/>
        </w:rPr>
        <w:t>.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lastRenderedPageBreak/>
        <w:t>При равенстве числа голосов решающим является голос председательствующего на заседании конкурсной комиссии.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Результаты голосования конкурсной комиссии оформляются решением, которое подписывается председателем, заместителем председателя, секретарем и членами конкурсной комиссии, принявшими участие в ее заседании.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Решение конкурсной комиссии принимается в отсутствие участника конкурса и является основанием для заключения с победителем конкурса договора о целевом обучении.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Граждане, участвовавшие в конкурсе, вправе обжаловать решение конкурсной комиссии в соответствии с законода</w:t>
      </w:r>
      <w:r>
        <w:rPr>
          <w:szCs w:val="28"/>
        </w:rPr>
        <w:t>тельством Российской Федерации."</w:t>
      </w:r>
      <w:r w:rsidRPr="00D77B75">
        <w:rPr>
          <w:szCs w:val="28"/>
        </w:rPr>
        <w:t>.</w:t>
      </w: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624BA" w:rsidRPr="00D77B75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СТАТЬЯ 2.</w:t>
      </w:r>
    </w:p>
    <w:p w:rsidR="00E624BA" w:rsidRPr="00AA69A6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7B75">
        <w:rPr>
          <w:szCs w:val="28"/>
        </w:rPr>
        <w:t>Настоящий Закон вступает в силу со дня его официального опубликования.</w:t>
      </w:r>
    </w:p>
    <w:p w:rsidR="00E624BA" w:rsidRDefault="00E624BA" w:rsidP="00E624B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624BA" w:rsidRPr="00F77667" w:rsidRDefault="00E624BA" w:rsidP="00E624BA">
      <w:pPr>
        <w:spacing w:line="228" w:lineRule="auto"/>
        <w:ind w:firstLine="709"/>
        <w:jc w:val="both"/>
        <w:rPr>
          <w:szCs w:val="28"/>
        </w:rPr>
      </w:pPr>
    </w:p>
    <w:p w:rsidR="00E624BA" w:rsidRPr="00E86887" w:rsidRDefault="00E624BA" w:rsidP="00E624BA">
      <w:pPr>
        <w:ind w:firstLine="709"/>
        <w:jc w:val="both"/>
      </w:pPr>
    </w:p>
    <w:p w:rsidR="00E624BA" w:rsidRDefault="00E624BA" w:rsidP="00E624BA">
      <w:pPr>
        <w:tabs>
          <w:tab w:val="left" w:pos="1985"/>
        </w:tabs>
        <w:jc w:val="both"/>
        <w:rPr>
          <w:sz w:val="26"/>
        </w:rPr>
      </w:pPr>
      <w:r w:rsidRPr="00E86887">
        <w:t>Губернатор</w:t>
      </w:r>
      <w:r>
        <w:t xml:space="preserve">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О.Н. Кожемяко</w:t>
      </w:r>
    </w:p>
    <w:p w:rsidR="00BE0544" w:rsidRDefault="00BE0544" w:rsidP="00347DEE"/>
    <w:sectPr w:rsidR="00BE0544" w:rsidSect="00E624B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CA2" w:rsidRDefault="00F22CA2">
      <w:r>
        <w:separator/>
      </w:r>
    </w:p>
  </w:endnote>
  <w:endnote w:type="continuationSeparator" w:id="0">
    <w:p w:rsidR="00F22CA2" w:rsidRDefault="00F22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CA2" w:rsidRDefault="00F22CA2">
      <w:r>
        <w:separator/>
      </w:r>
    </w:p>
  </w:footnote>
  <w:footnote w:type="continuationSeparator" w:id="0">
    <w:p w:rsidR="00F22CA2" w:rsidRDefault="00F22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E624BA" w:rsidP="00E624B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24BA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624BA"/>
    <w:rsid w:val="00F22CA2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62D7939-FD2B-4B8D-8ACB-4FE7806C8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E624BA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E624BA"/>
    <w:rPr>
      <w:sz w:val="28"/>
    </w:rPr>
  </w:style>
  <w:style w:type="paragraph" w:styleId="a6">
    <w:name w:val="Balloon Text"/>
    <w:basedOn w:val="a"/>
    <w:link w:val="a7"/>
    <w:semiHidden/>
    <w:unhideWhenUsed/>
    <w:rsid w:val="00E624B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E624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</TotalTime>
  <Pages>4</Pages>
  <Words>1196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2022-06-22T04:20:00Z</cp:lastPrinted>
  <dcterms:created xsi:type="dcterms:W3CDTF">2022-06-22T04:18:00Z</dcterms:created>
  <dcterms:modified xsi:type="dcterms:W3CDTF">2022-06-22T04:22:00Z</dcterms:modified>
</cp:coreProperties>
</file>