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8"/>
          <w:tab w:val="center" w:pos="5167" w:leader="none"/>
          <w:tab w:val="left" w:pos="7740" w:leader="none"/>
        </w:tabs>
        <w:spacing w:lineRule="auto" w:line="480"/>
        <w:jc w:val="center"/>
        <w:rPr>
          <w:b/>
          <w:b/>
        </w:rPr>
      </w:pPr>
      <w:r>
        <w:rPr>
          <w:b/>
        </w:rPr>
        <w:t>ПОЯСНИТЕЛЬНАЯ ЗАПИСКА</w:t>
      </w:r>
    </w:p>
    <w:p>
      <w:pPr>
        <w:pStyle w:val="Normal"/>
        <w:jc w:val="center"/>
        <w:rPr>
          <w:b/>
          <w:b/>
        </w:rPr>
      </w:pPr>
      <w:r>
        <w:rPr>
          <w:b w:val="false"/>
          <w:bCs w:val="false"/>
        </w:rPr>
        <w:t xml:space="preserve">к проекту распоряжения Правительства Приморского края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b w:val="false"/>
          <w:bCs w:val="false"/>
        </w:rPr>
        <w:t>«О заключении концессионного соглашения</w:t>
      </w:r>
      <w:r>
        <w:rPr>
          <w:rFonts w:eastAsia="Calibri"/>
          <w:b w:val="false"/>
          <w:bCs w:val="false"/>
          <w:lang w:eastAsia="en-US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в отношении создания и реконструкции объекта для организации мероприятий по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физической культуре, спорту туризму и отдыху граждан в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Приморском крае - современного круглогодичного </w:t>
      </w:r>
    </w:p>
    <w:p>
      <w:pPr>
        <w:pStyle w:val="Normal"/>
        <w:jc w:val="center"/>
        <w:rPr>
          <w:rFonts w:ascii="Times New Roman" w:hAnsi="Times New Roman"/>
          <w:b w:val="false"/>
          <w:b w:val="false"/>
          <w:bCs w:val="false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семейного  горнолыжного курорта «Арсеньев»</w:t>
      </w:r>
    </w:p>
    <w:p>
      <w:pPr>
        <w:pStyle w:val="Normal"/>
        <w:shd w:val="clear" w:fill="FFFFFF"/>
        <w:spacing w:lineRule="exact" w:line="317"/>
        <w:ind w:left="567" w:right="565" w:hanging="0"/>
        <w:jc w:val="center"/>
        <w:rPr/>
      </w:pPr>
      <w:r>
        <w:rPr/>
      </w:r>
    </w:p>
    <w:p>
      <w:pPr>
        <w:pStyle w:val="Normal"/>
        <w:spacing w:lineRule="auto" w:line="360"/>
        <w:jc w:val="center"/>
        <w:rPr/>
      </w:pPr>
      <w:r>
        <w:rPr/>
      </w:r>
    </w:p>
    <w:p>
      <w:pPr>
        <w:pStyle w:val="Normal"/>
        <w:spacing w:lineRule="auto" w:line="360"/>
        <w:ind w:firstLine="709"/>
        <w:jc w:val="both"/>
        <w:rPr/>
      </w:pPr>
      <w:r>
        <w:rPr/>
        <w:t xml:space="preserve">Проект распоряжения Правительства Приморского края «О заключении концессионного соглашения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в отношении создания и реконструкции объекта для организации мероприятий по физической культуре, спорту туризму и отдыху граждан в Приморском крае - современного круглогодичного семейного горнолыжного курорта «Арсеньев»</w:t>
      </w:r>
      <w:r>
        <w:rPr/>
        <w:t>» разработан в целях соблюдения процедуры согласования решения о заключении концессионного соглашения, предусмотренной пунктом 9(1) статьи 11 Закона Приморского края</w:t>
        <w:br/>
        <w:t>от 9 августа 2000 года № 99-КЗ «Об управлении собственностью Приморского края» (далее — Закон № 99-КЗ).</w:t>
      </w:r>
    </w:p>
    <w:p>
      <w:pPr>
        <w:pStyle w:val="Normal"/>
        <w:spacing w:lineRule="auto" w:line="360"/>
        <w:ind w:firstLine="709"/>
        <w:jc w:val="both"/>
        <w:rPr/>
      </w:pPr>
      <w:r>
        <w:rPr/>
        <w:t xml:space="preserve">Правительством Приморского края в лице органов исполнительной власти Приморского края рассмотрено поступившее 27 июня 2022 года в министерство 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экономического развития</w:t>
      </w:r>
      <w:r>
        <w:rPr/>
        <w:t xml:space="preserve"> Приморского края (далее - министерство) предложение общества с ограниченной ответственность «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Приморье СпортОтельИнвест»</w:t>
      </w:r>
      <w:r>
        <w:rPr/>
        <w:t xml:space="preserve"> (далее - инвестор) о заключении концессионного соглашения о финансировании, создании и эксплуатации на базе краевой горнолыжной базы «Гора Белая» и</w:t>
      </w:r>
      <w:r>
        <w:rPr>
          <w:spacing w:val="1"/>
        </w:rPr>
        <w:t xml:space="preserve"> </w:t>
      </w:r>
      <w:r>
        <w:rPr/>
        <w:t>краевой туристической базы «Салют»</w:t>
      </w:r>
      <w:r>
        <w:rPr>
          <w:spacing w:val="1"/>
        </w:rPr>
        <w:t xml:space="preserve"> </w:t>
      </w:r>
      <w:r>
        <w:rPr/>
        <w:t>объекта для организации мероприятий по физкультуре и</w:t>
      </w:r>
      <w:r>
        <w:rPr>
          <w:spacing w:val="-46"/>
        </w:rPr>
        <w:t xml:space="preserve"> </w:t>
      </w:r>
      <w:r>
        <w:rPr/>
        <w:t xml:space="preserve">спорту, туризма и отдыха граждан в Приморском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к</w:t>
      </w:r>
      <w:r>
        <w:rPr/>
        <w:t>рае – современного круглогодичного</w:t>
      </w:r>
      <w:r>
        <w:rPr>
          <w:spacing w:val="1"/>
        </w:rPr>
        <w:t xml:space="preserve"> </w:t>
      </w:r>
      <w:r>
        <w:rPr/>
        <w:t>семейного</w:t>
      </w:r>
      <w:r>
        <w:rPr>
          <w:spacing w:val="-1"/>
        </w:rPr>
        <w:t xml:space="preserve"> </w:t>
      </w:r>
      <w:r>
        <w:rPr/>
        <w:t>горнолыжного курорта</w:t>
      </w:r>
      <w:r>
        <w:rPr>
          <w:spacing w:val="-2"/>
        </w:rPr>
        <w:t xml:space="preserve"> </w:t>
      </w:r>
      <w:r>
        <w:rPr/>
        <w:t>«Арсеньев» (далее — концессионное соглашение).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eastAsia="Calibri" w:cs="Times New Roman"/>
          <w:color w:val="auto"/>
          <w:spacing w:val="-2"/>
          <w:sz w:val="28"/>
          <w:szCs w:val="28"/>
          <w:lang w:val="ru-RU" w:eastAsia="en-US" w:bidi="ar-SA"/>
        </w:rPr>
        <w:t>8</w:t>
      </w:r>
      <w:r>
        <w:rPr>
          <w:rFonts w:eastAsia="Calibri"/>
          <w:spacing w:val="-2"/>
          <w:lang w:eastAsia="en-US"/>
        </w:rPr>
        <w:t xml:space="preserve"> июля 2022 года с целью согласования с инвестором условий концессионного соглашения министерством </w:t>
      </w:r>
      <w:r>
        <w:rPr>
          <w:rFonts w:eastAsia="Calibri" w:cs="Times New Roman"/>
          <w:color w:val="auto"/>
          <w:spacing w:val="-2"/>
          <w:sz w:val="28"/>
          <w:szCs w:val="28"/>
          <w:lang w:val="ru-RU" w:eastAsia="en-US" w:bidi="ar-SA"/>
        </w:rPr>
        <w:t>утвержден</w:t>
      </w:r>
      <w:r>
        <w:rPr>
          <w:rFonts w:eastAsia="Calibri"/>
          <w:spacing w:val="-2"/>
          <w:lang w:eastAsia="en-US"/>
        </w:rPr>
        <w:t xml:space="preserve"> приказ № пр.29-146</w:t>
        <w:br/>
        <w:t>«</w:t>
      </w:r>
      <w:r>
        <w:rPr>
          <w:rFonts w:eastAsia="Times New Roman" w:cs="Times New Roman"/>
          <w:b w:val="false"/>
          <w:bCs w:val="false"/>
          <w:spacing w:val="-2"/>
          <w:sz w:val="28"/>
          <w:szCs w:val="28"/>
          <w:lang w:eastAsia="ru-RU"/>
        </w:rPr>
        <w:t xml:space="preserve">О </w:t>
      </w:r>
      <w:r>
        <w:rPr>
          <w:rFonts w:eastAsia="Times New Roman" w:cs="Times New Roman"/>
          <w:b w:val="false"/>
          <w:bCs w:val="false"/>
          <w:color w:val="auto"/>
          <w:spacing w:val="-2"/>
          <w:kern w:val="0"/>
          <w:sz w:val="28"/>
          <w:szCs w:val="28"/>
          <w:lang w:val="ru-RU" w:eastAsia="ru-RU" w:bidi="ar-SA"/>
        </w:rPr>
        <w:t xml:space="preserve">возможности заключения концессионного соглашения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о финансировании, создании и эксплуатации на базе краевой горнолыжной базы «Гора Белая» и краевой туристической базы «Салют» объекта для организации мероприятий по физкультуре и спорту, туризма и отдыха граждан в Приморском крае — современного круглогодичного семейного горнолыжного курорта «Арсеньев»</w:t>
      </w:r>
      <w:bookmarkStart w:id="0" w:name="__DdeLink__2958489_2484979169"/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8"/>
          <w:lang w:val="ru-RU" w:eastAsia="ru-RU" w:bidi="ar-SA"/>
        </w:rPr>
        <w:t xml:space="preserve"> на иных условиях, чем предложено инициатором заключения </w:t>
      </w:r>
      <w:r>
        <w:rPr>
          <w:rFonts w:eastAsia="Times New Roman" w:cs="Times New Roman"/>
          <w:b w:val="false"/>
          <w:bCs w:val="false"/>
          <w:color w:val="000000"/>
          <w:spacing w:val="-2"/>
          <w:kern w:val="0"/>
          <w:sz w:val="28"/>
          <w:szCs w:val="28"/>
          <w:lang w:val="ru-RU" w:eastAsia="ru-RU" w:bidi="ar-SA"/>
        </w:rPr>
        <w:t>концессионного соглашения</w:t>
      </w:r>
      <w:bookmarkEnd w:id="0"/>
      <w:r>
        <w:rPr>
          <w:rFonts w:eastAsia="Calibri"/>
          <w:spacing w:val="-2"/>
          <w:lang w:eastAsia="en-US"/>
        </w:rPr>
        <w:t>».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rFonts w:eastAsia="Calibri"/>
          <w:spacing w:val="-2"/>
          <w:lang w:eastAsia="en-US"/>
        </w:rPr>
        <w:t xml:space="preserve">По результатам проведенных переговоров </w:t>
      </w:r>
      <w:r>
        <w:rPr>
          <w:rFonts w:eastAsia="Calibri"/>
          <w:spacing w:val="-2"/>
          <w:lang w:eastAsia="en-US"/>
        </w:rPr>
        <w:t>с инвестором представленный проект концессионного соглашения, в частности перечень краевого имущества, передаваемого концессионеру в целях его создания и реконструкции, подлежит согласованию органами исполнительной власти Приморского края.</w:t>
      </w:r>
    </w:p>
    <w:p>
      <w:pPr>
        <w:pStyle w:val="Normal"/>
        <w:spacing w:lineRule="auto" w:line="360"/>
        <w:ind w:firstLine="709"/>
        <w:jc w:val="both"/>
        <w:rPr/>
      </w:pPr>
      <w:r>
        <w:rPr/>
        <w:t>Министерство в силу части 4.8 статьи 37 Федерального закона от 21 июля 2005 года № 115-ФЗ «О концессионных соглашениях» (далее — Закона</w:t>
        <w:br/>
        <w:t xml:space="preserve">№ 115-ФЗ) уполномочено размещать информацию на сайте www. torgi.gov.ru о принятии заявок о готовности к участию в конкурсе на заключение концессионного соглашения в отношении указанного объекта от иных лиц, 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на</w:t>
      </w:r>
      <w:r>
        <w:rPr/>
        <w:t xml:space="preserve"> срок 45 календарных дней.</w:t>
      </w:r>
    </w:p>
    <w:p>
      <w:pPr>
        <w:pStyle w:val="Normal"/>
        <w:spacing w:lineRule="auto" w:line="360"/>
        <w:ind w:firstLine="709"/>
        <w:jc w:val="both"/>
        <w:rPr/>
      </w:pPr>
      <w:r>
        <w:rPr/>
        <w:t>В соответствии с пунктом 9(1) статьи 11 Закона № 99-КЗ Законодательное Собрание Приморского края в установленном порядке согласовывает решение о заключении концессионного соглашения в отношении находящегося в собственности Приморского края имущества, указанно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го</w:t>
      </w:r>
      <w:r>
        <w:rPr/>
        <w:t xml:space="preserve"> в пункте 14 части 1 статьи 4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З</w:t>
      </w:r>
      <w:r>
        <w:rPr/>
        <w:t>акона № 115-ФЗ, балансовая стоимость которого превышает 10 миллионов рублей.</w:t>
      </w:r>
    </w:p>
    <w:p>
      <w:pPr>
        <w:pStyle w:val="Normal"/>
        <w:spacing w:lineRule="auto" w:line="360"/>
        <w:ind w:firstLine="709"/>
        <w:jc w:val="both"/>
        <w:rPr/>
      </w:pPr>
      <w:r>
        <w:rPr/>
        <w:t>На основании изложенного следует, что решение о заключении концессионного соглашения не может быть издано до согласования указанного решения Законодательным Собранием Приморского края, поскольку балансовая стоимость объекта концессионного соглашения превышает 10 миллионов рублей.</w:t>
      </w:r>
    </w:p>
    <w:p>
      <w:pPr>
        <w:pStyle w:val="Normal"/>
        <w:spacing w:lineRule="auto" w:line="360"/>
        <w:ind w:firstLine="709"/>
        <w:jc w:val="both"/>
        <w:rPr/>
      </w:pPr>
      <w:r>
        <w:rPr/>
        <w:t>По итогам вышеуказанных процедур представленный проект распоряжения Правительства Приморского края подлежит принятию.</w:t>
      </w:r>
    </w:p>
    <w:p>
      <w:pPr>
        <w:pStyle w:val="Normal"/>
        <w:spacing w:lineRule="auto" w:line="360"/>
        <w:ind w:firstLine="709"/>
        <w:jc w:val="both"/>
        <w:rPr/>
      </w:pPr>
      <w:r>
        <w:rPr/>
      </w:r>
    </w:p>
    <w:p>
      <w:pPr>
        <w:pStyle w:val="Normal"/>
        <w:spacing w:lineRule="auto" w:line="360"/>
        <w:ind w:firstLine="709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  <w:t xml:space="preserve">Министр                                                                                                    </w:t>
      </w:r>
      <w:r>
        <w:rPr>
          <w:rFonts w:eastAsia="Times New Roman" w:cs="Times New Roman"/>
          <w:color w:val="auto"/>
          <w:sz w:val="28"/>
          <w:szCs w:val="28"/>
          <w:lang w:val="ru-RU" w:bidi="ar-SA"/>
        </w:rPr>
        <w:t>А.И. Блохин</w:t>
      </w:r>
    </w:p>
    <w:sectPr>
      <w:headerReference w:type="default" r:id="rId2"/>
      <w:headerReference w:type="first" r:id="rId3"/>
      <w:type w:val="nextPage"/>
      <w:pgSz w:w="11906" w:h="16838"/>
      <w:pgMar w:left="1418" w:right="851" w:header="360" w:top="990" w:footer="0" w:bottom="851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90805" cy="205740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90000" cy="20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/>
                          </w:pPr>
                          <w:r>
                            <w:rPr>
                              <w:rStyle w:val="Style15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Style15"/>
                            </w:rPr>
                            <w:instrText> PAGE </w:instrText>
                          </w:r>
                          <w:r>
                            <w:rPr>
                              <w:rStyle w:val="Style15"/>
                            </w:rPr>
                            <w:fldChar w:fldCharType="separate"/>
                          </w:r>
                          <w:r>
                            <w:rPr>
                              <w:rStyle w:val="Style15"/>
                            </w:rPr>
                            <w:t>2</w:t>
                          </w:r>
                          <w:r>
                            <w:rPr>
                              <w:rStyle w:val="Style15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237.35pt;margin-top:0.05pt;width:7.05pt;height:16.1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/>
                    </w:pPr>
                    <w:r>
                      <w:rPr>
                        <w:rStyle w:val="Style15"/>
                        <w:color w:val="000000"/>
                      </w:rPr>
                      <w:fldChar w:fldCharType="begin"/>
                    </w:r>
                    <w:r>
                      <w:rPr>
                        <w:rStyle w:val="Style15"/>
                      </w:rPr>
                      <w:instrText> PAGE </w:instrText>
                    </w:r>
                    <w:r>
                      <w:rPr>
                        <w:rStyle w:val="Style15"/>
                      </w:rPr>
                      <w:fldChar w:fldCharType="separate"/>
                    </w:r>
                    <w:r>
                      <w:rPr>
                        <w:rStyle w:val="Style15"/>
                      </w:rPr>
                      <w:t>2</w:t>
                    </w:r>
                    <w:r>
                      <w:rPr>
                        <w:rStyle w:val="Style15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>
    <w:pPr>
      <w:pStyle w:val="Style25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5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compat/>
  <w:documentProtection w:edit="forms" w:enforcement="1" w:cryptProviderType="rsaAES" w:cryptAlgorithmClass="hash" w:cryptAlgorithmType="typeAny" w:cryptAlgorithmSid="" w:cryptSpinCount="0" w:hash="" w:salt=""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Free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zh-CN" w:bidi="ar-SA"/>
    </w:rPr>
  </w:style>
  <w:style w:type="character" w:styleId="WW8Num1z0">
    <w:name w:val="WW8Num1z0"/>
    <w:qFormat/>
    <w:rPr>
      <w:b w:val="false"/>
    </w:rPr>
  </w:style>
  <w:style w:type="character" w:styleId="WW8Num1z1">
    <w:name w:val="WW8Num1z1"/>
    <w:qFormat/>
    <w:rPr/>
  </w:style>
  <w:style w:type="character" w:styleId="Style14">
    <w:name w:val="Основной шрифт абзаца"/>
    <w:qFormat/>
    <w:rPr/>
  </w:style>
  <w:style w:type="character" w:styleId="Style15">
    <w:name w:val="Номер страницы"/>
    <w:basedOn w:val="Style14"/>
    <w:rPr/>
  </w:style>
  <w:style w:type="character" w:styleId="Style16">
    <w:name w:val="Основной текст Знак"/>
    <w:qFormat/>
    <w:rPr>
      <w:sz w:val="26"/>
    </w:rPr>
  </w:style>
  <w:style w:type="character" w:styleId="Style17">
    <w:name w:val="Интернет-ссылка"/>
    <w:rPr>
      <w:color w:val="0000FF"/>
      <w:u w:val="single"/>
    </w:rPr>
  </w:style>
  <w:style w:type="character" w:styleId="FontStyle17">
    <w:name w:val="Font Style17"/>
    <w:qFormat/>
    <w:rPr>
      <w:rFonts w:ascii="Times New Roman" w:hAnsi="Times New Roman" w:cs="Times New Roman"/>
      <w:sz w:val="34"/>
      <w:szCs w:val="34"/>
    </w:rPr>
  </w:style>
  <w:style w:type="character" w:styleId="Style18">
    <w:name w:val="Верхний колонтитул Знак"/>
    <w:qFormat/>
    <w:rPr>
      <w:sz w:val="28"/>
      <w:szCs w:val="28"/>
    </w:rPr>
  </w:style>
  <w:style w:type="paragraph" w:styleId="Style19">
    <w:name w:val="Заголовок"/>
    <w:basedOn w:val="Normal"/>
    <w:next w:val="Style20"/>
    <w:qFormat/>
    <w:pPr>
      <w:keepNext w:val="true"/>
      <w:spacing w:before="240" w:after="120"/>
    </w:pPr>
    <w:rPr>
      <w:rFonts w:ascii="Times New Roman" w:hAnsi="Times New Roman" w:eastAsia="Tahoma" w:cs="FreeSans"/>
      <w:sz w:val="28"/>
      <w:szCs w:val="28"/>
    </w:rPr>
  </w:style>
  <w:style w:type="paragraph" w:styleId="Style20">
    <w:name w:val="Body Text"/>
    <w:basedOn w:val="Normal"/>
    <w:pPr>
      <w:spacing w:lineRule="auto" w:line="360"/>
      <w:jc w:val="both"/>
    </w:pPr>
    <w:rPr>
      <w:sz w:val="26"/>
      <w:szCs w:val="20"/>
    </w:rPr>
  </w:style>
  <w:style w:type="paragraph" w:styleId="Style21">
    <w:name w:val="List"/>
    <w:basedOn w:val="Style20"/>
    <w:pPr/>
    <w:rPr>
      <w:rFonts w:ascii="Times New Roman" w:hAnsi="Times New Roman" w:cs="FreeSans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ascii="Times New Roman" w:hAnsi="Times New Roman" w:cs="Free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Times New Roman" w:hAnsi="Times New Roman" w:cs="FreeSans"/>
    </w:rPr>
  </w:style>
  <w:style w:type="paragraph" w:styleId="Style2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25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27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Nonformat">
    <w:name w:val="ConsPlusNonformat"/>
    <w:qFormat/>
    <w:pPr>
      <w:widowControl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ar-SA"/>
    </w:rPr>
  </w:style>
  <w:style w:type="paragraph" w:styleId="Style71">
    <w:name w:val="Style7"/>
    <w:basedOn w:val="Normal"/>
    <w:qFormat/>
    <w:pPr>
      <w:widowControl w:val="false"/>
      <w:spacing w:lineRule="exact" w:line="645"/>
      <w:ind w:firstLine="927"/>
      <w:jc w:val="both"/>
    </w:pPr>
    <w:rPr>
      <w:sz w:val="24"/>
      <w:szCs w:val="24"/>
    </w:rPr>
  </w:style>
  <w:style w:type="paragraph" w:styleId="ConsPlusNormal">
    <w:name w:val="ConsPlusNormal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ru-RU" w:eastAsia="zh-CN" w:bidi="ar-SA"/>
    </w:rPr>
  </w:style>
  <w:style w:type="paragraph" w:styleId="ConsPlusTitle">
    <w:name w:val="ConsPlusTitle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b/>
      <w:color w:val="auto"/>
      <w:kern w:val="0"/>
      <w:sz w:val="28"/>
      <w:szCs w:val="20"/>
      <w:lang w:val="ru-RU" w:eastAsia="zh-CN" w:bidi="ar-SA"/>
    </w:rPr>
  </w:style>
  <w:style w:type="paragraph" w:styleId="Style28">
    <w:name w:val="Содержимое врезки"/>
    <w:basedOn w:val="Normal"/>
    <w:qFormat/>
    <w:pPr/>
    <w:rPr/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92</TotalTime>
  <Application>LibreOffice/6.3.5.2$Linux_X86_64 LibreOffice_project/30$Build-2</Application>
  <Pages>2</Pages>
  <Words>441</Words>
  <Characters>3160</Characters>
  <CharactersWithSpaces>3694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2018-10-29T10:44:00Z</dcterms:created>
  <dc:creator>miheeva_iv</dc:creator>
  <dc:description/>
  <dc:language>ru-RU</dc:language>
  <cp:lastModifiedBy>Светлана Владимировна Ли</cp:lastModifiedBy>
  <cp:lastPrinted>2022-07-20T18:34:25Z</cp:lastPrinted>
  <dcterms:modified xsi:type="dcterms:W3CDTF">2022-07-20T18:41:50Z</dcterms:modified>
  <cp:revision>16</cp:revision>
  <dc:subject/>
  <dc:title>ПОЯСНИТЕЛЬНАЯ ЗАПИСКА</dc:title>
</cp:coreProperties>
</file>