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336" w:rsidRDefault="00C05AD2">
      <w:bookmarkStart w:id="0" w:name="_GoBack"/>
      <w:r>
        <w:rPr>
          <w:noProof/>
          <w:lang w:eastAsia="ru-RU"/>
        </w:rPr>
        <w:drawing>
          <wp:inline distT="0" distB="0" distL="0" distR="0" wp14:anchorId="3B4D1CB9" wp14:editId="1BC15C7F">
            <wp:extent cx="9553575" cy="612076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sectPr w:rsidR="00B85336" w:rsidSect="00C05AD2">
      <w:headerReference w:type="default" r:id="rId7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DB5" w:rsidRDefault="00AD4DB5" w:rsidP="00C05AD2">
      <w:pPr>
        <w:spacing w:after="0" w:line="240" w:lineRule="auto"/>
      </w:pPr>
      <w:r>
        <w:separator/>
      </w:r>
    </w:p>
  </w:endnote>
  <w:endnote w:type="continuationSeparator" w:id="0">
    <w:p w:rsidR="00AD4DB5" w:rsidRDefault="00AD4DB5" w:rsidP="00C05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DB5" w:rsidRDefault="00AD4DB5" w:rsidP="00C05AD2">
      <w:pPr>
        <w:spacing w:after="0" w:line="240" w:lineRule="auto"/>
      </w:pPr>
      <w:r>
        <w:separator/>
      </w:r>
    </w:p>
  </w:footnote>
  <w:footnote w:type="continuationSeparator" w:id="0">
    <w:p w:rsidR="00AD4DB5" w:rsidRDefault="00AD4DB5" w:rsidP="00C05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AD2" w:rsidRDefault="00C05AD2" w:rsidP="00C05AD2">
    <w:pPr>
      <w:pStyle w:val="a3"/>
      <w:ind w:right="-456"/>
      <w:jc w:val="right"/>
    </w:pPr>
    <w:r>
      <w:t>Приложение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AD2"/>
    <w:rsid w:val="0038485A"/>
    <w:rsid w:val="00AD4DB5"/>
    <w:rsid w:val="00AE58FB"/>
    <w:rsid w:val="00B85336"/>
    <w:rsid w:val="00C0271F"/>
    <w:rsid w:val="00C05AD2"/>
    <w:rsid w:val="00E0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ECBA50-3160-4A87-B3A1-09D062C33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5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05AD2"/>
  </w:style>
  <w:style w:type="paragraph" w:styleId="a5">
    <w:name w:val="footer"/>
    <w:basedOn w:val="a"/>
    <w:link w:val="a6"/>
    <w:uiPriority w:val="99"/>
    <w:unhideWhenUsed/>
    <w:rsid w:val="00C05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05AD2"/>
  </w:style>
  <w:style w:type="paragraph" w:styleId="a7">
    <w:name w:val="Balloon Text"/>
    <w:basedOn w:val="a"/>
    <w:link w:val="a8"/>
    <w:uiPriority w:val="99"/>
    <w:semiHidden/>
    <w:unhideWhenUsed/>
    <w:rsid w:val="00E04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048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Прогноз уровня жизни населения Приморского края</a:t>
            </a:r>
          </a:p>
        </c:rich>
      </c:tx>
      <c:layout>
        <c:manualLayout>
          <c:xMode val="edge"/>
          <c:yMode val="edge"/>
          <c:x val="0.26869784207653519"/>
          <c:y val="1.04575163398692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ln>
                <a:noFill/>
              </a:ln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Лист11!$A$3</c:f>
              <c:strCache>
                <c:ptCount val="1"/>
                <c:pt idx="0">
                  <c:v>Величина прожиточного минимума (в среднем на душу населения), 
рублей в месяц</c:v>
                </c:pt>
              </c:strCache>
            </c:strRef>
          </c:tx>
          <c:spPr>
            <a:gradFill>
              <a:gsLst>
                <a:gs pos="83000">
                  <a:schemeClr val="accent6">
                    <a:lumMod val="75000"/>
                  </a:schemeClr>
                </a:gs>
                <a:gs pos="100000">
                  <a:schemeClr val="accent6">
                    <a:lumMod val="60000"/>
                    <a:lumOff val="40000"/>
                  </a:schemeClr>
                </a:gs>
              </a:gsLst>
              <a:lin ang="5400000" scaled="1"/>
            </a:gradFill>
            <a:ln>
              <a:solidFill>
                <a:srgbClr val="FF9933"/>
              </a:solidFill>
            </a:ln>
            <a:effectLst/>
            <a:scene3d>
              <a:camera prst="orthographicFront"/>
              <a:lightRig rig="threePt" dir="t"/>
            </a:scene3d>
            <a:sp3d>
              <a:bevelT prst="angle"/>
            </a:sp3d>
          </c:spPr>
          <c:invertIfNegative val="0"/>
          <c:dLbls>
            <c:dLbl>
              <c:idx val="0"/>
              <c:layout>
                <c:manualLayout>
                  <c:x val="-1.140319678595461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2A2-4519-94DB-5804F8AACED8}"/>
                </c:ext>
              </c:extLst>
            </c:dLbl>
            <c:dLbl>
              <c:idx val="1"/>
              <c:layout>
                <c:manualLayout>
                  <c:x val="-1.5204262381272841E-2"/>
                  <c:y val="-1.91498867668717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12A2-4519-94DB-5804F8AACED8}"/>
                </c:ext>
              </c:extLst>
            </c:dLbl>
            <c:dLbl>
              <c:idx val="2"/>
              <c:layout>
                <c:manualLayout>
                  <c:x val="-1.520426238127286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12A2-4519-94DB-5804F8AACED8}"/>
                </c:ext>
              </c:extLst>
            </c:dLbl>
            <c:dLbl>
              <c:idx val="3"/>
              <c:layout>
                <c:manualLayout>
                  <c:x val="-1.39372405161667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12A2-4519-94DB-5804F8AACED8}"/>
                </c:ext>
              </c:extLst>
            </c:dLbl>
            <c:dLbl>
              <c:idx val="4"/>
              <c:layout>
                <c:manualLayout>
                  <c:x val="-8.8691530557424778E-3"/>
                  <c:y val="-1.914988676687033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12A2-4519-94DB-5804F8AACED8}"/>
                </c:ext>
              </c:extLst>
            </c:dLbl>
            <c:dLbl>
              <c:idx val="5"/>
              <c:layout>
                <c:manualLayout>
                  <c:x val="-1.1403196785954613E-2"/>
                  <c:y val="-1.4043088068753198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12A2-4519-94DB-5804F8AACED8}"/>
                </c:ext>
              </c:extLst>
            </c:dLbl>
            <c:dLbl>
              <c:idx val="6"/>
              <c:layout>
                <c:manualLayout>
                  <c:x val="-1.39372405161667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12A2-4519-94DB-5804F8AACE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ln>
                      <a:noFill/>
                    </a:ln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Лист11!$B$1:$I$1</c:f>
              <c:strCache>
                <c:ptCount val="8"/>
                <c:pt idx="0">
                  <c:v>2015 
отчет</c:v>
                </c:pt>
                <c:pt idx="1">
                  <c:v>2016
отчет</c:v>
                </c:pt>
                <c:pt idx="2">
                  <c:v>2017
отчет</c:v>
                </c:pt>
                <c:pt idx="3">
                  <c:v>2018
отчет</c:v>
                </c:pt>
                <c:pt idx="4">
                  <c:v>2019
отчет</c:v>
                </c:pt>
                <c:pt idx="5">
                  <c:v>2020
отчет</c:v>
                </c:pt>
                <c:pt idx="6">
                  <c:v>2021
оценка</c:v>
                </c:pt>
                <c:pt idx="7">
                  <c:v>2022 
прогноз</c:v>
                </c:pt>
              </c:strCache>
            </c:strRef>
          </c:cat>
          <c:val>
            <c:numRef>
              <c:f>Лист11!$B$3:$I$3</c:f>
              <c:numCache>
                <c:formatCode>#,##0.00</c:formatCode>
                <c:ptCount val="8"/>
                <c:pt idx="0">
                  <c:v>12490</c:v>
                </c:pt>
                <c:pt idx="1">
                  <c:v>12616</c:v>
                </c:pt>
                <c:pt idx="2">
                  <c:v>12408</c:v>
                </c:pt>
                <c:pt idx="3">
                  <c:v>12454</c:v>
                </c:pt>
                <c:pt idx="4">
                  <c:v>13142</c:v>
                </c:pt>
                <c:pt idx="5">
                  <c:v>13889</c:v>
                </c:pt>
                <c:pt idx="6">
                  <c:v>13963</c:v>
                </c:pt>
                <c:pt idx="7">
                  <c:v>14312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2A2-4519-94DB-5804F8AACED8}"/>
            </c:ext>
          </c:extLst>
        </c:ser>
        <c:ser>
          <c:idx val="2"/>
          <c:order val="2"/>
          <c:tx>
            <c:strRef>
              <c:f>Лист11!$A$4</c:f>
              <c:strCache>
                <c:ptCount val="1"/>
                <c:pt idx="0">
                  <c:v>Номинальная начисленная среднемесячная заработная плата 
работников организаций, в рублях</c:v>
                </c:pt>
              </c:strCache>
            </c:strRef>
          </c:tx>
          <c:spPr>
            <a:gradFill>
              <a:gsLst>
                <a:gs pos="0">
                  <a:schemeClr val="accent1">
                    <a:lumMod val="75000"/>
                  </a:schemeClr>
                </a:gs>
                <a:gs pos="74000">
                  <a:schemeClr val="accent1">
                    <a:lumMod val="45000"/>
                    <a:lumOff val="55000"/>
                  </a:schemeClr>
                </a:gs>
                <a:gs pos="83000">
                  <a:schemeClr val="accent1">
                    <a:lumMod val="45000"/>
                    <a:lumOff val="55000"/>
                  </a:schemeClr>
                </a:gs>
                <a:gs pos="100000">
                  <a:schemeClr val="accent1">
                    <a:lumMod val="30000"/>
                    <a:lumOff val="70000"/>
                  </a:schemeClr>
                </a:gs>
              </a:gsLst>
              <a:lin ang="5400000" scaled="1"/>
            </a:gra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 prst="angle"/>
            </a:sp3d>
          </c:spPr>
          <c:invertIfNegative val="0"/>
          <c:dLbls>
            <c:dLbl>
              <c:idx val="1"/>
              <c:layout>
                <c:manualLayout>
                  <c:x val="1.2670218651060683E-3"/>
                  <c:y val="-1.34049207368091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12A2-4519-94DB-5804F8AACED8}"/>
                </c:ext>
              </c:extLst>
            </c:dLbl>
            <c:dLbl>
              <c:idx val="3"/>
              <c:layout>
                <c:manualLayout>
                  <c:x val="-2.9141502897439522E-2"/>
                  <c:y val="-4.02147622104277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12A2-4519-94DB-5804F8AACE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ln>
                      <a:noFill/>
                    </a:ln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Лист11!$B$1:$I$1</c:f>
              <c:strCache>
                <c:ptCount val="8"/>
                <c:pt idx="0">
                  <c:v>2015 
отчет</c:v>
                </c:pt>
                <c:pt idx="1">
                  <c:v>2016
отчет</c:v>
                </c:pt>
                <c:pt idx="2">
                  <c:v>2017
отчет</c:v>
                </c:pt>
                <c:pt idx="3">
                  <c:v>2018
отчет</c:v>
                </c:pt>
                <c:pt idx="4">
                  <c:v>2019
отчет</c:v>
                </c:pt>
                <c:pt idx="5">
                  <c:v>2020
отчет</c:v>
                </c:pt>
                <c:pt idx="6">
                  <c:v>2021
оценка</c:v>
                </c:pt>
                <c:pt idx="7">
                  <c:v>2022 
прогноз</c:v>
                </c:pt>
              </c:strCache>
            </c:strRef>
          </c:cat>
          <c:val>
            <c:numRef>
              <c:f>Лист11!$B$4:$I$4</c:f>
              <c:numCache>
                <c:formatCode>#,##0.00</c:formatCode>
                <c:ptCount val="8"/>
                <c:pt idx="0">
                  <c:v>33810</c:v>
                </c:pt>
                <c:pt idx="1">
                  <c:v>36110</c:v>
                </c:pt>
                <c:pt idx="2">
                  <c:v>38050</c:v>
                </c:pt>
                <c:pt idx="3">
                  <c:v>42194</c:v>
                </c:pt>
                <c:pt idx="4">
                  <c:v>46866.5</c:v>
                </c:pt>
                <c:pt idx="5">
                  <c:v>50105.3</c:v>
                </c:pt>
                <c:pt idx="6">
                  <c:v>54664.6</c:v>
                </c:pt>
                <c:pt idx="7">
                  <c:v>57889.8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2A2-4519-94DB-5804F8AACED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axId val="461630224"/>
        <c:axId val="461632520"/>
      </c:barChart>
      <c:lineChart>
        <c:grouping val="standard"/>
        <c:varyColors val="0"/>
        <c:ser>
          <c:idx val="0"/>
          <c:order val="0"/>
          <c:tx>
            <c:strRef>
              <c:f>Лист11!$A$2</c:f>
              <c:strCache>
                <c:ptCount val="1"/>
                <c:pt idx="0">
                  <c:v>Индекс потебительских цен за период с начала года 
к соответствующему периоду предыдущего года, в %</c:v>
                </c:pt>
              </c:strCache>
            </c:strRef>
          </c:tx>
          <c:spPr>
            <a:ln w="28575" cap="rnd">
              <a:solidFill>
                <a:srgbClr val="00FF99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ysClr val="window" lastClr="FFFFFF"/>
              </a:solidFill>
              <a:ln w="9525">
                <a:solidFill>
                  <a:srgbClr val="00FF99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3.6095357861346905E-2"/>
                  <c:y val="7.3202628570756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12A2-4519-94DB-5804F8AACED8}"/>
                </c:ext>
              </c:extLst>
            </c:dLbl>
            <c:dLbl>
              <c:idx val="2"/>
              <c:layout>
                <c:manualLayout>
                  <c:x val="3.6393058116896235E-2"/>
                  <c:y val="4.60131066650200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12A2-4519-94DB-5804F8AACED8}"/>
                </c:ext>
              </c:extLst>
            </c:dLbl>
            <c:dLbl>
              <c:idx val="3"/>
              <c:layout>
                <c:manualLayout>
                  <c:x val="2.8966214911849603E-2"/>
                  <c:y val="1.86470137561023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12A2-4519-94DB-5804F8AACED8}"/>
                </c:ext>
              </c:extLst>
            </c:dLbl>
            <c:dLbl>
              <c:idx val="4"/>
              <c:layout>
                <c:manualLayout>
                  <c:x val="3.3637335443041039E-2"/>
                  <c:y val="3.48494766124845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12A2-4519-94DB-5804F8AACED8}"/>
                </c:ext>
              </c:extLst>
            </c:dLbl>
            <c:dLbl>
              <c:idx val="5"/>
              <c:layout>
                <c:manualLayout>
                  <c:x val="2.9240769571122982E-2"/>
                  <c:y val="2.85749483593899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12A2-4519-94DB-5804F8AACED8}"/>
                </c:ext>
              </c:extLst>
            </c:dLbl>
            <c:dLbl>
              <c:idx val="6"/>
              <c:layout>
                <c:manualLayout>
                  <c:x val="3.0408524762545637E-2"/>
                  <c:y val="2.68098414736184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12A2-4519-94DB-5804F8AACED8}"/>
                </c:ext>
              </c:extLst>
            </c:dLbl>
            <c:dLbl>
              <c:idx val="7"/>
              <c:layout>
                <c:manualLayout>
                  <c:x val="3.5476612222969911E-2"/>
                  <c:y val="5.74496603006110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12A2-4519-94DB-5804F8AACE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ln>
                      <a:noFill/>
                    </a:ln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ysClr val="windowText" lastClr="000000"/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Лист11!$B$1:$I$1</c:f>
              <c:strCache>
                <c:ptCount val="8"/>
                <c:pt idx="0">
                  <c:v>2015 
отчет</c:v>
                </c:pt>
                <c:pt idx="1">
                  <c:v>2016
отчет</c:v>
                </c:pt>
                <c:pt idx="2">
                  <c:v>2017
отчет</c:v>
                </c:pt>
                <c:pt idx="3">
                  <c:v>2018
отчет</c:v>
                </c:pt>
                <c:pt idx="4">
                  <c:v>2019
отчет</c:v>
                </c:pt>
                <c:pt idx="5">
                  <c:v>2020
отчет</c:v>
                </c:pt>
                <c:pt idx="6">
                  <c:v>2021
оценка</c:v>
                </c:pt>
                <c:pt idx="7">
                  <c:v>2022 
прогноз</c:v>
                </c:pt>
              </c:strCache>
            </c:strRef>
          </c:cat>
          <c:val>
            <c:numRef>
              <c:f>Лист11!$B$2:$I$2</c:f>
              <c:numCache>
                <c:formatCode>#,##0.00</c:formatCode>
                <c:ptCount val="8"/>
                <c:pt idx="0" formatCode="General">
                  <c:v>115.5</c:v>
                </c:pt>
                <c:pt idx="1">
                  <c:v>106.44</c:v>
                </c:pt>
                <c:pt idx="2">
                  <c:v>103.1</c:v>
                </c:pt>
                <c:pt idx="3">
                  <c:v>102.8</c:v>
                </c:pt>
                <c:pt idx="4">
                  <c:v>104.2</c:v>
                </c:pt>
                <c:pt idx="5">
                  <c:v>103.7</c:v>
                </c:pt>
                <c:pt idx="6">
                  <c:v>104.8</c:v>
                </c:pt>
                <c:pt idx="7">
                  <c:v>104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12A2-4519-94DB-5804F8AACED8}"/>
            </c:ext>
          </c:extLst>
        </c:ser>
        <c:ser>
          <c:idx val="3"/>
          <c:order val="3"/>
          <c:tx>
            <c:strRef>
              <c:f>Лист11!$A$5</c:f>
              <c:strCache>
                <c:ptCount val="1"/>
                <c:pt idx="0">
                  <c:v>Темп роста средней заработной платы, в % к предыдущему периоду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FF0000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3.5972845825886279E-2"/>
                  <c:y val="3.76470187320572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12A2-4519-94DB-5804F8AACED8}"/>
                </c:ext>
              </c:extLst>
            </c:dLbl>
            <c:dLbl>
              <c:idx val="1"/>
              <c:layout>
                <c:manualLayout>
                  <c:x val="4.1758845832869838E-2"/>
                  <c:y val="-2.28566715415945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4-12A2-4519-94DB-5804F8AACED8}"/>
                </c:ext>
              </c:extLst>
            </c:dLbl>
            <c:dLbl>
              <c:idx val="2"/>
              <c:layout>
                <c:manualLayout>
                  <c:x val="3.7660079982002256E-2"/>
                  <c:y val="4.29056982674477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5-12A2-4519-94DB-5804F8AACED8}"/>
                </c:ext>
              </c:extLst>
            </c:dLbl>
            <c:dLbl>
              <c:idx val="3"/>
              <c:layout>
                <c:manualLayout>
                  <c:x val="2.2432572238952248E-2"/>
                  <c:y val="-2.97839545963724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6-12A2-4519-94DB-5804F8AACED8}"/>
                </c:ext>
              </c:extLst>
            </c:dLbl>
            <c:dLbl>
              <c:idx val="4"/>
              <c:layout>
                <c:manualLayout>
                  <c:x val="4.1140199959994031E-2"/>
                  <c:y val="2.1744319457506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7-12A2-4519-94DB-5804F8AACED8}"/>
                </c:ext>
              </c:extLst>
            </c:dLbl>
            <c:dLbl>
              <c:idx val="5"/>
              <c:layout>
                <c:manualLayout>
                  <c:x val="3.7140601017308726E-2"/>
                  <c:y val="-8.54950464369675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8-12A2-4519-94DB-5804F8AACED8}"/>
                </c:ext>
              </c:extLst>
            </c:dLbl>
            <c:dLbl>
              <c:idx val="6"/>
              <c:layout>
                <c:manualLayout>
                  <c:x val="3.4209590357863841E-2"/>
                  <c:y val="-5.36196829472369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9-12A2-4519-94DB-5804F8AACED8}"/>
                </c:ext>
              </c:extLst>
            </c:dLbl>
            <c:dLbl>
              <c:idx val="7"/>
              <c:layout>
                <c:manualLayout>
                  <c:x val="4.0544699683394185E-2"/>
                  <c:y val="-2.48948527969314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A-12A2-4519-94DB-5804F8AACE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ln>
                      <a:noFill/>
                    </a:ln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ysClr val="windowText" lastClr="000000"/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Лист11!$B$1:$I$1</c:f>
              <c:strCache>
                <c:ptCount val="8"/>
                <c:pt idx="0">
                  <c:v>2015 
отчет</c:v>
                </c:pt>
                <c:pt idx="1">
                  <c:v>2016
отчет</c:v>
                </c:pt>
                <c:pt idx="2">
                  <c:v>2017
отчет</c:v>
                </c:pt>
                <c:pt idx="3">
                  <c:v>2018
отчет</c:v>
                </c:pt>
                <c:pt idx="4">
                  <c:v>2019
отчет</c:v>
                </c:pt>
                <c:pt idx="5">
                  <c:v>2020
отчет</c:v>
                </c:pt>
                <c:pt idx="6">
                  <c:v>2021
оценка</c:v>
                </c:pt>
                <c:pt idx="7">
                  <c:v>2022 
прогноз</c:v>
                </c:pt>
              </c:strCache>
            </c:strRef>
          </c:cat>
          <c:val>
            <c:numRef>
              <c:f>Лист11!$B$5:$I$5</c:f>
              <c:numCache>
                <c:formatCode>#,##0.00</c:formatCode>
                <c:ptCount val="8"/>
                <c:pt idx="0">
                  <c:v>104.26</c:v>
                </c:pt>
                <c:pt idx="1">
                  <c:v>106.8</c:v>
                </c:pt>
                <c:pt idx="2">
                  <c:v>106.6</c:v>
                </c:pt>
                <c:pt idx="3">
                  <c:v>110.7</c:v>
                </c:pt>
                <c:pt idx="4">
                  <c:v>111.1</c:v>
                </c:pt>
                <c:pt idx="5">
                  <c:v>106.9</c:v>
                </c:pt>
                <c:pt idx="6">
                  <c:v>109.1</c:v>
                </c:pt>
                <c:pt idx="7">
                  <c:v>105.9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B-12A2-4519-94DB-5804F8AACE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61644656"/>
        <c:axId val="461644328"/>
      </c:lineChart>
      <c:catAx>
        <c:axId val="461630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61632520"/>
        <c:crosses val="autoZero"/>
        <c:auto val="1"/>
        <c:lblAlgn val="ctr"/>
        <c:lblOffset val="100"/>
        <c:noMultiLvlLbl val="0"/>
      </c:catAx>
      <c:valAx>
        <c:axId val="461632520"/>
        <c:scaling>
          <c:orientation val="minMax"/>
        </c:scaling>
        <c:delete val="0"/>
        <c:axPos val="l"/>
        <c:numFmt formatCode="#,##0.0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61630224"/>
        <c:crosses val="autoZero"/>
        <c:crossBetween val="between"/>
      </c:valAx>
      <c:valAx>
        <c:axId val="461644328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61644656"/>
        <c:crosses val="max"/>
        <c:crossBetween val="between"/>
      </c:valAx>
      <c:catAx>
        <c:axId val="4616446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6164432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"/>
          <c:y val="0.1508068027444282"/>
          <c:w val="0.82058718324683089"/>
          <c:h val="0.1692706743006860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ln>
                <a:noFill/>
              </a:ln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n>
            <a:noFill/>
          </a:ln>
        </a:defRPr>
      </a:pPr>
      <a:endParaRPr lang="ru-RU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0.96817</cdr:x>
      <cdr:y>0.12441</cdr:y>
    </cdr:from>
    <cdr:to>
      <cdr:x>0.9929</cdr:x>
      <cdr:y>0.16362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9249485" y="793954"/>
          <a:ext cx="236260" cy="250228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algn="ctr"/>
          <a:r>
            <a:rPr lang="ru-RU" b="0" cap="none" spc="0">
              <a:ln w="0"/>
              <a:solidFill>
                <a:schemeClr val="tx1"/>
              </a:solidFill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Times New Roman" panose="02020603050405020304" pitchFamily="18" charset="0"/>
              <a:cs typeface="Times New Roman" panose="02020603050405020304" pitchFamily="18" charset="0"/>
            </a:rPr>
            <a:t>%</a:t>
          </a:r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0.01148</cdr:x>
      <cdr:y>0.12441</cdr:y>
    </cdr:from>
    <cdr:to>
      <cdr:x>0.0583</cdr:x>
      <cdr:y>0.19202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106746" y="755431"/>
          <a:ext cx="435194" cy="41055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0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руб.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Михова Марина Сергеевна</dc:creator>
  <cp:keywords/>
  <dc:description/>
  <cp:lastModifiedBy>Старовойтова Ангелина Викторовна</cp:lastModifiedBy>
  <cp:revision>3</cp:revision>
  <cp:lastPrinted>2022-01-13T23:08:00Z</cp:lastPrinted>
  <dcterms:created xsi:type="dcterms:W3CDTF">2022-01-13T01:29:00Z</dcterms:created>
  <dcterms:modified xsi:type="dcterms:W3CDTF">2022-01-13T23:08:00Z</dcterms:modified>
</cp:coreProperties>
</file>