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theme/themeOverride12.xml" ContentType="application/vnd.openxmlformats-officedocument.themeOverride+xml"/>
  <Override PartName="/word/charts/chart15.xml" ContentType="application/vnd.openxmlformats-officedocument.drawingml.chart+xml"/>
  <Override PartName="/word/theme/themeOverride13.xml" ContentType="application/vnd.openxmlformats-officedocument.themeOverride+xml"/>
  <Override PartName="/word/charts/chart16.xml" ContentType="application/vnd.openxmlformats-officedocument.drawingml.chart+xml"/>
  <Override PartName="/word/theme/themeOverride14.xml" ContentType="application/vnd.openxmlformats-officedocument.themeOverride+xml"/>
  <Override PartName="/word/charts/chart17.xml" ContentType="application/vnd.openxmlformats-officedocument.drawingml.chart+xml"/>
  <Override PartName="/word/theme/themeOverride15.xml" ContentType="application/vnd.openxmlformats-officedocument.themeOverride+xml"/>
  <Override PartName="/word/charts/chart18.xml" ContentType="application/vnd.openxmlformats-officedocument.drawingml.chart+xml"/>
  <Override PartName="/word/theme/themeOverride16.xml" ContentType="application/vnd.openxmlformats-officedocument.themeOverride+xml"/>
  <Override PartName="/word/charts/chart19.xml" ContentType="application/vnd.openxmlformats-officedocument.drawingml.chart+xml"/>
  <Override PartName="/word/theme/themeOverride17.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olors1.xml" ContentType="application/vnd.ms-office.chartcolorstyle+xml"/>
  <Override PartName="/word/charts/style1.xml" ContentType="application/vnd.ms-office.chartstyle+xml"/>
  <Override PartName="/word/charts/colors2.xml" ContentType="application/vnd.ms-office.chartcolorstyle+xml"/>
  <Override PartName="/word/charts/style2.xml" ContentType="application/vnd.ms-office.chartstyle+xml"/>
  <Override PartName="/word/charts/colors3.xml" ContentType="application/vnd.ms-office.chartcolorstyle+xml"/>
  <Override PartName="/word/charts/style3.xml" ContentType="application/vnd.ms-office.chartstyle+xml"/>
  <Override PartName="/word/charts/colors4.xml" ContentType="application/vnd.ms-office.chartcolorstyle+xml"/>
  <Override PartName="/word/charts/style4.xml" ContentType="application/vnd.ms-office.chartstyle+xml"/>
  <Override PartName="/word/charts/colors5.xml" ContentType="application/vnd.ms-office.chartcolorstyle+xml"/>
  <Override PartName="/word/charts/style5.xml" ContentType="application/vnd.ms-office.chartstyle+xml"/>
  <Override PartName="/word/charts/colors6.xml" ContentType="application/vnd.ms-office.chartcolorstyle+xml"/>
  <Override PartName="/word/charts/style6.xml" ContentType="application/vnd.ms-office.chartstyle+xml"/>
  <Override PartName="/word/charts/colors7.xml" ContentType="application/vnd.ms-office.chartcolorstyle+xml"/>
  <Override PartName="/word/charts/style7.xml" ContentType="application/vnd.ms-office.chartstyle+xml"/>
  <Override PartName="/word/charts/colors8.xml" ContentType="application/vnd.ms-office.chartcolorstyle+xml"/>
  <Override PartName="/word/charts/style8.xml" ContentType="application/vnd.ms-office.chartstyle+xml"/>
  <Override PartName="/word/charts/colors9.xml" ContentType="application/vnd.ms-office.chartcolorstyle+xml"/>
  <Override PartName="/word/charts/style9.xml" ContentType="application/vnd.ms-office.chartstyle+xml"/>
  <Override PartName="/word/charts/colors10.xml" ContentType="application/vnd.ms-office.chartcolorstyle+xml"/>
  <Override PartName="/word/charts/style10.xml" ContentType="application/vnd.ms-office.chartstyle+xml"/>
  <Override PartName="/word/charts/colors11.xml" ContentType="application/vnd.ms-office.chartcolorstyle+xml"/>
  <Override PartName="/word/charts/style11.xml" ContentType="application/vnd.ms-office.chartstyle+xml"/>
  <Override PartName="/word/charts/colors12.xml" ContentType="application/vnd.ms-office.chartcolorstyle+xml"/>
  <Override PartName="/word/charts/style12.xml" ContentType="application/vnd.ms-office.chartstyle+xml"/>
  <Override PartName="/word/charts/colors13.xml" ContentType="application/vnd.ms-office.chartcolorstyle+xml"/>
  <Override PartName="/word/charts/style13.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4"/>
      </w:tblGrid>
      <w:tr w:rsidR="000177E1" w:rsidRPr="00522104" w14:paraId="5784131B" w14:textId="77777777" w:rsidTr="00A4497B">
        <w:tc>
          <w:tcPr>
            <w:tcW w:w="9354" w:type="dxa"/>
            <w:tcBorders>
              <w:top w:val="nil"/>
              <w:left w:val="nil"/>
              <w:bottom w:val="single" w:sz="24" w:space="0" w:color="auto"/>
              <w:right w:val="nil"/>
            </w:tcBorders>
          </w:tcPr>
          <w:p w14:paraId="14CB54E2" w14:textId="5D0B0066" w:rsidR="000177E1" w:rsidRPr="00522104" w:rsidRDefault="000177E1" w:rsidP="0001088F">
            <w:pPr>
              <w:spacing w:after="0" w:line="240" w:lineRule="auto"/>
              <w:jc w:val="center"/>
              <w:rPr>
                <w:rFonts w:ascii="Times New Roman" w:eastAsia="Times New Roman" w:hAnsi="Times New Roman" w:cs="Times New Roman"/>
                <w:b/>
                <w:sz w:val="32"/>
                <w:szCs w:val="32"/>
                <w:lang w:eastAsia="ru-RU"/>
              </w:rPr>
            </w:pPr>
            <w:bookmarkStart w:id="0" w:name="_GoBack"/>
            <w:bookmarkEnd w:id="0"/>
            <w:r w:rsidRPr="00522104">
              <w:rPr>
                <w:rFonts w:ascii="Times New Roman" w:eastAsia="Times New Roman" w:hAnsi="Times New Roman" w:cs="Times New Roman"/>
                <w:b/>
                <w:sz w:val="32"/>
                <w:szCs w:val="32"/>
                <w:lang w:eastAsia="ru-RU"/>
              </w:rPr>
              <w:t>КОНТРОЛЬНО</w:t>
            </w:r>
            <w:r w:rsidR="0001088F" w:rsidRPr="00522104">
              <w:rPr>
                <w:rFonts w:ascii="Times New Roman" w:eastAsia="Times New Roman" w:hAnsi="Times New Roman" w:cs="Times New Roman"/>
                <w:b/>
                <w:sz w:val="32"/>
                <w:szCs w:val="32"/>
                <w:lang w:eastAsia="ru-RU"/>
              </w:rPr>
              <w:t>-</w:t>
            </w:r>
            <w:r w:rsidRPr="00522104">
              <w:rPr>
                <w:rFonts w:ascii="Times New Roman" w:eastAsia="Times New Roman" w:hAnsi="Times New Roman" w:cs="Times New Roman"/>
                <w:b/>
                <w:sz w:val="32"/>
                <w:szCs w:val="32"/>
                <w:lang w:eastAsia="ru-RU"/>
              </w:rPr>
              <w:t xml:space="preserve">СЧЕТНАЯ ПАЛАТА ПРИМОРСКОГО КРАЯ </w:t>
            </w:r>
          </w:p>
        </w:tc>
      </w:tr>
    </w:tbl>
    <w:p w14:paraId="00DDC4B6"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56D01BAF"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08C2F0CE"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399CC0D0"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4D9DCB52"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398DE7E0" w14:textId="77777777" w:rsidR="000177E1" w:rsidRPr="00522104" w:rsidRDefault="000177E1" w:rsidP="00234A03">
      <w:pPr>
        <w:pStyle w:val="ad"/>
      </w:pPr>
    </w:p>
    <w:p w14:paraId="1405431C"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28EC4EA2"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0C915EF1"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3FF3FEF8"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0E894B82"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442284C8"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7B4CBC3A"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49DDF987"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63BA7EA4" w14:textId="77777777" w:rsidR="000177E1" w:rsidRPr="00522104" w:rsidRDefault="000177E1" w:rsidP="00234A03">
      <w:pPr>
        <w:spacing w:after="0" w:line="240" w:lineRule="auto"/>
        <w:jc w:val="center"/>
        <w:rPr>
          <w:rFonts w:ascii="Times New Roman" w:eastAsia="Times New Roman" w:hAnsi="Times New Roman" w:cs="Times New Roman"/>
          <w:b/>
          <w:sz w:val="32"/>
          <w:szCs w:val="32"/>
          <w:lang w:eastAsia="ru-RU"/>
        </w:rPr>
      </w:pPr>
    </w:p>
    <w:p w14:paraId="0499482D" w14:textId="77777777" w:rsidR="000177E1" w:rsidRPr="00522104" w:rsidRDefault="000177E1" w:rsidP="00234A03">
      <w:pPr>
        <w:spacing w:after="0" w:line="240" w:lineRule="auto"/>
        <w:jc w:val="center"/>
        <w:rPr>
          <w:rFonts w:ascii="Times New Roman" w:eastAsia="Times New Roman" w:hAnsi="Times New Roman" w:cs="Times New Roman"/>
          <w:b/>
          <w:sz w:val="32"/>
          <w:szCs w:val="32"/>
          <w:lang w:eastAsia="ru-RU"/>
        </w:rPr>
      </w:pPr>
      <w:r w:rsidRPr="00522104">
        <w:rPr>
          <w:rFonts w:ascii="Times New Roman" w:eastAsia="Times New Roman" w:hAnsi="Times New Roman" w:cs="Times New Roman"/>
          <w:b/>
          <w:sz w:val="32"/>
          <w:szCs w:val="32"/>
          <w:lang w:eastAsia="ru-RU"/>
        </w:rPr>
        <w:t xml:space="preserve">ЗАКЛЮЧЕНИЕ </w:t>
      </w:r>
    </w:p>
    <w:p w14:paraId="07729DB9" w14:textId="77777777" w:rsidR="000177E1" w:rsidRPr="00522104" w:rsidRDefault="000177E1" w:rsidP="00234A03">
      <w:pPr>
        <w:spacing w:after="0" w:line="240" w:lineRule="auto"/>
        <w:jc w:val="center"/>
        <w:rPr>
          <w:rFonts w:ascii="Times New Roman" w:eastAsia="Times New Roman" w:hAnsi="Times New Roman" w:cs="Times New Roman"/>
          <w:b/>
          <w:sz w:val="32"/>
          <w:szCs w:val="32"/>
          <w:lang w:eastAsia="ru-RU"/>
        </w:rPr>
      </w:pPr>
      <w:r w:rsidRPr="00522104">
        <w:rPr>
          <w:rFonts w:ascii="Times New Roman" w:eastAsia="Times New Roman" w:hAnsi="Times New Roman" w:cs="Times New Roman"/>
          <w:b/>
          <w:sz w:val="32"/>
          <w:szCs w:val="32"/>
          <w:lang w:eastAsia="ru-RU"/>
        </w:rPr>
        <w:t>Контрольно</w:t>
      </w:r>
      <w:r w:rsidR="00ED350A" w:rsidRPr="00522104">
        <w:rPr>
          <w:rFonts w:ascii="Times New Roman" w:eastAsia="Times New Roman" w:hAnsi="Times New Roman" w:cs="Times New Roman"/>
          <w:b/>
          <w:sz w:val="32"/>
          <w:szCs w:val="32"/>
          <w:lang w:eastAsia="ru-RU"/>
        </w:rPr>
        <w:t>-</w:t>
      </w:r>
      <w:r w:rsidRPr="00522104">
        <w:rPr>
          <w:rFonts w:ascii="Times New Roman" w:eastAsia="Times New Roman" w:hAnsi="Times New Roman" w:cs="Times New Roman"/>
          <w:b/>
          <w:sz w:val="32"/>
          <w:szCs w:val="32"/>
          <w:lang w:eastAsia="ru-RU"/>
        </w:rPr>
        <w:t>счетной палаты Приморского края</w:t>
      </w:r>
    </w:p>
    <w:p w14:paraId="53197E99" w14:textId="77777777" w:rsidR="001F0722" w:rsidRPr="00522104" w:rsidRDefault="000177E1" w:rsidP="00234A03">
      <w:pPr>
        <w:spacing w:after="0" w:line="240" w:lineRule="auto"/>
        <w:jc w:val="center"/>
        <w:rPr>
          <w:rFonts w:ascii="Times New Roman" w:eastAsia="Times New Roman" w:hAnsi="Times New Roman" w:cs="Times New Roman"/>
          <w:b/>
          <w:sz w:val="32"/>
          <w:szCs w:val="32"/>
          <w:lang w:eastAsia="ru-RU"/>
        </w:rPr>
      </w:pPr>
      <w:r w:rsidRPr="00522104">
        <w:rPr>
          <w:rFonts w:ascii="Times New Roman" w:eastAsia="Times New Roman" w:hAnsi="Times New Roman" w:cs="Times New Roman"/>
          <w:b/>
          <w:sz w:val="32"/>
          <w:szCs w:val="32"/>
          <w:lang w:eastAsia="ru-RU"/>
        </w:rPr>
        <w:t xml:space="preserve"> на проект закона Приморского края </w:t>
      </w:r>
    </w:p>
    <w:p w14:paraId="141A9CDC" w14:textId="70B1A67C" w:rsidR="00F4000D" w:rsidRPr="00522104" w:rsidRDefault="00C5406C" w:rsidP="00234A03">
      <w:pPr>
        <w:spacing w:after="0" w:line="240" w:lineRule="auto"/>
        <w:jc w:val="center"/>
        <w:rPr>
          <w:rFonts w:ascii="Times New Roman" w:eastAsia="Times New Roman" w:hAnsi="Times New Roman" w:cs="Times New Roman"/>
          <w:b/>
          <w:sz w:val="32"/>
          <w:szCs w:val="32"/>
          <w:lang w:eastAsia="ru-RU"/>
        </w:rPr>
      </w:pPr>
      <w:r w:rsidRPr="00522104">
        <w:rPr>
          <w:rFonts w:ascii="Times New Roman" w:eastAsia="Times New Roman" w:hAnsi="Times New Roman" w:cs="Times New Roman"/>
          <w:b/>
          <w:sz w:val="32"/>
          <w:szCs w:val="32"/>
          <w:lang w:eastAsia="ru-RU"/>
        </w:rPr>
        <w:t>"</w:t>
      </w:r>
      <w:r w:rsidR="009C69C4" w:rsidRPr="00522104">
        <w:rPr>
          <w:rFonts w:ascii="Times New Roman" w:eastAsia="Times New Roman" w:hAnsi="Times New Roman" w:cs="Times New Roman"/>
          <w:b/>
          <w:sz w:val="32"/>
          <w:szCs w:val="32"/>
          <w:lang w:eastAsia="ru-RU"/>
        </w:rPr>
        <w:t>О краевом бюджете на 202</w:t>
      </w:r>
      <w:r w:rsidR="00B114E6" w:rsidRPr="00522104">
        <w:rPr>
          <w:rFonts w:ascii="Times New Roman" w:eastAsia="Times New Roman" w:hAnsi="Times New Roman" w:cs="Times New Roman"/>
          <w:b/>
          <w:sz w:val="32"/>
          <w:szCs w:val="32"/>
          <w:lang w:eastAsia="ru-RU"/>
        </w:rPr>
        <w:t>2</w:t>
      </w:r>
      <w:r w:rsidR="001F0722" w:rsidRPr="00522104">
        <w:rPr>
          <w:rFonts w:ascii="Times New Roman" w:eastAsia="Times New Roman" w:hAnsi="Times New Roman" w:cs="Times New Roman"/>
          <w:b/>
          <w:sz w:val="32"/>
          <w:szCs w:val="32"/>
          <w:lang w:eastAsia="ru-RU"/>
        </w:rPr>
        <w:t xml:space="preserve"> год</w:t>
      </w:r>
      <w:r w:rsidR="00F4000D" w:rsidRPr="00522104">
        <w:rPr>
          <w:rFonts w:ascii="Times New Roman" w:eastAsia="Times New Roman" w:hAnsi="Times New Roman" w:cs="Times New Roman"/>
          <w:b/>
          <w:sz w:val="32"/>
          <w:szCs w:val="32"/>
          <w:lang w:eastAsia="ru-RU"/>
        </w:rPr>
        <w:t xml:space="preserve"> и плановый </w:t>
      </w:r>
    </w:p>
    <w:p w14:paraId="5C005F44" w14:textId="53671BE3" w:rsidR="000177E1" w:rsidRPr="00522104" w:rsidRDefault="00F4000D" w:rsidP="00234A03">
      <w:pPr>
        <w:spacing w:after="0" w:line="240" w:lineRule="auto"/>
        <w:jc w:val="center"/>
        <w:rPr>
          <w:rFonts w:ascii="Times New Roman" w:eastAsia="Times New Roman" w:hAnsi="Times New Roman" w:cs="Times New Roman"/>
          <w:b/>
          <w:sz w:val="32"/>
          <w:szCs w:val="32"/>
          <w:lang w:eastAsia="ru-RU"/>
        </w:rPr>
      </w:pPr>
      <w:r w:rsidRPr="00522104">
        <w:rPr>
          <w:rFonts w:ascii="Times New Roman" w:eastAsia="Times New Roman" w:hAnsi="Times New Roman" w:cs="Times New Roman"/>
          <w:b/>
          <w:sz w:val="32"/>
          <w:szCs w:val="32"/>
          <w:lang w:eastAsia="ru-RU"/>
        </w:rPr>
        <w:t>период 20</w:t>
      </w:r>
      <w:r w:rsidR="00A05548" w:rsidRPr="00522104">
        <w:rPr>
          <w:rFonts w:ascii="Times New Roman" w:eastAsia="Times New Roman" w:hAnsi="Times New Roman" w:cs="Times New Roman"/>
          <w:b/>
          <w:sz w:val="32"/>
          <w:szCs w:val="32"/>
          <w:lang w:eastAsia="ru-RU"/>
        </w:rPr>
        <w:t>2</w:t>
      </w:r>
      <w:r w:rsidR="00B114E6" w:rsidRPr="00522104">
        <w:rPr>
          <w:rFonts w:ascii="Times New Roman" w:eastAsia="Times New Roman" w:hAnsi="Times New Roman" w:cs="Times New Roman"/>
          <w:b/>
          <w:sz w:val="32"/>
          <w:szCs w:val="32"/>
          <w:lang w:eastAsia="ru-RU"/>
        </w:rPr>
        <w:t>3</w:t>
      </w:r>
      <w:r w:rsidR="005E4BAC" w:rsidRPr="00522104">
        <w:rPr>
          <w:rFonts w:ascii="Times New Roman" w:eastAsia="Times New Roman" w:hAnsi="Times New Roman" w:cs="Times New Roman"/>
          <w:b/>
          <w:sz w:val="32"/>
          <w:szCs w:val="32"/>
          <w:lang w:eastAsia="ru-RU"/>
        </w:rPr>
        <w:t xml:space="preserve"> и 202</w:t>
      </w:r>
      <w:r w:rsidR="00B114E6" w:rsidRPr="00522104">
        <w:rPr>
          <w:rFonts w:ascii="Times New Roman" w:eastAsia="Times New Roman" w:hAnsi="Times New Roman" w:cs="Times New Roman"/>
          <w:b/>
          <w:sz w:val="32"/>
          <w:szCs w:val="32"/>
          <w:lang w:eastAsia="ru-RU"/>
        </w:rPr>
        <w:t>4</w:t>
      </w:r>
      <w:r w:rsidRPr="00522104">
        <w:rPr>
          <w:rFonts w:ascii="Times New Roman" w:eastAsia="Times New Roman" w:hAnsi="Times New Roman" w:cs="Times New Roman"/>
          <w:b/>
          <w:sz w:val="32"/>
          <w:szCs w:val="32"/>
          <w:lang w:eastAsia="ru-RU"/>
        </w:rPr>
        <w:t xml:space="preserve"> годов</w:t>
      </w:r>
      <w:r w:rsidR="00C5406C" w:rsidRPr="00522104">
        <w:rPr>
          <w:rFonts w:ascii="Times New Roman" w:eastAsia="Times New Roman" w:hAnsi="Times New Roman" w:cs="Times New Roman"/>
          <w:b/>
          <w:sz w:val="32"/>
          <w:szCs w:val="32"/>
          <w:lang w:eastAsia="ru-RU"/>
        </w:rPr>
        <w:t>"</w:t>
      </w:r>
    </w:p>
    <w:p w14:paraId="15538826" w14:textId="77777777" w:rsidR="000177E1" w:rsidRPr="00522104" w:rsidRDefault="000177E1" w:rsidP="00234A03">
      <w:pPr>
        <w:spacing w:after="0" w:line="240" w:lineRule="auto"/>
        <w:jc w:val="center"/>
        <w:rPr>
          <w:rFonts w:ascii="Times New Roman" w:eastAsia="Times New Roman" w:hAnsi="Times New Roman" w:cs="Times New Roman"/>
          <w:b/>
          <w:sz w:val="32"/>
          <w:szCs w:val="32"/>
          <w:lang w:eastAsia="ru-RU"/>
        </w:rPr>
      </w:pPr>
    </w:p>
    <w:p w14:paraId="409AE87B"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11D585E3" w14:textId="77777777" w:rsidR="00587B5A" w:rsidRPr="00522104" w:rsidRDefault="00684F1B" w:rsidP="00234A03">
      <w:pPr>
        <w:spacing w:after="0" w:line="240" w:lineRule="auto"/>
        <w:jc w:val="center"/>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УТВЕРЖДЕНО </w:t>
      </w:r>
    </w:p>
    <w:p w14:paraId="477E08B7" w14:textId="52D94607" w:rsidR="00587B5A" w:rsidRPr="00522104" w:rsidRDefault="000177E1" w:rsidP="00234A03">
      <w:pPr>
        <w:spacing w:after="0" w:line="240" w:lineRule="auto"/>
        <w:jc w:val="center"/>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 </w:t>
      </w:r>
      <w:r w:rsidR="0001088F" w:rsidRPr="00522104">
        <w:rPr>
          <w:rFonts w:ascii="Times New Roman" w:eastAsia="Times New Roman" w:hAnsi="Times New Roman" w:cs="Times New Roman"/>
          <w:sz w:val="28"/>
          <w:szCs w:val="28"/>
          <w:lang w:eastAsia="ru-RU"/>
        </w:rPr>
        <w:t>К</w:t>
      </w:r>
      <w:r w:rsidRPr="00522104">
        <w:rPr>
          <w:rFonts w:ascii="Times New Roman" w:eastAsia="Times New Roman" w:hAnsi="Times New Roman" w:cs="Times New Roman"/>
          <w:sz w:val="28"/>
          <w:szCs w:val="28"/>
          <w:lang w:eastAsia="ru-RU"/>
        </w:rPr>
        <w:t>оллегией Контрольно</w:t>
      </w:r>
      <w:r w:rsidR="00ED350A"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счетной</w:t>
      </w:r>
    </w:p>
    <w:p w14:paraId="4921379C" w14:textId="77777777" w:rsidR="000177E1" w:rsidRPr="00522104" w:rsidRDefault="000177E1" w:rsidP="00234A03">
      <w:pPr>
        <w:spacing w:after="0" w:line="240" w:lineRule="auto"/>
        <w:jc w:val="center"/>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 палаты Приморского края </w:t>
      </w:r>
    </w:p>
    <w:p w14:paraId="1A5F416D" w14:textId="50C34A37" w:rsidR="000177E1" w:rsidRPr="00522104" w:rsidRDefault="000177E1" w:rsidP="00234A03">
      <w:pPr>
        <w:spacing w:after="0" w:line="240" w:lineRule="auto"/>
        <w:jc w:val="center"/>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(протокол от</w:t>
      </w:r>
      <w:r w:rsidR="0020468D" w:rsidRPr="00522104">
        <w:rPr>
          <w:rFonts w:ascii="Times New Roman" w:eastAsia="Times New Roman" w:hAnsi="Times New Roman" w:cs="Times New Roman"/>
          <w:sz w:val="28"/>
          <w:szCs w:val="28"/>
          <w:lang w:eastAsia="ru-RU"/>
        </w:rPr>
        <w:t xml:space="preserve"> 15.11.2021 № 21</w:t>
      </w:r>
      <w:r w:rsidRPr="00522104">
        <w:rPr>
          <w:rFonts w:ascii="Times New Roman" w:eastAsia="Times New Roman" w:hAnsi="Times New Roman" w:cs="Times New Roman"/>
          <w:sz w:val="28"/>
          <w:szCs w:val="28"/>
          <w:lang w:eastAsia="ru-RU"/>
        </w:rPr>
        <w:t>)</w:t>
      </w:r>
    </w:p>
    <w:p w14:paraId="535DBFB3" w14:textId="77777777" w:rsidR="000177E1" w:rsidRPr="00522104" w:rsidRDefault="000177E1" w:rsidP="00234A03">
      <w:pPr>
        <w:spacing w:after="0" w:line="240" w:lineRule="auto"/>
        <w:jc w:val="center"/>
        <w:rPr>
          <w:rFonts w:ascii="Times New Roman" w:eastAsia="Times New Roman" w:hAnsi="Times New Roman" w:cs="Times New Roman"/>
          <w:sz w:val="28"/>
          <w:szCs w:val="28"/>
          <w:lang w:eastAsia="ru-RU"/>
        </w:rPr>
      </w:pPr>
    </w:p>
    <w:p w14:paraId="4E900C58"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07366F67"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4E5C7751"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4C5A4168"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3D8C0A99"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407F64ED"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724FADAA"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75C63D3A"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5127DE9E" w14:textId="77777777" w:rsidR="00587B5A" w:rsidRPr="00522104" w:rsidRDefault="00587B5A" w:rsidP="00234A03">
      <w:pPr>
        <w:spacing w:after="0" w:line="240" w:lineRule="auto"/>
        <w:jc w:val="center"/>
        <w:rPr>
          <w:rFonts w:ascii="Times New Roman" w:eastAsia="Times New Roman" w:hAnsi="Times New Roman" w:cs="Times New Roman"/>
          <w:b/>
          <w:sz w:val="28"/>
          <w:szCs w:val="28"/>
          <w:lang w:eastAsia="ru-RU"/>
        </w:rPr>
      </w:pPr>
    </w:p>
    <w:p w14:paraId="019439AE" w14:textId="77777777" w:rsidR="00587B5A" w:rsidRPr="00522104" w:rsidRDefault="00587B5A" w:rsidP="00234A03">
      <w:pPr>
        <w:spacing w:after="0" w:line="240" w:lineRule="auto"/>
        <w:jc w:val="center"/>
        <w:rPr>
          <w:rFonts w:ascii="Times New Roman" w:eastAsia="Times New Roman" w:hAnsi="Times New Roman" w:cs="Times New Roman"/>
          <w:b/>
          <w:sz w:val="28"/>
          <w:szCs w:val="28"/>
          <w:lang w:eastAsia="ru-RU"/>
        </w:rPr>
      </w:pPr>
    </w:p>
    <w:p w14:paraId="2E75795E"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p>
    <w:p w14:paraId="6BBDC49E" w14:textId="77777777" w:rsidR="00B724E5" w:rsidRPr="00522104" w:rsidRDefault="00B724E5" w:rsidP="00234A03">
      <w:pPr>
        <w:spacing w:after="0" w:line="240" w:lineRule="auto"/>
        <w:jc w:val="center"/>
        <w:rPr>
          <w:rFonts w:ascii="Times New Roman" w:eastAsia="Times New Roman" w:hAnsi="Times New Roman" w:cs="Times New Roman"/>
          <w:b/>
          <w:sz w:val="28"/>
          <w:szCs w:val="28"/>
          <w:lang w:eastAsia="ru-RU"/>
        </w:rPr>
      </w:pPr>
    </w:p>
    <w:p w14:paraId="6A2CD2F3"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Владивосток</w:t>
      </w:r>
    </w:p>
    <w:p w14:paraId="54A5ABF0" w14:textId="12DF25CB"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20</w:t>
      </w:r>
      <w:r w:rsidR="00E266A8" w:rsidRPr="00522104">
        <w:rPr>
          <w:rFonts w:ascii="Times New Roman" w:eastAsia="Times New Roman" w:hAnsi="Times New Roman" w:cs="Times New Roman"/>
          <w:b/>
          <w:sz w:val="28"/>
          <w:szCs w:val="28"/>
          <w:lang w:eastAsia="ru-RU"/>
        </w:rPr>
        <w:t>2</w:t>
      </w:r>
      <w:r w:rsidR="00B114E6" w:rsidRPr="00522104">
        <w:rPr>
          <w:rFonts w:ascii="Times New Roman" w:eastAsia="Times New Roman" w:hAnsi="Times New Roman" w:cs="Times New Roman"/>
          <w:b/>
          <w:sz w:val="28"/>
          <w:szCs w:val="28"/>
          <w:lang w:eastAsia="ru-RU"/>
        </w:rPr>
        <w:t>1</w:t>
      </w:r>
      <w:r w:rsidRPr="00522104">
        <w:rPr>
          <w:rFonts w:ascii="Times New Roman" w:eastAsia="Times New Roman" w:hAnsi="Times New Roman" w:cs="Times New Roman"/>
          <w:b/>
          <w:sz w:val="28"/>
          <w:szCs w:val="28"/>
          <w:lang w:eastAsia="ru-RU"/>
        </w:rPr>
        <w:t xml:space="preserve"> год</w:t>
      </w:r>
    </w:p>
    <w:p w14:paraId="72C1F319" w14:textId="77777777" w:rsidR="00A05548" w:rsidRPr="00522104" w:rsidRDefault="00A05548" w:rsidP="00234A03">
      <w:pPr>
        <w:spacing w:after="0" w:line="240" w:lineRule="auto"/>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br w:type="page"/>
      </w:r>
    </w:p>
    <w:p w14:paraId="1597E8EA" w14:textId="77777777" w:rsidR="000177E1" w:rsidRPr="00522104" w:rsidRDefault="000177E1" w:rsidP="00234A03">
      <w:pPr>
        <w:spacing w:after="0" w:line="240" w:lineRule="auto"/>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lastRenderedPageBreak/>
        <w:t>Содержание</w:t>
      </w:r>
    </w:p>
    <w:p w14:paraId="7FCF22F5" w14:textId="77777777" w:rsidR="000177E1" w:rsidRPr="00522104" w:rsidRDefault="000177E1" w:rsidP="00234A03">
      <w:pPr>
        <w:spacing w:after="0" w:line="240" w:lineRule="auto"/>
        <w:jc w:val="center"/>
        <w:rPr>
          <w:rFonts w:ascii="Times New Roman" w:eastAsia="Times New Roman" w:hAnsi="Times New Roman" w:cs="Times New Roman"/>
          <w:sz w:val="28"/>
          <w:szCs w:val="28"/>
          <w:lang w:eastAsia="ru-RU"/>
        </w:rPr>
      </w:pPr>
    </w:p>
    <w:tbl>
      <w:tblPr>
        <w:tblW w:w="9790" w:type="dxa"/>
        <w:tblLook w:val="04A0" w:firstRow="1" w:lastRow="0" w:firstColumn="1" w:lastColumn="0" w:noHBand="0" w:noVBand="1"/>
      </w:tblPr>
      <w:tblGrid>
        <w:gridCol w:w="1125"/>
        <w:gridCol w:w="7930"/>
        <w:gridCol w:w="735"/>
      </w:tblGrid>
      <w:tr w:rsidR="00D410A8" w:rsidRPr="00522104" w14:paraId="54EC9A6A" w14:textId="77777777" w:rsidTr="00433D9F">
        <w:tc>
          <w:tcPr>
            <w:tcW w:w="1125" w:type="dxa"/>
            <w:shd w:val="clear" w:color="auto" w:fill="auto"/>
          </w:tcPr>
          <w:p w14:paraId="487D1BEC"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1</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02A4FD96" w14:textId="77777777" w:rsidR="000177E1" w:rsidRPr="00522104" w:rsidRDefault="000177E1"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Общие положения………………………………………………</w:t>
            </w:r>
            <w:r w:rsidR="007B3622" w:rsidRPr="00522104">
              <w:rPr>
                <w:rFonts w:ascii="Times New Roman" w:eastAsia="Times New Roman" w:hAnsi="Times New Roman" w:cs="Times New Roman"/>
                <w:sz w:val="28"/>
                <w:szCs w:val="28"/>
                <w:lang w:eastAsia="ru-RU"/>
              </w:rPr>
              <w:t>…</w:t>
            </w:r>
            <w:r w:rsidR="00C50250"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0EA11699" w14:textId="10548BCF" w:rsidR="000177E1" w:rsidRPr="00522104" w:rsidRDefault="00433D9F" w:rsidP="001E5BFD">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r>
      <w:tr w:rsidR="00D410A8" w:rsidRPr="00522104" w14:paraId="54713864" w14:textId="77777777" w:rsidTr="00433D9F">
        <w:tc>
          <w:tcPr>
            <w:tcW w:w="1125" w:type="dxa"/>
            <w:shd w:val="clear" w:color="auto" w:fill="auto"/>
          </w:tcPr>
          <w:p w14:paraId="13ECB325"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2</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7AA155B9" w14:textId="2BF208FC" w:rsidR="000177E1" w:rsidRPr="00522104" w:rsidRDefault="000177E1" w:rsidP="007F5001">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Параметры прогноза основных показателей социально</w:t>
            </w:r>
            <w:r w:rsidR="007F5001">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экономического ра</w:t>
            </w:r>
            <w:r w:rsidR="00611964" w:rsidRPr="00522104">
              <w:rPr>
                <w:rFonts w:ascii="Times New Roman" w:eastAsia="Times New Roman" w:hAnsi="Times New Roman" w:cs="Times New Roman"/>
                <w:sz w:val="28"/>
                <w:szCs w:val="28"/>
                <w:lang w:eastAsia="ru-RU"/>
              </w:rPr>
              <w:t>звития Приморского края ………………</w:t>
            </w:r>
            <w:r w:rsidR="00C60EE4" w:rsidRPr="00522104">
              <w:rPr>
                <w:rFonts w:ascii="Times New Roman" w:eastAsia="Times New Roman" w:hAnsi="Times New Roman" w:cs="Times New Roman"/>
                <w:sz w:val="28"/>
                <w:szCs w:val="28"/>
                <w:lang w:eastAsia="ru-RU"/>
              </w:rPr>
              <w:t>...</w:t>
            </w:r>
            <w:r w:rsidR="007B3622" w:rsidRPr="00522104">
              <w:rPr>
                <w:rFonts w:ascii="Times New Roman" w:eastAsia="Times New Roman" w:hAnsi="Times New Roman" w:cs="Times New Roman"/>
                <w:sz w:val="28"/>
                <w:szCs w:val="28"/>
                <w:lang w:eastAsia="ru-RU"/>
              </w:rPr>
              <w:t>...</w:t>
            </w:r>
            <w:r w:rsidR="00C50250" w:rsidRPr="00522104">
              <w:rPr>
                <w:rFonts w:ascii="Times New Roman" w:eastAsia="Times New Roman" w:hAnsi="Times New Roman" w:cs="Times New Roman"/>
                <w:sz w:val="28"/>
                <w:szCs w:val="28"/>
                <w:lang w:eastAsia="ru-RU"/>
              </w:rPr>
              <w:t>.</w:t>
            </w:r>
            <w:r w:rsidR="000B3FBC" w:rsidRPr="00522104">
              <w:rPr>
                <w:rFonts w:ascii="Times New Roman" w:eastAsia="Times New Roman" w:hAnsi="Times New Roman" w:cs="Times New Roman"/>
                <w:sz w:val="28"/>
                <w:szCs w:val="28"/>
                <w:lang w:eastAsia="ru-RU"/>
              </w:rPr>
              <w:t xml:space="preserve"> </w:t>
            </w:r>
          </w:p>
        </w:tc>
        <w:tc>
          <w:tcPr>
            <w:tcW w:w="735" w:type="dxa"/>
            <w:shd w:val="clear" w:color="auto" w:fill="auto"/>
            <w:vAlign w:val="bottom"/>
          </w:tcPr>
          <w:p w14:paraId="1A629EC2" w14:textId="168438CD" w:rsidR="000177E1" w:rsidRPr="00522104" w:rsidRDefault="00433D9F" w:rsidP="001E5BFD">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r>
      <w:tr w:rsidR="00D410A8" w:rsidRPr="00522104" w14:paraId="3E340428" w14:textId="77777777" w:rsidTr="00433D9F">
        <w:tc>
          <w:tcPr>
            <w:tcW w:w="1125" w:type="dxa"/>
            <w:shd w:val="clear" w:color="auto" w:fill="auto"/>
          </w:tcPr>
          <w:p w14:paraId="168D2BD9"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3</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40D7DD4D" w14:textId="27377CCB" w:rsidR="000177E1" w:rsidRPr="00522104" w:rsidRDefault="000177E1"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Общая характеристика проекта закона </w:t>
            </w:r>
            <w:r w:rsidR="00C5406C" w:rsidRPr="00522104">
              <w:rPr>
                <w:rFonts w:ascii="Times New Roman" w:eastAsia="Times New Roman" w:hAnsi="Times New Roman" w:cs="Times New Roman"/>
                <w:sz w:val="28"/>
                <w:szCs w:val="28"/>
                <w:lang w:eastAsia="ru-RU"/>
              </w:rPr>
              <w:t>"</w:t>
            </w:r>
            <w:r w:rsidR="00247FB1" w:rsidRPr="00522104">
              <w:rPr>
                <w:rFonts w:ascii="Times New Roman" w:eastAsia="Times New Roman" w:hAnsi="Times New Roman" w:cs="Times New Roman"/>
                <w:sz w:val="28"/>
                <w:szCs w:val="28"/>
                <w:lang w:eastAsia="ru-RU"/>
              </w:rPr>
              <w:t>О краевом бюджете на 20</w:t>
            </w:r>
            <w:r w:rsidR="009C69C4" w:rsidRPr="00522104">
              <w:rPr>
                <w:rFonts w:ascii="Times New Roman" w:eastAsia="Times New Roman" w:hAnsi="Times New Roman" w:cs="Times New Roman"/>
                <w:sz w:val="28"/>
                <w:szCs w:val="28"/>
                <w:lang w:eastAsia="ru-RU"/>
              </w:rPr>
              <w:t>2</w:t>
            </w:r>
            <w:r w:rsidR="00B114E6" w:rsidRPr="00522104">
              <w:rPr>
                <w:rFonts w:ascii="Times New Roman" w:eastAsia="Times New Roman" w:hAnsi="Times New Roman" w:cs="Times New Roman"/>
                <w:sz w:val="28"/>
                <w:szCs w:val="28"/>
                <w:lang w:eastAsia="ru-RU"/>
              </w:rPr>
              <w:t>2</w:t>
            </w:r>
            <w:r w:rsidRPr="00522104">
              <w:rPr>
                <w:rFonts w:ascii="Times New Roman" w:eastAsia="Times New Roman" w:hAnsi="Times New Roman" w:cs="Times New Roman"/>
                <w:sz w:val="28"/>
                <w:szCs w:val="28"/>
                <w:lang w:eastAsia="ru-RU"/>
              </w:rPr>
              <w:t xml:space="preserve"> год</w:t>
            </w:r>
            <w:r w:rsidR="00251206" w:rsidRPr="00522104">
              <w:rPr>
                <w:rFonts w:ascii="Times New Roman" w:eastAsia="Times New Roman" w:hAnsi="Times New Roman" w:cs="Times New Roman"/>
                <w:sz w:val="28"/>
                <w:szCs w:val="28"/>
                <w:lang w:eastAsia="ru-RU"/>
              </w:rPr>
              <w:t xml:space="preserve"> и плановый период 20</w:t>
            </w:r>
            <w:r w:rsidR="00A05548" w:rsidRPr="00522104">
              <w:rPr>
                <w:rFonts w:ascii="Times New Roman" w:eastAsia="Times New Roman" w:hAnsi="Times New Roman" w:cs="Times New Roman"/>
                <w:sz w:val="28"/>
                <w:szCs w:val="28"/>
                <w:lang w:eastAsia="ru-RU"/>
              </w:rPr>
              <w:t>2</w:t>
            </w:r>
            <w:r w:rsidR="00E266A8" w:rsidRPr="00522104">
              <w:rPr>
                <w:rFonts w:ascii="Times New Roman" w:eastAsia="Times New Roman" w:hAnsi="Times New Roman" w:cs="Times New Roman"/>
                <w:sz w:val="28"/>
                <w:szCs w:val="28"/>
                <w:lang w:eastAsia="ru-RU"/>
              </w:rPr>
              <w:t>2</w:t>
            </w:r>
            <w:r w:rsidR="00251206" w:rsidRPr="00522104">
              <w:rPr>
                <w:rFonts w:ascii="Times New Roman" w:eastAsia="Times New Roman" w:hAnsi="Times New Roman" w:cs="Times New Roman"/>
                <w:sz w:val="28"/>
                <w:szCs w:val="28"/>
                <w:lang w:eastAsia="ru-RU"/>
              </w:rPr>
              <w:t xml:space="preserve"> и 20</w:t>
            </w:r>
            <w:r w:rsidR="005E4BAC" w:rsidRPr="00522104">
              <w:rPr>
                <w:rFonts w:ascii="Times New Roman" w:eastAsia="Times New Roman" w:hAnsi="Times New Roman" w:cs="Times New Roman"/>
                <w:sz w:val="28"/>
                <w:szCs w:val="28"/>
                <w:lang w:eastAsia="ru-RU"/>
              </w:rPr>
              <w:t>2</w:t>
            </w:r>
            <w:r w:rsidR="00E266A8" w:rsidRPr="00522104">
              <w:rPr>
                <w:rFonts w:ascii="Times New Roman" w:eastAsia="Times New Roman" w:hAnsi="Times New Roman" w:cs="Times New Roman"/>
                <w:sz w:val="28"/>
                <w:szCs w:val="28"/>
                <w:lang w:eastAsia="ru-RU"/>
              </w:rPr>
              <w:t>3</w:t>
            </w:r>
            <w:r w:rsidR="00251206" w:rsidRPr="00522104">
              <w:rPr>
                <w:rFonts w:ascii="Times New Roman" w:eastAsia="Times New Roman" w:hAnsi="Times New Roman" w:cs="Times New Roman"/>
                <w:sz w:val="28"/>
                <w:szCs w:val="28"/>
                <w:lang w:eastAsia="ru-RU"/>
              </w:rPr>
              <w:t xml:space="preserve"> годов"…..</w:t>
            </w:r>
            <w:r w:rsidR="00611964" w:rsidRPr="00522104">
              <w:rPr>
                <w:rFonts w:ascii="Times New Roman" w:eastAsia="Times New Roman" w:hAnsi="Times New Roman" w:cs="Times New Roman"/>
                <w:sz w:val="28"/>
                <w:szCs w:val="28"/>
                <w:lang w:eastAsia="ru-RU"/>
              </w:rPr>
              <w:t>………</w:t>
            </w:r>
            <w:r w:rsidR="007B3622" w:rsidRPr="00522104">
              <w:rPr>
                <w:rFonts w:ascii="Times New Roman" w:eastAsia="Times New Roman" w:hAnsi="Times New Roman" w:cs="Times New Roman"/>
                <w:sz w:val="28"/>
                <w:szCs w:val="28"/>
                <w:lang w:eastAsia="ru-RU"/>
              </w:rPr>
              <w:t>…</w:t>
            </w:r>
            <w:r w:rsidR="00C50250"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3451B907" w14:textId="6983D794" w:rsidR="000177E1" w:rsidRPr="00522104" w:rsidRDefault="00433D9F" w:rsidP="001E5BFD">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r>
      <w:tr w:rsidR="00D410A8" w:rsidRPr="00522104" w14:paraId="26612B44" w14:textId="77777777" w:rsidTr="00433D9F">
        <w:tc>
          <w:tcPr>
            <w:tcW w:w="1125" w:type="dxa"/>
            <w:shd w:val="clear" w:color="auto" w:fill="auto"/>
          </w:tcPr>
          <w:p w14:paraId="6C90385D"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4</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73CF2CB6" w14:textId="61453CDD" w:rsidR="000177E1" w:rsidRPr="00522104" w:rsidRDefault="000177E1" w:rsidP="00D410A8">
            <w:pPr>
              <w:spacing w:before="120" w:after="120" w:line="240" w:lineRule="auto"/>
              <w:jc w:val="both"/>
              <w:rPr>
                <w:rFonts w:ascii="Times New Roman" w:eastAsia="Times New Roman" w:hAnsi="Times New Roman" w:cs="Times New Roman"/>
                <w:sz w:val="24"/>
                <w:szCs w:val="24"/>
                <w:lang w:eastAsia="ru-RU"/>
              </w:rPr>
            </w:pPr>
            <w:r w:rsidRPr="00522104">
              <w:rPr>
                <w:rFonts w:ascii="Times New Roman" w:eastAsia="Times New Roman" w:hAnsi="Times New Roman" w:cs="Times New Roman"/>
                <w:sz w:val="28"/>
                <w:szCs w:val="28"/>
                <w:lang w:eastAsia="ru-RU"/>
              </w:rPr>
              <w:t>Д</w:t>
            </w:r>
            <w:r w:rsidR="00D410A8" w:rsidRPr="00522104">
              <w:rPr>
                <w:rFonts w:ascii="Times New Roman" w:eastAsia="Times New Roman" w:hAnsi="Times New Roman" w:cs="Times New Roman"/>
                <w:sz w:val="28"/>
                <w:szCs w:val="28"/>
                <w:lang w:eastAsia="ru-RU"/>
              </w:rPr>
              <w:t>оходы краевого бюджета</w:t>
            </w:r>
            <w:r w:rsidR="00C60EE4" w:rsidRPr="00522104">
              <w:rPr>
                <w:rFonts w:ascii="Times New Roman" w:eastAsia="Times New Roman" w:hAnsi="Times New Roman" w:cs="Times New Roman"/>
                <w:sz w:val="24"/>
                <w:szCs w:val="24"/>
                <w:lang w:eastAsia="ru-RU"/>
              </w:rPr>
              <w:t>…………………………………………</w:t>
            </w:r>
            <w:r w:rsidR="007B3622" w:rsidRPr="00522104">
              <w:rPr>
                <w:rFonts w:ascii="Times New Roman" w:eastAsia="Times New Roman" w:hAnsi="Times New Roman" w:cs="Times New Roman"/>
                <w:sz w:val="24"/>
                <w:szCs w:val="24"/>
                <w:lang w:eastAsia="ru-RU"/>
              </w:rPr>
              <w:t>…</w:t>
            </w:r>
            <w:r w:rsidR="00C50250" w:rsidRPr="00522104">
              <w:rPr>
                <w:rFonts w:ascii="Times New Roman" w:eastAsia="Times New Roman" w:hAnsi="Times New Roman" w:cs="Times New Roman"/>
                <w:sz w:val="24"/>
                <w:szCs w:val="24"/>
                <w:lang w:eastAsia="ru-RU"/>
              </w:rPr>
              <w:t>…</w:t>
            </w:r>
          </w:p>
        </w:tc>
        <w:tc>
          <w:tcPr>
            <w:tcW w:w="735" w:type="dxa"/>
            <w:shd w:val="clear" w:color="auto" w:fill="auto"/>
            <w:vAlign w:val="bottom"/>
          </w:tcPr>
          <w:p w14:paraId="6DF335BB" w14:textId="01F23112" w:rsidR="000177E1" w:rsidRPr="00522104" w:rsidRDefault="00433D9F" w:rsidP="001E5BFD">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p>
        </w:tc>
      </w:tr>
      <w:tr w:rsidR="00D410A8" w:rsidRPr="00522104" w14:paraId="38D791F3" w14:textId="77777777" w:rsidTr="00433D9F">
        <w:tc>
          <w:tcPr>
            <w:tcW w:w="1125" w:type="dxa"/>
            <w:shd w:val="clear" w:color="auto" w:fill="auto"/>
          </w:tcPr>
          <w:p w14:paraId="78C58B91"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4.1</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4D883EE6" w14:textId="77777777" w:rsidR="000177E1" w:rsidRPr="00522104" w:rsidRDefault="000177E1"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Налоговые и н</w:t>
            </w:r>
            <w:r w:rsidR="00611964" w:rsidRPr="00522104">
              <w:rPr>
                <w:rFonts w:ascii="Times New Roman" w:eastAsia="Times New Roman" w:hAnsi="Times New Roman" w:cs="Times New Roman"/>
                <w:sz w:val="28"/>
                <w:szCs w:val="28"/>
                <w:lang w:eastAsia="ru-RU"/>
              </w:rPr>
              <w:t>еналоговые доходы……………………………</w:t>
            </w:r>
            <w:r w:rsidR="007B3622" w:rsidRPr="00522104">
              <w:rPr>
                <w:rFonts w:ascii="Times New Roman" w:eastAsia="Times New Roman" w:hAnsi="Times New Roman" w:cs="Times New Roman"/>
                <w:sz w:val="28"/>
                <w:szCs w:val="28"/>
                <w:lang w:eastAsia="ru-RU"/>
              </w:rPr>
              <w:t>...</w:t>
            </w:r>
            <w:r w:rsidR="00C50250"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7EE1D5E4" w14:textId="43512D05" w:rsidR="000177E1" w:rsidRPr="00522104" w:rsidRDefault="00433D9F" w:rsidP="001E5BFD">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r>
      <w:tr w:rsidR="00D410A8" w:rsidRPr="00522104" w14:paraId="18DFEFCA" w14:textId="77777777" w:rsidTr="00433D9F">
        <w:tc>
          <w:tcPr>
            <w:tcW w:w="1125" w:type="dxa"/>
            <w:shd w:val="clear" w:color="auto" w:fill="auto"/>
          </w:tcPr>
          <w:p w14:paraId="4106F683"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4.2</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432BD442" w14:textId="77777777" w:rsidR="000177E1" w:rsidRPr="00522104" w:rsidRDefault="000177E1"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Безвозмездные поступления ………………………</w:t>
            </w:r>
            <w:r w:rsidR="00611964" w:rsidRPr="00522104">
              <w:rPr>
                <w:rFonts w:ascii="Times New Roman" w:eastAsia="Times New Roman" w:hAnsi="Times New Roman" w:cs="Times New Roman"/>
                <w:sz w:val="28"/>
                <w:szCs w:val="28"/>
                <w:lang w:eastAsia="ru-RU"/>
              </w:rPr>
              <w:t>…………</w:t>
            </w:r>
            <w:r w:rsidR="007B3622" w:rsidRPr="00522104">
              <w:rPr>
                <w:rFonts w:ascii="Times New Roman" w:eastAsia="Times New Roman" w:hAnsi="Times New Roman" w:cs="Times New Roman"/>
                <w:sz w:val="28"/>
                <w:szCs w:val="28"/>
                <w:lang w:eastAsia="ru-RU"/>
              </w:rPr>
              <w:t>…</w:t>
            </w:r>
            <w:r w:rsidR="00207B86"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037ACB8F" w14:textId="1C38FC7A" w:rsidR="000177E1" w:rsidRPr="00522104" w:rsidRDefault="00433D9F" w:rsidP="001E5BFD">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p>
        </w:tc>
      </w:tr>
      <w:tr w:rsidR="00D410A8" w:rsidRPr="00522104" w14:paraId="4D52D954" w14:textId="77777777" w:rsidTr="00433D9F">
        <w:tc>
          <w:tcPr>
            <w:tcW w:w="1125" w:type="dxa"/>
            <w:shd w:val="clear" w:color="auto" w:fill="auto"/>
          </w:tcPr>
          <w:p w14:paraId="61FECCC2"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5</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0702070C" w14:textId="467560A8" w:rsidR="000177E1" w:rsidRPr="00522104" w:rsidRDefault="000177E1" w:rsidP="00D410A8">
            <w:pPr>
              <w:widowControl w:val="0"/>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w:t>
            </w:r>
            <w:r w:rsidR="00D410A8" w:rsidRPr="00522104">
              <w:rPr>
                <w:rFonts w:ascii="Times New Roman" w:eastAsia="Times New Roman" w:hAnsi="Times New Roman" w:cs="Times New Roman"/>
                <w:sz w:val="28"/>
                <w:szCs w:val="28"/>
                <w:lang w:eastAsia="ru-RU"/>
              </w:rPr>
              <w:t>асходы краевого бюджета</w:t>
            </w:r>
            <w:r w:rsidR="00C60EE4" w:rsidRPr="00522104">
              <w:rPr>
                <w:rFonts w:ascii="Times New Roman" w:eastAsia="Times New Roman" w:hAnsi="Times New Roman" w:cs="Times New Roman"/>
                <w:sz w:val="28"/>
                <w:szCs w:val="28"/>
                <w:lang w:eastAsia="ru-RU"/>
              </w:rPr>
              <w:t>……………………………………</w:t>
            </w:r>
            <w:r w:rsidR="00207B86" w:rsidRPr="00522104">
              <w:rPr>
                <w:rFonts w:ascii="Times New Roman" w:eastAsia="Times New Roman" w:hAnsi="Times New Roman" w:cs="Times New Roman"/>
                <w:sz w:val="28"/>
                <w:szCs w:val="28"/>
                <w:lang w:eastAsia="ru-RU"/>
              </w:rPr>
              <w:t>…</w:t>
            </w:r>
            <w:r w:rsidR="007B3622"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73D4FF4B" w14:textId="513A8EC3" w:rsidR="000177E1" w:rsidRPr="00522104" w:rsidRDefault="00433D9F" w:rsidP="009459C3">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p>
        </w:tc>
      </w:tr>
      <w:tr w:rsidR="00D410A8" w:rsidRPr="00522104" w14:paraId="3381A546" w14:textId="77777777" w:rsidTr="00433D9F">
        <w:tc>
          <w:tcPr>
            <w:tcW w:w="1125" w:type="dxa"/>
            <w:shd w:val="clear" w:color="auto" w:fill="auto"/>
          </w:tcPr>
          <w:p w14:paraId="7E6859BB"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5.1</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0447628F" w14:textId="77777777" w:rsidR="000177E1" w:rsidRPr="00522104" w:rsidRDefault="000177E1"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Государственные про</w:t>
            </w:r>
            <w:r w:rsidR="00C60EE4" w:rsidRPr="00522104">
              <w:rPr>
                <w:rFonts w:ascii="Times New Roman" w:eastAsia="Times New Roman" w:hAnsi="Times New Roman" w:cs="Times New Roman"/>
                <w:sz w:val="28"/>
                <w:szCs w:val="28"/>
                <w:lang w:eastAsia="ru-RU"/>
              </w:rPr>
              <w:t>граммы Приморского края…………….</w:t>
            </w:r>
            <w:r w:rsidR="007B3622" w:rsidRPr="00522104">
              <w:rPr>
                <w:rFonts w:ascii="Times New Roman" w:eastAsia="Times New Roman" w:hAnsi="Times New Roman" w:cs="Times New Roman"/>
                <w:sz w:val="28"/>
                <w:szCs w:val="28"/>
                <w:lang w:eastAsia="ru-RU"/>
              </w:rPr>
              <w:t>..</w:t>
            </w:r>
            <w:r w:rsidR="00207B86" w:rsidRPr="00522104">
              <w:rPr>
                <w:rFonts w:ascii="Times New Roman" w:eastAsia="Times New Roman" w:hAnsi="Times New Roman" w:cs="Times New Roman"/>
                <w:sz w:val="28"/>
                <w:szCs w:val="28"/>
                <w:lang w:eastAsia="ru-RU"/>
              </w:rPr>
              <w:t>.</w:t>
            </w:r>
            <w:r w:rsidR="00C50250"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419CB2BC" w14:textId="4E83C2C1" w:rsidR="000177E1" w:rsidRPr="00522104" w:rsidRDefault="00433D9F" w:rsidP="009459C3">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w:t>
            </w:r>
          </w:p>
        </w:tc>
      </w:tr>
      <w:tr w:rsidR="00D410A8" w:rsidRPr="00522104" w14:paraId="7D7235FE" w14:textId="77777777" w:rsidTr="00433D9F">
        <w:tc>
          <w:tcPr>
            <w:tcW w:w="1125" w:type="dxa"/>
            <w:shd w:val="clear" w:color="auto" w:fill="auto"/>
          </w:tcPr>
          <w:p w14:paraId="736597FF" w14:textId="77777777" w:rsidR="00FE6FB1" w:rsidRPr="00522104" w:rsidRDefault="00E24837"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5.</w:t>
            </w:r>
            <w:r w:rsidR="00463749" w:rsidRPr="00522104">
              <w:rPr>
                <w:rFonts w:ascii="Times New Roman" w:eastAsia="Times New Roman" w:hAnsi="Times New Roman" w:cs="Times New Roman"/>
                <w:sz w:val="28"/>
                <w:szCs w:val="28"/>
                <w:lang w:eastAsia="ru-RU"/>
              </w:rPr>
              <w:t>2</w:t>
            </w:r>
            <w:r w:rsidRPr="00522104">
              <w:rPr>
                <w:rFonts w:ascii="Times New Roman" w:eastAsia="Times New Roman" w:hAnsi="Times New Roman" w:cs="Times New Roman"/>
                <w:sz w:val="28"/>
                <w:szCs w:val="28"/>
                <w:lang w:eastAsia="ru-RU"/>
              </w:rPr>
              <w:t>.</w:t>
            </w:r>
          </w:p>
        </w:tc>
        <w:tc>
          <w:tcPr>
            <w:tcW w:w="7930" w:type="dxa"/>
            <w:shd w:val="clear" w:color="auto" w:fill="auto"/>
          </w:tcPr>
          <w:p w14:paraId="1B84F4D8" w14:textId="77777777" w:rsidR="00FE6FB1" w:rsidRPr="00522104" w:rsidRDefault="00E24837"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Непрограммные направления деятельности органов государственной власти Приморского края</w:t>
            </w:r>
            <w:r w:rsidR="00D117EF" w:rsidRPr="00522104">
              <w:rPr>
                <w:rFonts w:ascii="Times New Roman" w:eastAsia="Times New Roman" w:hAnsi="Times New Roman" w:cs="Times New Roman"/>
                <w:sz w:val="28"/>
                <w:szCs w:val="28"/>
                <w:lang w:eastAsia="ru-RU"/>
              </w:rPr>
              <w:t>…………………</w:t>
            </w:r>
            <w:r w:rsidR="00644C6A" w:rsidRPr="00522104">
              <w:rPr>
                <w:rFonts w:ascii="Times New Roman" w:eastAsia="Times New Roman" w:hAnsi="Times New Roman" w:cs="Times New Roman"/>
                <w:sz w:val="28"/>
                <w:szCs w:val="28"/>
                <w:lang w:eastAsia="ru-RU"/>
              </w:rPr>
              <w:t>…..</w:t>
            </w:r>
            <w:r w:rsidR="00D117EF"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56B1C8D3" w14:textId="2FD33FE1" w:rsidR="00FE6FB1" w:rsidRPr="00522104" w:rsidRDefault="00433D9F" w:rsidP="001E5BFD">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155</w:t>
            </w:r>
          </w:p>
        </w:tc>
      </w:tr>
      <w:tr w:rsidR="00D410A8" w:rsidRPr="00522104" w14:paraId="70EB645B" w14:textId="77777777" w:rsidTr="00433D9F">
        <w:tc>
          <w:tcPr>
            <w:tcW w:w="1125" w:type="dxa"/>
            <w:shd w:val="clear" w:color="auto" w:fill="auto"/>
          </w:tcPr>
          <w:p w14:paraId="218E4E55"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6</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6B5FCC7F" w14:textId="3542D7A8" w:rsidR="000177E1" w:rsidRPr="00522104" w:rsidRDefault="000177E1"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Источники внутреннего финансирования</w:t>
            </w:r>
            <w:r w:rsidR="00DB7AD9"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дефицита краевого бюджета…………………………………………………………</w:t>
            </w:r>
            <w:r w:rsidR="00644C6A"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55351820" w14:textId="56466571" w:rsidR="000177E1" w:rsidRPr="00522104" w:rsidRDefault="00433D9F" w:rsidP="00863DD5">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159</w:t>
            </w:r>
          </w:p>
        </w:tc>
      </w:tr>
      <w:tr w:rsidR="00D410A8" w:rsidRPr="00522104" w14:paraId="53D0B7BA" w14:textId="77777777" w:rsidTr="00433D9F">
        <w:tc>
          <w:tcPr>
            <w:tcW w:w="1125" w:type="dxa"/>
            <w:shd w:val="clear" w:color="auto" w:fill="auto"/>
          </w:tcPr>
          <w:p w14:paraId="1175E402" w14:textId="77777777" w:rsidR="000177E1" w:rsidRPr="00522104" w:rsidRDefault="000177E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7</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72B8D865" w14:textId="78BA9961" w:rsidR="000177E1" w:rsidRPr="00522104" w:rsidRDefault="001C0BFD"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Верхний предел государственного внутреннего долга. Государственный долг Приморского края</w:t>
            </w:r>
            <w:r w:rsidR="000177E1" w:rsidRPr="00522104">
              <w:rPr>
                <w:rFonts w:ascii="Times New Roman" w:eastAsia="Times New Roman" w:hAnsi="Times New Roman" w:cs="Times New Roman"/>
                <w:sz w:val="28"/>
                <w:szCs w:val="28"/>
                <w:lang w:eastAsia="ru-RU"/>
              </w:rPr>
              <w:t>………</w:t>
            </w:r>
            <w:r w:rsidR="007C4865" w:rsidRPr="00522104">
              <w:rPr>
                <w:rFonts w:ascii="Times New Roman" w:eastAsia="Times New Roman" w:hAnsi="Times New Roman" w:cs="Times New Roman"/>
                <w:sz w:val="28"/>
                <w:szCs w:val="28"/>
                <w:lang w:eastAsia="ru-RU"/>
              </w:rPr>
              <w:t>.</w:t>
            </w:r>
            <w:r w:rsidR="000177E1" w:rsidRPr="00522104">
              <w:rPr>
                <w:rFonts w:ascii="Times New Roman" w:eastAsia="Times New Roman" w:hAnsi="Times New Roman" w:cs="Times New Roman"/>
                <w:sz w:val="28"/>
                <w:szCs w:val="28"/>
                <w:lang w:eastAsia="ru-RU"/>
              </w:rPr>
              <w:t>……………</w:t>
            </w:r>
            <w:r w:rsidR="00644C6A"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38529952" w14:textId="7213CB29" w:rsidR="000177E1" w:rsidRPr="00522104" w:rsidRDefault="00433D9F" w:rsidP="00863DD5">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161</w:t>
            </w:r>
          </w:p>
        </w:tc>
      </w:tr>
      <w:tr w:rsidR="00D410A8" w:rsidRPr="00522104" w14:paraId="3519B8B6" w14:textId="77777777" w:rsidTr="00433D9F">
        <w:tc>
          <w:tcPr>
            <w:tcW w:w="1125" w:type="dxa"/>
            <w:shd w:val="clear" w:color="auto" w:fill="auto"/>
          </w:tcPr>
          <w:p w14:paraId="09254BB7" w14:textId="77777777" w:rsidR="00923801" w:rsidRPr="00522104" w:rsidRDefault="0092380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8.</w:t>
            </w:r>
          </w:p>
        </w:tc>
        <w:tc>
          <w:tcPr>
            <w:tcW w:w="7930" w:type="dxa"/>
            <w:shd w:val="clear" w:color="auto" w:fill="auto"/>
          </w:tcPr>
          <w:p w14:paraId="76D66998" w14:textId="4FDE7915" w:rsidR="00923801" w:rsidRPr="00522104" w:rsidRDefault="003871B4"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Т</w:t>
            </w:r>
            <w:r w:rsidR="00923801" w:rsidRPr="00522104">
              <w:rPr>
                <w:rFonts w:ascii="Times New Roman" w:eastAsia="Times New Roman" w:hAnsi="Times New Roman" w:cs="Times New Roman"/>
                <w:sz w:val="28"/>
                <w:szCs w:val="28"/>
                <w:lang w:eastAsia="ru-RU"/>
              </w:rPr>
              <w:t>екстовы</w:t>
            </w:r>
            <w:r w:rsidRPr="00522104">
              <w:rPr>
                <w:rFonts w:ascii="Times New Roman" w:eastAsia="Times New Roman" w:hAnsi="Times New Roman" w:cs="Times New Roman"/>
                <w:sz w:val="28"/>
                <w:szCs w:val="28"/>
                <w:lang w:eastAsia="ru-RU"/>
              </w:rPr>
              <w:t>е</w:t>
            </w:r>
            <w:r w:rsidR="00923801" w:rsidRPr="00522104">
              <w:rPr>
                <w:rFonts w:ascii="Times New Roman" w:eastAsia="Times New Roman" w:hAnsi="Times New Roman" w:cs="Times New Roman"/>
                <w:sz w:val="28"/>
                <w:szCs w:val="28"/>
                <w:lang w:eastAsia="ru-RU"/>
              </w:rPr>
              <w:t xml:space="preserve"> стат</w:t>
            </w:r>
            <w:r w:rsidRPr="00522104">
              <w:rPr>
                <w:rFonts w:ascii="Times New Roman" w:eastAsia="Times New Roman" w:hAnsi="Times New Roman" w:cs="Times New Roman"/>
                <w:sz w:val="28"/>
                <w:szCs w:val="28"/>
                <w:lang w:eastAsia="ru-RU"/>
              </w:rPr>
              <w:t>ьи</w:t>
            </w:r>
            <w:r w:rsidR="00923801" w:rsidRPr="00522104">
              <w:rPr>
                <w:rFonts w:ascii="Times New Roman" w:eastAsia="Times New Roman" w:hAnsi="Times New Roman" w:cs="Times New Roman"/>
                <w:sz w:val="28"/>
                <w:szCs w:val="28"/>
                <w:lang w:eastAsia="ru-RU"/>
              </w:rPr>
              <w:t xml:space="preserve"> проекта закона Приморского края "О краевом бюджете на </w:t>
            </w:r>
            <w:r w:rsidR="001F0722" w:rsidRPr="00522104">
              <w:rPr>
                <w:rFonts w:ascii="Times New Roman" w:eastAsia="Times New Roman" w:hAnsi="Times New Roman" w:cs="Times New Roman"/>
                <w:sz w:val="28"/>
                <w:szCs w:val="28"/>
                <w:lang w:eastAsia="ru-RU"/>
              </w:rPr>
              <w:t>20</w:t>
            </w:r>
            <w:r w:rsidR="009C69C4" w:rsidRPr="00522104">
              <w:rPr>
                <w:rFonts w:ascii="Times New Roman" w:eastAsia="Times New Roman" w:hAnsi="Times New Roman" w:cs="Times New Roman"/>
                <w:sz w:val="28"/>
                <w:szCs w:val="28"/>
                <w:lang w:eastAsia="ru-RU"/>
              </w:rPr>
              <w:t>2</w:t>
            </w:r>
            <w:r w:rsidR="00B114E6" w:rsidRPr="00522104">
              <w:rPr>
                <w:rFonts w:ascii="Times New Roman" w:eastAsia="Times New Roman" w:hAnsi="Times New Roman" w:cs="Times New Roman"/>
                <w:sz w:val="28"/>
                <w:szCs w:val="28"/>
                <w:lang w:eastAsia="ru-RU"/>
              </w:rPr>
              <w:t>2</w:t>
            </w:r>
            <w:r w:rsidR="003F55C3" w:rsidRPr="00522104">
              <w:rPr>
                <w:rFonts w:ascii="Times New Roman" w:eastAsia="Times New Roman" w:hAnsi="Times New Roman" w:cs="Times New Roman"/>
                <w:sz w:val="28"/>
                <w:szCs w:val="28"/>
                <w:lang w:eastAsia="ru-RU"/>
              </w:rPr>
              <w:t xml:space="preserve"> год</w:t>
            </w:r>
            <w:r w:rsidR="00251206" w:rsidRPr="00522104">
              <w:rPr>
                <w:rFonts w:ascii="Times New Roman" w:eastAsia="Times New Roman" w:hAnsi="Times New Roman" w:cs="Times New Roman"/>
                <w:sz w:val="28"/>
                <w:szCs w:val="28"/>
                <w:lang w:eastAsia="ru-RU"/>
              </w:rPr>
              <w:t xml:space="preserve"> и плановый период 20</w:t>
            </w:r>
            <w:r w:rsidR="00D3388E" w:rsidRPr="00522104">
              <w:rPr>
                <w:rFonts w:ascii="Times New Roman" w:eastAsia="Times New Roman" w:hAnsi="Times New Roman" w:cs="Times New Roman"/>
                <w:sz w:val="28"/>
                <w:szCs w:val="28"/>
                <w:lang w:eastAsia="ru-RU"/>
              </w:rPr>
              <w:t>2</w:t>
            </w:r>
            <w:r w:rsidR="00B114E6" w:rsidRPr="00522104">
              <w:rPr>
                <w:rFonts w:ascii="Times New Roman" w:eastAsia="Times New Roman" w:hAnsi="Times New Roman" w:cs="Times New Roman"/>
                <w:sz w:val="28"/>
                <w:szCs w:val="28"/>
                <w:lang w:eastAsia="ru-RU"/>
              </w:rPr>
              <w:t>3</w:t>
            </w:r>
            <w:r w:rsidR="00251206" w:rsidRPr="00522104">
              <w:rPr>
                <w:rFonts w:ascii="Times New Roman" w:eastAsia="Times New Roman" w:hAnsi="Times New Roman" w:cs="Times New Roman"/>
                <w:sz w:val="28"/>
                <w:szCs w:val="28"/>
                <w:lang w:eastAsia="ru-RU"/>
              </w:rPr>
              <w:t xml:space="preserve"> и 20</w:t>
            </w:r>
            <w:r w:rsidR="00796024" w:rsidRPr="00522104">
              <w:rPr>
                <w:rFonts w:ascii="Times New Roman" w:eastAsia="Times New Roman" w:hAnsi="Times New Roman" w:cs="Times New Roman"/>
                <w:sz w:val="28"/>
                <w:szCs w:val="28"/>
                <w:lang w:eastAsia="ru-RU"/>
              </w:rPr>
              <w:t>2</w:t>
            </w:r>
            <w:r w:rsidR="00B114E6" w:rsidRPr="00522104">
              <w:rPr>
                <w:rFonts w:ascii="Times New Roman" w:eastAsia="Times New Roman" w:hAnsi="Times New Roman" w:cs="Times New Roman"/>
                <w:sz w:val="28"/>
                <w:szCs w:val="28"/>
                <w:lang w:eastAsia="ru-RU"/>
              </w:rPr>
              <w:t>4</w:t>
            </w:r>
            <w:r w:rsidR="00251206" w:rsidRPr="00522104">
              <w:rPr>
                <w:rFonts w:ascii="Times New Roman" w:eastAsia="Times New Roman" w:hAnsi="Times New Roman" w:cs="Times New Roman"/>
                <w:sz w:val="28"/>
                <w:szCs w:val="28"/>
                <w:lang w:eastAsia="ru-RU"/>
              </w:rPr>
              <w:t xml:space="preserve"> годов"</w:t>
            </w:r>
            <w:r w:rsidR="00644C6A"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1A9DDC50" w14:textId="7C65D987" w:rsidR="00923801" w:rsidRPr="00522104" w:rsidRDefault="00433D9F" w:rsidP="00863DD5">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163</w:t>
            </w:r>
          </w:p>
        </w:tc>
      </w:tr>
      <w:tr w:rsidR="00D410A8" w:rsidRPr="00522104" w14:paraId="4AB4F41B" w14:textId="77777777" w:rsidTr="00433D9F">
        <w:tc>
          <w:tcPr>
            <w:tcW w:w="1125" w:type="dxa"/>
            <w:shd w:val="clear" w:color="auto" w:fill="auto"/>
          </w:tcPr>
          <w:p w14:paraId="36CFFB2E" w14:textId="77777777" w:rsidR="000177E1" w:rsidRPr="00522104" w:rsidRDefault="00923801" w:rsidP="001E5BFD">
            <w:pPr>
              <w:spacing w:before="120" w:after="120" w:line="240" w:lineRule="auto"/>
              <w:jc w:val="right"/>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9</w:t>
            </w:r>
            <w:r w:rsidR="00587B5A" w:rsidRPr="00522104">
              <w:rPr>
                <w:rFonts w:ascii="Times New Roman" w:eastAsia="Times New Roman" w:hAnsi="Times New Roman" w:cs="Times New Roman"/>
                <w:sz w:val="28"/>
                <w:szCs w:val="28"/>
                <w:lang w:eastAsia="ru-RU"/>
              </w:rPr>
              <w:t>.</w:t>
            </w:r>
          </w:p>
        </w:tc>
        <w:tc>
          <w:tcPr>
            <w:tcW w:w="7930" w:type="dxa"/>
            <w:shd w:val="clear" w:color="auto" w:fill="auto"/>
          </w:tcPr>
          <w:p w14:paraId="63E3DE1D" w14:textId="307FB507" w:rsidR="000177E1" w:rsidRPr="00522104" w:rsidRDefault="000177E1"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w:t>
            </w:r>
            <w:r w:rsidR="007C4865" w:rsidRPr="00522104">
              <w:rPr>
                <w:rFonts w:ascii="Times New Roman" w:eastAsia="Times New Roman" w:hAnsi="Times New Roman" w:cs="Times New Roman"/>
                <w:sz w:val="28"/>
                <w:szCs w:val="28"/>
                <w:lang w:eastAsia="ru-RU"/>
              </w:rPr>
              <w:t>ыводы</w:t>
            </w:r>
            <w:r w:rsidR="00DB7AD9" w:rsidRPr="00522104">
              <w:rPr>
                <w:rFonts w:ascii="Times New Roman" w:eastAsia="Times New Roman" w:hAnsi="Times New Roman" w:cs="Times New Roman"/>
                <w:sz w:val="28"/>
                <w:szCs w:val="28"/>
                <w:lang w:eastAsia="ru-RU"/>
              </w:rPr>
              <w:t xml:space="preserve"> </w:t>
            </w:r>
            <w:r w:rsidR="009D0CE0" w:rsidRPr="00522104">
              <w:rPr>
                <w:rFonts w:ascii="Times New Roman" w:eastAsia="Times New Roman" w:hAnsi="Times New Roman" w:cs="Times New Roman"/>
                <w:sz w:val="28"/>
                <w:szCs w:val="28"/>
                <w:lang w:eastAsia="ru-RU"/>
              </w:rPr>
              <w:t>и предложения</w:t>
            </w:r>
            <w:r w:rsidRPr="00522104">
              <w:rPr>
                <w:rFonts w:ascii="Times New Roman" w:eastAsia="Times New Roman" w:hAnsi="Times New Roman" w:cs="Times New Roman"/>
                <w:sz w:val="28"/>
                <w:szCs w:val="28"/>
                <w:lang w:eastAsia="ru-RU"/>
              </w:rPr>
              <w:t>…………………………</w:t>
            </w:r>
            <w:r w:rsidR="009D0CE0" w:rsidRPr="00522104">
              <w:rPr>
                <w:rFonts w:ascii="Times New Roman" w:eastAsia="Times New Roman" w:hAnsi="Times New Roman" w:cs="Times New Roman"/>
                <w:sz w:val="28"/>
                <w:szCs w:val="28"/>
                <w:lang w:eastAsia="ru-RU"/>
              </w:rPr>
              <w:t>…</w:t>
            </w:r>
            <w:r w:rsidR="00D117EF" w:rsidRPr="00522104">
              <w:rPr>
                <w:rFonts w:ascii="Times New Roman" w:eastAsia="Times New Roman" w:hAnsi="Times New Roman" w:cs="Times New Roman"/>
                <w:sz w:val="28"/>
                <w:szCs w:val="28"/>
                <w:lang w:eastAsia="ru-RU"/>
              </w:rPr>
              <w:t>…………...</w:t>
            </w:r>
            <w:r w:rsidR="00644C6A" w:rsidRPr="00522104">
              <w:rPr>
                <w:rFonts w:ascii="Times New Roman" w:eastAsia="Times New Roman" w:hAnsi="Times New Roman" w:cs="Times New Roman"/>
                <w:sz w:val="28"/>
                <w:szCs w:val="28"/>
                <w:lang w:eastAsia="ru-RU"/>
              </w:rPr>
              <w:t>.....</w:t>
            </w:r>
          </w:p>
        </w:tc>
        <w:tc>
          <w:tcPr>
            <w:tcW w:w="735" w:type="dxa"/>
            <w:shd w:val="clear" w:color="auto" w:fill="auto"/>
            <w:vAlign w:val="bottom"/>
          </w:tcPr>
          <w:p w14:paraId="37CCE689" w14:textId="6A571723" w:rsidR="000177E1" w:rsidRPr="00522104" w:rsidRDefault="00433D9F" w:rsidP="00863DD5">
            <w:pPr>
              <w:spacing w:before="120"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164</w:t>
            </w:r>
          </w:p>
        </w:tc>
      </w:tr>
      <w:tr w:rsidR="00D410A8" w:rsidRPr="00522104" w14:paraId="59A62B32" w14:textId="77777777" w:rsidTr="00433D9F">
        <w:tc>
          <w:tcPr>
            <w:tcW w:w="1125" w:type="dxa"/>
            <w:shd w:val="clear" w:color="auto" w:fill="auto"/>
          </w:tcPr>
          <w:p w14:paraId="1B057D96" w14:textId="77777777" w:rsidR="00945CEC" w:rsidRPr="00522104" w:rsidRDefault="00945CEC" w:rsidP="001E5BFD">
            <w:pPr>
              <w:spacing w:before="120" w:after="120" w:line="240" w:lineRule="auto"/>
              <w:rPr>
                <w:rFonts w:ascii="Times New Roman" w:eastAsia="Times New Roman" w:hAnsi="Times New Roman" w:cs="Times New Roman"/>
                <w:sz w:val="28"/>
                <w:szCs w:val="28"/>
                <w:lang w:eastAsia="ru-RU"/>
              </w:rPr>
            </w:pPr>
          </w:p>
        </w:tc>
        <w:tc>
          <w:tcPr>
            <w:tcW w:w="7930" w:type="dxa"/>
            <w:shd w:val="clear" w:color="auto" w:fill="auto"/>
          </w:tcPr>
          <w:p w14:paraId="3CAFABCC" w14:textId="78AF67A1" w:rsidR="00945CEC" w:rsidRPr="00522104" w:rsidRDefault="00945CEC" w:rsidP="001E5BFD">
            <w:pPr>
              <w:spacing w:before="120" w:after="120" w:line="240" w:lineRule="auto"/>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Приложения к заключению Контрольно-счетной палаты Приморского края на проект закона Приморского края "О краевом бюджете на 20</w:t>
            </w:r>
            <w:r w:rsidR="009C69C4" w:rsidRPr="00522104">
              <w:rPr>
                <w:rFonts w:ascii="Times New Roman" w:eastAsia="Times New Roman" w:hAnsi="Times New Roman" w:cs="Times New Roman"/>
                <w:sz w:val="28"/>
                <w:szCs w:val="28"/>
                <w:lang w:eastAsia="ru-RU"/>
              </w:rPr>
              <w:t>2</w:t>
            </w:r>
            <w:r w:rsidR="00B114E6" w:rsidRPr="00522104">
              <w:rPr>
                <w:rFonts w:ascii="Times New Roman" w:eastAsia="Times New Roman" w:hAnsi="Times New Roman" w:cs="Times New Roman"/>
                <w:sz w:val="28"/>
                <w:szCs w:val="28"/>
                <w:lang w:eastAsia="ru-RU"/>
              </w:rPr>
              <w:t>2</w:t>
            </w:r>
            <w:r w:rsidR="009C69C4" w:rsidRPr="00522104">
              <w:rPr>
                <w:rFonts w:ascii="Times New Roman" w:eastAsia="Times New Roman" w:hAnsi="Times New Roman" w:cs="Times New Roman"/>
                <w:sz w:val="28"/>
                <w:szCs w:val="28"/>
                <w:lang w:eastAsia="ru-RU"/>
              </w:rPr>
              <w:t xml:space="preserve"> год и плановый период 202</w:t>
            </w:r>
            <w:r w:rsidR="00B114E6" w:rsidRPr="00522104">
              <w:rPr>
                <w:rFonts w:ascii="Times New Roman" w:eastAsia="Times New Roman" w:hAnsi="Times New Roman" w:cs="Times New Roman"/>
                <w:sz w:val="28"/>
                <w:szCs w:val="28"/>
                <w:lang w:eastAsia="ru-RU"/>
              </w:rPr>
              <w:t>3</w:t>
            </w:r>
            <w:r w:rsidRPr="00522104">
              <w:rPr>
                <w:rFonts w:ascii="Times New Roman" w:eastAsia="Times New Roman" w:hAnsi="Times New Roman" w:cs="Times New Roman"/>
                <w:sz w:val="28"/>
                <w:szCs w:val="28"/>
                <w:lang w:eastAsia="ru-RU"/>
              </w:rPr>
              <w:t xml:space="preserve"> и 202</w:t>
            </w:r>
            <w:r w:rsidR="00B114E6" w:rsidRPr="00522104">
              <w:rPr>
                <w:rFonts w:ascii="Times New Roman" w:eastAsia="Times New Roman" w:hAnsi="Times New Roman" w:cs="Times New Roman"/>
                <w:sz w:val="28"/>
                <w:szCs w:val="28"/>
                <w:lang w:eastAsia="ru-RU"/>
              </w:rPr>
              <w:t>4</w:t>
            </w:r>
            <w:r w:rsidRPr="00522104">
              <w:rPr>
                <w:rFonts w:ascii="Times New Roman" w:eastAsia="Times New Roman" w:hAnsi="Times New Roman" w:cs="Times New Roman"/>
                <w:sz w:val="28"/>
                <w:szCs w:val="28"/>
                <w:lang w:eastAsia="ru-RU"/>
              </w:rPr>
              <w:t xml:space="preserve"> годов"</w:t>
            </w:r>
          </w:p>
        </w:tc>
        <w:tc>
          <w:tcPr>
            <w:tcW w:w="735" w:type="dxa"/>
            <w:shd w:val="clear" w:color="auto" w:fill="auto"/>
            <w:vAlign w:val="bottom"/>
          </w:tcPr>
          <w:p w14:paraId="3A5E95D0" w14:textId="77777777" w:rsidR="00945CEC" w:rsidRPr="00522104" w:rsidRDefault="00945CEC" w:rsidP="001E5BFD">
            <w:pPr>
              <w:spacing w:before="120" w:after="120" w:line="240" w:lineRule="auto"/>
              <w:rPr>
                <w:rFonts w:ascii="Times New Roman" w:eastAsia="Times New Roman" w:hAnsi="Times New Roman" w:cs="Times New Roman"/>
                <w:sz w:val="28"/>
                <w:szCs w:val="28"/>
                <w:lang w:eastAsia="ru-RU"/>
              </w:rPr>
            </w:pPr>
          </w:p>
        </w:tc>
      </w:tr>
    </w:tbl>
    <w:p w14:paraId="446C91CD" w14:textId="77777777" w:rsidR="00480134" w:rsidRDefault="00D22F04" w:rsidP="001E5BFD">
      <w:pPr>
        <w:spacing w:before="120" w:after="120" w:line="240" w:lineRule="auto"/>
        <w:rPr>
          <w:rFonts w:ascii="Times New Roman" w:eastAsia="Times New Roman" w:hAnsi="Times New Roman" w:cs="Times New Roman"/>
          <w:b/>
          <w:sz w:val="28"/>
          <w:szCs w:val="28"/>
          <w:lang w:eastAsia="ru-RU"/>
        </w:rPr>
        <w:sectPr w:rsidR="00480134" w:rsidSect="001B07CE">
          <w:headerReference w:type="default" r:id="rId9"/>
          <w:pgSz w:w="11906" w:h="16838"/>
          <w:pgMar w:top="851" w:right="851" w:bottom="851" w:left="1701" w:header="680" w:footer="709" w:gutter="0"/>
          <w:cols w:space="708"/>
          <w:titlePg/>
          <w:docGrid w:linePitch="360"/>
        </w:sectPr>
      </w:pPr>
      <w:r w:rsidRPr="00522104">
        <w:rPr>
          <w:rFonts w:ascii="Times New Roman" w:eastAsia="Times New Roman" w:hAnsi="Times New Roman" w:cs="Times New Roman"/>
          <w:b/>
          <w:sz w:val="28"/>
          <w:szCs w:val="28"/>
          <w:lang w:eastAsia="ru-RU"/>
        </w:rPr>
        <w:br w:type="page"/>
      </w:r>
    </w:p>
    <w:p w14:paraId="56D406D0" w14:textId="34087B3D" w:rsidR="00D22F04" w:rsidRPr="00522104" w:rsidRDefault="00D22F04" w:rsidP="001E5BFD">
      <w:pPr>
        <w:spacing w:before="120" w:after="120" w:line="240" w:lineRule="auto"/>
        <w:rPr>
          <w:rFonts w:ascii="Times New Roman" w:eastAsia="Times New Roman" w:hAnsi="Times New Roman" w:cs="Times New Roman"/>
          <w:b/>
          <w:sz w:val="28"/>
          <w:szCs w:val="28"/>
          <w:lang w:eastAsia="ru-RU"/>
        </w:rPr>
      </w:pPr>
    </w:p>
    <w:p w14:paraId="1F1637C0" w14:textId="711541DF" w:rsidR="00F56483" w:rsidRPr="00522104" w:rsidRDefault="00F56483" w:rsidP="00234A03">
      <w:pPr>
        <w:spacing w:after="0" w:line="240" w:lineRule="auto"/>
        <w:ind w:firstLine="709"/>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1. Общие положения</w:t>
      </w:r>
      <w:r w:rsidR="006D7B38" w:rsidRPr="00522104">
        <w:rPr>
          <w:rFonts w:ascii="Times New Roman" w:eastAsia="Times New Roman" w:hAnsi="Times New Roman" w:cs="Times New Roman"/>
          <w:b/>
          <w:sz w:val="28"/>
          <w:szCs w:val="28"/>
          <w:lang w:eastAsia="ru-RU"/>
        </w:rPr>
        <w:t>.</w:t>
      </w:r>
    </w:p>
    <w:p w14:paraId="381D90AA" w14:textId="7B70153B" w:rsidR="009065EF" w:rsidRPr="00522104" w:rsidRDefault="009065EF" w:rsidP="009065EF">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1.1. Заключение Контрольно-счетной палаты Приморского края (далее – заключение) на проект Закона Приморского края "О краевом бюджете на 202</w:t>
      </w:r>
      <w:r w:rsidR="002A52A9" w:rsidRPr="00522104">
        <w:rPr>
          <w:rFonts w:ascii="Times New Roman" w:eastAsia="Times New Roman" w:hAnsi="Times New Roman" w:cs="Times New Roman"/>
          <w:sz w:val="28"/>
          <w:szCs w:val="28"/>
          <w:lang w:eastAsia="ru-RU"/>
        </w:rPr>
        <w:t>2</w:t>
      </w:r>
      <w:r w:rsidRPr="00522104">
        <w:rPr>
          <w:rFonts w:ascii="Times New Roman" w:eastAsia="Times New Roman" w:hAnsi="Times New Roman" w:cs="Times New Roman"/>
          <w:sz w:val="28"/>
          <w:szCs w:val="28"/>
          <w:lang w:eastAsia="ru-RU"/>
        </w:rPr>
        <w:t xml:space="preserve"> год и плановый период 202</w:t>
      </w:r>
      <w:r w:rsidR="002A52A9" w:rsidRPr="00522104">
        <w:rPr>
          <w:rFonts w:ascii="Times New Roman" w:eastAsia="Times New Roman" w:hAnsi="Times New Roman" w:cs="Times New Roman"/>
          <w:sz w:val="28"/>
          <w:szCs w:val="28"/>
          <w:lang w:eastAsia="ru-RU"/>
        </w:rPr>
        <w:t>3</w:t>
      </w:r>
      <w:r w:rsidRPr="00522104">
        <w:rPr>
          <w:rFonts w:ascii="Times New Roman" w:eastAsia="Times New Roman" w:hAnsi="Times New Roman" w:cs="Times New Roman"/>
          <w:sz w:val="28"/>
          <w:szCs w:val="28"/>
          <w:lang w:eastAsia="ru-RU"/>
        </w:rPr>
        <w:t xml:space="preserve"> и 202</w:t>
      </w:r>
      <w:r w:rsidR="002A52A9" w:rsidRPr="00522104">
        <w:rPr>
          <w:rFonts w:ascii="Times New Roman" w:eastAsia="Times New Roman" w:hAnsi="Times New Roman" w:cs="Times New Roman"/>
          <w:sz w:val="28"/>
          <w:szCs w:val="28"/>
          <w:lang w:eastAsia="ru-RU"/>
        </w:rPr>
        <w:t>4</w:t>
      </w:r>
      <w:r w:rsidRPr="00522104">
        <w:rPr>
          <w:rFonts w:ascii="Times New Roman" w:eastAsia="Times New Roman" w:hAnsi="Times New Roman" w:cs="Times New Roman"/>
          <w:sz w:val="28"/>
          <w:szCs w:val="28"/>
          <w:lang w:eastAsia="ru-RU"/>
        </w:rPr>
        <w:t xml:space="preserve"> годов" (далее – законопроект, законопроект на 202</w:t>
      </w:r>
      <w:r w:rsidR="002A52A9" w:rsidRPr="00522104">
        <w:rPr>
          <w:rFonts w:ascii="Times New Roman" w:eastAsia="Times New Roman" w:hAnsi="Times New Roman" w:cs="Times New Roman"/>
          <w:sz w:val="28"/>
          <w:szCs w:val="28"/>
          <w:lang w:eastAsia="ru-RU"/>
        </w:rPr>
        <w:t>2</w:t>
      </w:r>
      <w:r w:rsidRPr="00522104">
        <w:rPr>
          <w:rFonts w:ascii="Times New Roman" w:eastAsia="Times New Roman" w:hAnsi="Times New Roman" w:cs="Times New Roman"/>
          <w:sz w:val="28"/>
          <w:szCs w:val="28"/>
          <w:lang w:eastAsia="ru-RU"/>
        </w:rPr>
        <w:t xml:space="preserve"> год)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(далее – </w:t>
      </w:r>
      <w:bookmarkStart w:id="1" w:name="_Hlk57815948"/>
      <w:r w:rsidRPr="00522104">
        <w:rPr>
          <w:rFonts w:ascii="Times New Roman" w:eastAsia="Times New Roman" w:hAnsi="Times New Roman" w:cs="Times New Roman"/>
          <w:sz w:val="28"/>
          <w:szCs w:val="28"/>
          <w:lang w:eastAsia="ru-RU"/>
        </w:rPr>
        <w:t>Закон Приморского края № 271-КЗ</w:t>
      </w:r>
      <w:bookmarkEnd w:id="1"/>
      <w:r w:rsidRPr="00522104">
        <w:rPr>
          <w:rFonts w:ascii="Times New Roman" w:eastAsia="Times New Roman" w:hAnsi="Times New Roman" w:cs="Times New Roman"/>
          <w:sz w:val="28"/>
          <w:szCs w:val="28"/>
          <w:lang w:eastAsia="ru-RU"/>
        </w:rPr>
        <w:t>) и от 04.08.2011 № 795-КЗ "О Контрольно-счетной палате Приморского края".</w:t>
      </w:r>
    </w:p>
    <w:p w14:paraId="78E28D88" w14:textId="210F9C3B" w:rsidR="009065EF" w:rsidRPr="00522104" w:rsidRDefault="00137BB4" w:rsidP="009065EF">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w:t>
      </w:r>
      <w:r w:rsidR="009065EF" w:rsidRPr="00522104">
        <w:rPr>
          <w:rFonts w:ascii="Times New Roman" w:eastAsia="Times New Roman" w:hAnsi="Times New Roman" w:cs="Times New Roman"/>
          <w:sz w:val="28"/>
          <w:szCs w:val="28"/>
          <w:lang w:eastAsia="ru-RU"/>
        </w:rPr>
        <w:t xml:space="preserve">аконопроект внесен Губернатором Приморского края на рассмотрение Законодательного Собрания Приморского края </w:t>
      </w:r>
      <w:r w:rsidR="002A52A9" w:rsidRPr="00522104">
        <w:rPr>
          <w:rFonts w:ascii="Times New Roman" w:eastAsia="Times New Roman" w:hAnsi="Times New Roman" w:cs="Times New Roman"/>
          <w:sz w:val="28"/>
          <w:szCs w:val="28"/>
          <w:lang w:eastAsia="ru-RU"/>
        </w:rPr>
        <w:t>29</w:t>
      </w:r>
      <w:r w:rsidR="009065EF" w:rsidRPr="00522104">
        <w:rPr>
          <w:rFonts w:ascii="Times New Roman" w:eastAsia="Times New Roman" w:hAnsi="Times New Roman" w:cs="Times New Roman"/>
          <w:sz w:val="28"/>
          <w:szCs w:val="28"/>
          <w:lang w:eastAsia="ru-RU"/>
        </w:rPr>
        <w:t>.1</w:t>
      </w:r>
      <w:r w:rsidR="002A52A9" w:rsidRPr="00522104">
        <w:rPr>
          <w:rFonts w:ascii="Times New Roman" w:eastAsia="Times New Roman" w:hAnsi="Times New Roman" w:cs="Times New Roman"/>
          <w:sz w:val="28"/>
          <w:szCs w:val="28"/>
          <w:lang w:eastAsia="ru-RU"/>
        </w:rPr>
        <w:t>0</w:t>
      </w:r>
      <w:r w:rsidR="00A06A96" w:rsidRPr="00522104">
        <w:rPr>
          <w:rFonts w:ascii="Times New Roman" w:eastAsia="Times New Roman" w:hAnsi="Times New Roman" w:cs="Times New Roman"/>
          <w:sz w:val="28"/>
          <w:szCs w:val="28"/>
          <w:lang w:eastAsia="ru-RU"/>
        </w:rPr>
        <w:t>.2021</w:t>
      </w:r>
      <w:r w:rsidR="003C546A" w:rsidRPr="00522104">
        <w:rPr>
          <w:rFonts w:ascii="Times New Roman" w:eastAsia="Times New Roman" w:hAnsi="Times New Roman" w:cs="Times New Roman"/>
          <w:sz w:val="28"/>
          <w:szCs w:val="28"/>
          <w:lang w:eastAsia="ru-RU"/>
        </w:rPr>
        <w:t xml:space="preserve"> с соблюдением сроков, установленных </w:t>
      </w:r>
      <w:r w:rsidRPr="00522104">
        <w:rPr>
          <w:rFonts w:ascii="Times New Roman" w:eastAsia="Times New Roman" w:hAnsi="Times New Roman" w:cs="Times New Roman"/>
          <w:sz w:val="28"/>
          <w:szCs w:val="28"/>
          <w:lang w:eastAsia="ru-RU"/>
        </w:rPr>
        <w:t>статьей 66 Закона Приморского края № 271-КЗ</w:t>
      </w:r>
      <w:r w:rsidR="003C546A" w:rsidRPr="00522104">
        <w:rPr>
          <w:rFonts w:ascii="Times New Roman" w:eastAsia="Times New Roman" w:hAnsi="Times New Roman" w:cs="Times New Roman"/>
          <w:sz w:val="28"/>
          <w:szCs w:val="28"/>
          <w:lang w:eastAsia="ru-RU"/>
        </w:rPr>
        <w:t>.</w:t>
      </w:r>
    </w:p>
    <w:p w14:paraId="265C80AF" w14:textId="2C2AC21A" w:rsidR="009065EF" w:rsidRPr="00522104" w:rsidRDefault="00A305B9" w:rsidP="009065EF">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w:t>
      </w:r>
      <w:r w:rsidR="009065EF" w:rsidRPr="00522104">
        <w:rPr>
          <w:rFonts w:ascii="Times New Roman" w:eastAsia="Times New Roman" w:hAnsi="Times New Roman" w:cs="Times New Roman"/>
          <w:sz w:val="28"/>
          <w:szCs w:val="28"/>
          <w:lang w:eastAsia="ru-RU"/>
        </w:rPr>
        <w:t>еречень документов и материалов, п</w:t>
      </w:r>
      <w:r w:rsidRPr="00522104">
        <w:rPr>
          <w:rFonts w:ascii="Times New Roman" w:eastAsia="Times New Roman" w:hAnsi="Times New Roman" w:cs="Times New Roman"/>
          <w:sz w:val="28"/>
          <w:szCs w:val="28"/>
          <w:lang w:eastAsia="ru-RU"/>
        </w:rPr>
        <w:t>редставленных одновременно с законопроектом</w:t>
      </w:r>
      <w:r w:rsidR="000A6C1F" w:rsidRPr="00522104">
        <w:rPr>
          <w:rFonts w:ascii="Times New Roman" w:eastAsia="Times New Roman" w:hAnsi="Times New Roman" w:cs="Times New Roman"/>
          <w:sz w:val="28"/>
          <w:szCs w:val="28"/>
          <w:lang w:eastAsia="ru-RU"/>
        </w:rPr>
        <w:t>,</w:t>
      </w:r>
      <w:r w:rsidR="009065EF" w:rsidRPr="00522104">
        <w:rPr>
          <w:rFonts w:ascii="Times New Roman" w:eastAsia="Times New Roman" w:hAnsi="Times New Roman" w:cs="Times New Roman"/>
          <w:sz w:val="28"/>
          <w:szCs w:val="28"/>
          <w:lang w:eastAsia="ru-RU"/>
        </w:rPr>
        <w:t xml:space="preserve"> соответству</w:t>
      </w:r>
      <w:r w:rsidR="00DE4F07" w:rsidRPr="00522104">
        <w:rPr>
          <w:rFonts w:ascii="Times New Roman" w:eastAsia="Times New Roman" w:hAnsi="Times New Roman" w:cs="Times New Roman"/>
          <w:sz w:val="28"/>
          <w:szCs w:val="28"/>
          <w:lang w:eastAsia="ru-RU"/>
        </w:rPr>
        <w:t>е</w:t>
      </w:r>
      <w:r w:rsidR="009065EF" w:rsidRPr="00522104">
        <w:rPr>
          <w:rFonts w:ascii="Times New Roman" w:eastAsia="Times New Roman" w:hAnsi="Times New Roman" w:cs="Times New Roman"/>
          <w:sz w:val="28"/>
          <w:szCs w:val="28"/>
          <w:lang w:eastAsia="ru-RU"/>
        </w:rPr>
        <w:t xml:space="preserve">т </w:t>
      </w:r>
      <w:r w:rsidR="00214445" w:rsidRPr="00522104">
        <w:rPr>
          <w:rFonts w:ascii="Times New Roman" w:eastAsia="Times New Roman" w:hAnsi="Times New Roman" w:cs="Times New Roman"/>
          <w:sz w:val="28"/>
          <w:szCs w:val="28"/>
          <w:lang w:eastAsia="ru-RU"/>
        </w:rPr>
        <w:t xml:space="preserve">условиям </w:t>
      </w:r>
      <w:r w:rsidR="009762F1" w:rsidRPr="00522104">
        <w:rPr>
          <w:rFonts w:ascii="Times New Roman" w:eastAsia="Times New Roman" w:hAnsi="Times New Roman" w:cs="Times New Roman"/>
          <w:sz w:val="28"/>
          <w:szCs w:val="28"/>
          <w:lang w:eastAsia="ru-RU"/>
        </w:rPr>
        <w:t xml:space="preserve">статьи 184.2 Бюджетного кодекса Российской Федерации, </w:t>
      </w:r>
      <w:r w:rsidR="009065EF" w:rsidRPr="00522104">
        <w:rPr>
          <w:rFonts w:ascii="Times New Roman" w:eastAsia="Times New Roman" w:hAnsi="Times New Roman" w:cs="Times New Roman"/>
          <w:sz w:val="28"/>
          <w:szCs w:val="28"/>
          <w:lang w:eastAsia="ru-RU"/>
        </w:rPr>
        <w:t>стать</w:t>
      </w:r>
      <w:r w:rsidR="00DE4F07" w:rsidRPr="00522104">
        <w:rPr>
          <w:rFonts w:ascii="Times New Roman" w:eastAsia="Times New Roman" w:hAnsi="Times New Roman" w:cs="Times New Roman"/>
          <w:sz w:val="28"/>
          <w:szCs w:val="28"/>
          <w:lang w:eastAsia="ru-RU"/>
        </w:rPr>
        <w:t xml:space="preserve">и </w:t>
      </w:r>
      <w:r w:rsidR="009065EF" w:rsidRPr="00522104">
        <w:rPr>
          <w:rFonts w:ascii="Times New Roman" w:eastAsia="Times New Roman" w:hAnsi="Times New Roman" w:cs="Times New Roman"/>
          <w:sz w:val="28"/>
          <w:szCs w:val="28"/>
          <w:lang w:eastAsia="ru-RU"/>
        </w:rPr>
        <w:t>66 Закона Приморского края №</w:t>
      </w:r>
      <w:r w:rsidRPr="00522104">
        <w:rPr>
          <w:rFonts w:ascii="Times New Roman" w:eastAsia="Times New Roman" w:hAnsi="Times New Roman" w:cs="Times New Roman"/>
          <w:sz w:val="28"/>
          <w:szCs w:val="28"/>
          <w:lang w:eastAsia="ru-RU"/>
        </w:rPr>
        <w:t> </w:t>
      </w:r>
      <w:r w:rsidR="009065EF" w:rsidRPr="00522104">
        <w:rPr>
          <w:rFonts w:ascii="Times New Roman" w:eastAsia="Times New Roman" w:hAnsi="Times New Roman" w:cs="Times New Roman"/>
          <w:sz w:val="28"/>
          <w:szCs w:val="28"/>
          <w:lang w:eastAsia="ru-RU"/>
        </w:rPr>
        <w:t>271-КЗ с учетом изменений, принятых Законом Приморского края от 2</w:t>
      </w:r>
      <w:r w:rsidR="00A03B87" w:rsidRPr="00522104">
        <w:rPr>
          <w:rFonts w:ascii="Times New Roman" w:eastAsia="Times New Roman" w:hAnsi="Times New Roman" w:cs="Times New Roman"/>
          <w:sz w:val="28"/>
          <w:szCs w:val="28"/>
          <w:lang w:eastAsia="ru-RU"/>
        </w:rPr>
        <w:t>2</w:t>
      </w:r>
      <w:r w:rsidR="009065EF" w:rsidRPr="00522104">
        <w:rPr>
          <w:rFonts w:ascii="Times New Roman" w:eastAsia="Times New Roman" w:hAnsi="Times New Roman" w:cs="Times New Roman"/>
          <w:sz w:val="28"/>
          <w:szCs w:val="28"/>
          <w:lang w:eastAsia="ru-RU"/>
        </w:rPr>
        <w:t>.</w:t>
      </w:r>
      <w:r w:rsidR="00A03B87" w:rsidRPr="00522104">
        <w:rPr>
          <w:rFonts w:ascii="Times New Roman" w:eastAsia="Times New Roman" w:hAnsi="Times New Roman" w:cs="Times New Roman"/>
          <w:sz w:val="28"/>
          <w:szCs w:val="28"/>
          <w:lang w:eastAsia="ru-RU"/>
        </w:rPr>
        <w:t>09</w:t>
      </w:r>
      <w:r w:rsidR="009065EF" w:rsidRPr="00522104">
        <w:rPr>
          <w:rFonts w:ascii="Times New Roman" w:eastAsia="Times New Roman" w:hAnsi="Times New Roman" w:cs="Times New Roman"/>
          <w:sz w:val="28"/>
          <w:szCs w:val="28"/>
          <w:lang w:eastAsia="ru-RU"/>
        </w:rPr>
        <w:t>.202</w:t>
      </w:r>
      <w:r w:rsidR="00A03B87" w:rsidRPr="00522104">
        <w:rPr>
          <w:rFonts w:ascii="Times New Roman" w:eastAsia="Times New Roman" w:hAnsi="Times New Roman" w:cs="Times New Roman"/>
          <w:sz w:val="28"/>
          <w:szCs w:val="28"/>
          <w:lang w:eastAsia="ru-RU"/>
        </w:rPr>
        <w:t>1</w:t>
      </w:r>
      <w:r w:rsidR="009065EF" w:rsidRPr="00522104">
        <w:rPr>
          <w:rFonts w:ascii="Times New Roman" w:eastAsia="Times New Roman" w:hAnsi="Times New Roman" w:cs="Times New Roman"/>
          <w:sz w:val="28"/>
          <w:szCs w:val="28"/>
          <w:lang w:eastAsia="ru-RU"/>
        </w:rPr>
        <w:t xml:space="preserve"> №</w:t>
      </w:r>
      <w:r w:rsidR="00214445" w:rsidRPr="00522104">
        <w:rPr>
          <w:rFonts w:ascii="Times New Roman" w:eastAsia="Times New Roman" w:hAnsi="Times New Roman" w:cs="Times New Roman"/>
          <w:sz w:val="28"/>
          <w:szCs w:val="28"/>
          <w:lang w:eastAsia="ru-RU"/>
        </w:rPr>
        <w:t> </w:t>
      </w:r>
      <w:r w:rsidR="00A03B87" w:rsidRPr="00522104">
        <w:rPr>
          <w:rFonts w:ascii="Times New Roman" w:eastAsia="Times New Roman" w:hAnsi="Times New Roman" w:cs="Times New Roman"/>
          <w:sz w:val="28"/>
          <w:szCs w:val="28"/>
          <w:lang w:eastAsia="ru-RU"/>
        </w:rPr>
        <w:t>1144</w:t>
      </w:r>
      <w:r w:rsidR="009065EF" w:rsidRPr="00522104">
        <w:rPr>
          <w:rFonts w:ascii="Times New Roman" w:eastAsia="Times New Roman" w:hAnsi="Times New Roman" w:cs="Times New Roman"/>
          <w:sz w:val="28"/>
          <w:szCs w:val="28"/>
          <w:lang w:eastAsia="ru-RU"/>
        </w:rPr>
        <w:t xml:space="preserve">-КЗ. </w:t>
      </w:r>
    </w:p>
    <w:p w14:paraId="463CC602" w14:textId="74E5242A" w:rsidR="007025B6" w:rsidRPr="00522104" w:rsidRDefault="00A305B9" w:rsidP="00B5525B">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Состав основных показателей и характеристик (приложений), представляемых для рассмотрения и утверждения в законопроекте</w:t>
      </w:r>
      <w:r w:rsidR="00FD1F33" w:rsidRPr="00522104">
        <w:rPr>
          <w:rFonts w:ascii="Times New Roman" w:eastAsia="Times New Roman" w:hAnsi="Times New Roman" w:cs="Times New Roman"/>
          <w:sz w:val="28"/>
          <w:szCs w:val="28"/>
          <w:lang w:eastAsia="ru-RU"/>
        </w:rPr>
        <w:t>,</w:t>
      </w:r>
      <w:r w:rsidR="00EC7A06" w:rsidRPr="00522104">
        <w:rPr>
          <w:rFonts w:ascii="Times New Roman" w:eastAsia="Times New Roman" w:hAnsi="Times New Roman" w:cs="Times New Roman"/>
          <w:sz w:val="28"/>
          <w:szCs w:val="28"/>
          <w:lang w:eastAsia="ru-RU"/>
        </w:rPr>
        <w:t xml:space="preserve"> соответствует условиям статьи </w:t>
      </w:r>
      <w:r w:rsidR="00B96175" w:rsidRPr="00522104">
        <w:rPr>
          <w:rFonts w:ascii="Times New Roman" w:eastAsia="Times New Roman" w:hAnsi="Times New Roman" w:cs="Times New Roman"/>
          <w:sz w:val="28"/>
          <w:szCs w:val="28"/>
          <w:lang w:eastAsia="ru-RU"/>
        </w:rPr>
        <w:t>184.1 Бюджетного кодекса Российской Федерации</w:t>
      </w:r>
      <w:r w:rsidR="00B45400" w:rsidRPr="00522104">
        <w:rPr>
          <w:rFonts w:ascii="Times New Roman" w:eastAsia="Times New Roman" w:hAnsi="Times New Roman" w:cs="Times New Roman"/>
          <w:sz w:val="28"/>
          <w:szCs w:val="28"/>
          <w:lang w:eastAsia="ru-RU"/>
        </w:rPr>
        <w:t xml:space="preserve">, </w:t>
      </w:r>
      <w:r w:rsidR="009762F1" w:rsidRPr="00522104">
        <w:rPr>
          <w:rFonts w:ascii="Times New Roman" w:eastAsia="Times New Roman" w:hAnsi="Times New Roman" w:cs="Times New Roman"/>
          <w:sz w:val="28"/>
          <w:szCs w:val="28"/>
          <w:lang w:eastAsia="ru-RU"/>
        </w:rPr>
        <w:t>стать</w:t>
      </w:r>
      <w:r w:rsidR="00903FED" w:rsidRPr="00522104">
        <w:rPr>
          <w:rFonts w:ascii="Times New Roman" w:eastAsia="Times New Roman" w:hAnsi="Times New Roman" w:cs="Times New Roman"/>
          <w:sz w:val="28"/>
          <w:szCs w:val="28"/>
          <w:lang w:eastAsia="ru-RU"/>
        </w:rPr>
        <w:t>и</w:t>
      </w:r>
      <w:r w:rsidR="009762F1" w:rsidRPr="00522104">
        <w:rPr>
          <w:rFonts w:ascii="Times New Roman" w:eastAsia="Times New Roman" w:hAnsi="Times New Roman" w:cs="Times New Roman"/>
          <w:sz w:val="28"/>
          <w:szCs w:val="28"/>
          <w:lang w:eastAsia="ru-RU"/>
        </w:rPr>
        <w:t xml:space="preserve"> 64 Закона Приморского края № 271-КЗ</w:t>
      </w:r>
      <w:r w:rsidR="00B45400" w:rsidRPr="00522104">
        <w:rPr>
          <w:rFonts w:ascii="Times New Roman" w:eastAsia="Times New Roman" w:hAnsi="Times New Roman" w:cs="Times New Roman"/>
          <w:sz w:val="28"/>
          <w:szCs w:val="28"/>
          <w:vertAlign w:val="superscript"/>
          <w:lang w:eastAsia="ru-RU"/>
        </w:rPr>
        <w:footnoteReference w:id="1"/>
      </w:r>
      <w:r w:rsidR="00B45400" w:rsidRPr="00522104">
        <w:rPr>
          <w:rFonts w:ascii="Times New Roman" w:eastAsia="Times New Roman" w:hAnsi="Times New Roman" w:cs="Times New Roman"/>
          <w:sz w:val="28"/>
          <w:szCs w:val="28"/>
          <w:lang w:eastAsia="ru-RU"/>
        </w:rPr>
        <w:t>.</w:t>
      </w:r>
    </w:p>
    <w:p w14:paraId="61602E29" w14:textId="77777777" w:rsidR="00A03B87" w:rsidRPr="00522104" w:rsidRDefault="00A03B87" w:rsidP="009065EF">
      <w:pPr>
        <w:spacing w:after="0" w:line="240" w:lineRule="auto"/>
        <w:ind w:firstLine="708"/>
        <w:jc w:val="both"/>
        <w:rPr>
          <w:rFonts w:ascii="Times New Roman" w:eastAsia="Times New Roman" w:hAnsi="Times New Roman" w:cs="Times New Roman"/>
          <w:sz w:val="28"/>
          <w:szCs w:val="28"/>
          <w:lang w:eastAsia="ru-RU"/>
        </w:rPr>
      </w:pPr>
    </w:p>
    <w:p w14:paraId="45C1912A" w14:textId="318CF452" w:rsidR="009065EF" w:rsidRPr="00522104" w:rsidRDefault="009065EF" w:rsidP="009065EF">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1.2. При подготовке заключения Контрольно-счетной палатой Приморского края (далее – Контрольно-счетная палата) учитывались </w:t>
      </w:r>
      <w:r w:rsidR="004B2A92" w:rsidRPr="00522104">
        <w:rPr>
          <w:rFonts w:ascii="Times New Roman" w:eastAsia="Times New Roman" w:hAnsi="Times New Roman" w:cs="Times New Roman"/>
          <w:sz w:val="28"/>
          <w:szCs w:val="28"/>
          <w:lang w:eastAsia="ru-RU"/>
        </w:rPr>
        <w:t xml:space="preserve">условия реализации </w:t>
      </w:r>
      <w:r w:rsidRPr="00522104">
        <w:rPr>
          <w:rFonts w:ascii="Times New Roman" w:eastAsia="Times New Roman" w:hAnsi="Times New Roman" w:cs="Times New Roman"/>
          <w:sz w:val="28"/>
          <w:szCs w:val="28"/>
          <w:lang w:eastAsia="ru-RU"/>
        </w:rPr>
        <w:t xml:space="preserve">положения послания Президента Российской Федерации Федеральному Собранию Российской Федерации от </w:t>
      </w:r>
      <w:r w:rsidR="004B2A92" w:rsidRPr="00522104">
        <w:rPr>
          <w:rFonts w:ascii="Times New Roman" w:eastAsia="Times New Roman" w:hAnsi="Times New Roman" w:cs="Times New Roman"/>
          <w:sz w:val="28"/>
          <w:szCs w:val="28"/>
          <w:lang w:eastAsia="ru-RU"/>
        </w:rPr>
        <w:t>21</w:t>
      </w:r>
      <w:r w:rsidRPr="00522104">
        <w:rPr>
          <w:rFonts w:ascii="Times New Roman" w:eastAsia="Times New Roman" w:hAnsi="Times New Roman" w:cs="Times New Roman"/>
          <w:sz w:val="28"/>
          <w:szCs w:val="28"/>
          <w:lang w:eastAsia="ru-RU"/>
        </w:rPr>
        <w:t>.0</w:t>
      </w:r>
      <w:r w:rsidR="004B2A92" w:rsidRPr="00522104">
        <w:rPr>
          <w:rFonts w:ascii="Times New Roman" w:eastAsia="Times New Roman" w:hAnsi="Times New Roman" w:cs="Times New Roman"/>
          <w:sz w:val="28"/>
          <w:szCs w:val="28"/>
          <w:lang w:eastAsia="ru-RU"/>
        </w:rPr>
        <w:t>4</w:t>
      </w:r>
      <w:r w:rsidRPr="00522104">
        <w:rPr>
          <w:rFonts w:ascii="Times New Roman" w:eastAsia="Times New Roman" w:hAnsi="Times New Roman" w:cs="Times New Roman"/>
          <w:sz w:val="28"/>
          <w:szCs w:val="28"/>
          <w:lang w:eastAsia="ru-RU"/>
        </w:rPr>
        <w:t>.202</w:t>
      </w:r>
      <w:r w:rsidR="004B2A92" w:rsidRPr="00522104">
        <w:rPr>
          <w:rFonts w:ascii="Times New Roman" w:eastAsia="Times New Roman" w:hAnsi="Times New Roman" w:cs="Times New Roman"/>
          <w:sz w:val="28"/>
          <w:szCs w:val="28"/>
          <w:lang w:eastAsia="ru-RU"/>
        </w:rPr>
        <w:t>1</w:t>
      </w:r>
      <w:r w:rsidRPr="00522104">
        <w:rPr>
          <w:rFonts w:ascii="Times New Roman" w:eastAsia="Times New Roman" w:hAnsi="Times New Roman" w:cs="Times New Roman"/>
          <w:sz w:val="28"/>
          <w:szCs w:val="28"/>
          <w:lang w:eastAsia="ru-RU"/>
        </w:rPr>
        <w:t xml:space="preserve"> в части бюджетной политики</w:t>
      </w:r>
      <w:r w:rsidR="00CB3703" w:rsidRPr="00522104">
        <w:rPr>
          <w:rFonts w:ascii="Times New Roman" w:eastAsia="Times New Roman" w:hAnsi="Times New Roman" w:cs="Times New Roman"/>
          <w:sz w:val="28"/>
          <w:szCs w:val="28"/>
          <w:lang w:eastAsia="ru-RU"/>
        </w:rPr>
        <w:t xml:space="preserve"> и национальных целей</w:t>
      </w:r>
      <w:r w:rsidRPr="00522104">
        <w:rPr>
          <w:rFonts w:ascii="Times New Roman" w:eastAsia="Times New Roman" w:hAnsi="Times New Roman" w:cs="Times New Roman"/>
          <w:sz w:val="28"/>
          <w:szCs w:val="28"/>
          <w:lang w:eastAsia="ru-RU"/>
        </w:rPr>
        <w:t xml:space="preserve">; </w:t>
      </w:r>
      <w:r w:rsidR="00CB3703" w:rsidRPr="00522104">
        <w:rPr>
          <w:rFonts w:ascii="Times New Roman" w:eastAsia="Times New Roman" w:hAnsi="Times New Roman" w:cs="Times New Roman"/>
          <w:sz w:val="28"/>
          <w:szCs w:val="28"/>
          <w:lang w:eastAsia="ru-RU"/>
        </w:rPr>
        <w:t>ключевые приоритеты</w:t>
      </w:r>
      <w:r w:rsidRPr="00522104">
        <w:rPr>
          <w:rFonts w:ascii="Times New Roman" w:eastAsia="Times New Roman" w:hAnsi="Times New Roman" w:cs="Times New Roman"/>
          <w:sz w:val="28"/>
          <w:szCs w:val="28"/>
          <w:lang w:eastAsia="ru-RU"/>
        </w:rPr>
        <w:t xml:space="preserve"> указов Президента Российской Федерации от 07.05.2018 № 204 "О национальных целях и стратегических задачах развития Российской Федерации на период до 2024 года" и от 21.07.2020 № 474 "О национальных целях развития Российской Федерации на период до 2030 года"; постановления Администрации Приморского края от 28.12.2018 № 668-па "Об утверждении Стратегии социально-экономического развития </w:t>
      </w:r>
      <w:r w:rsidR="004B3420" w:rsidRPr="00522104">
        <w:rPr>
          <w:rFonts w:ascii="Times New Roman" w:eastAsia="Times New Roman" w:hAnsi="Times New Roman" w:cs="Times New Roman"/>
          <w:sz w:val="28"/>
          <w:szCs w:val="28"/>
          <w:lang w:eastAsia="ru-RU"/>
        </w:rPr>
        <w:t>Приморского края до 2030 года"</w:t>
      </w:r>
      <w:r w:rsidRPr="00522104">
        <w:rPr>
          <w:rFonts w:ascii="Times New Roman" w:eastAsia="Times New Roman" w:hAnsi="Times New Roman" w:cs="Times New Roman"/>
          <w:sz w:val="28"/>
          <w:szCs w:val="28"/>
          <w:lang w:eastAsia="ru-RU"/>
        </w:rPr>
        <w:t>;</w:t>
      </w:r>
      <w:r w:rsidR="00187B66"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распоряжения Правительства Приморского края от </w:t>
      </w:r>
      <w:r w:rsidR="00187B66" w:rsidRPr="00522104">
        <w:rPr>
          <w:rFonts w:ascii="Times New Roman" w:eastAsia="Times New Roman" w:hAnsi="Times New Roman" w:cs="Times New Roman"/>
          <w:sz w:val="28"/>
          <w:szCs w:val="28"/>
          <w:lang w:eastAsia="ru-RU"/>
        </w:rPr>
        <w:t>22</w:t>
      </w:r>
      <w:r w:rsidRPr="00522104">
        <w:rPr>
          <w:rFonts w:ascii="Times New Roman" w:eastAsia="Times New Roman" w:hAnsi="Times New Roman" w:cs="Times New Roman"/>
          <w:sz w:val="28"/>
          <w:szCs w:val="28"/>
          <w:lang w:eastAsia="ru-RU"/>
        </w:rPr>
        <w:t>.1</w:t>
      </w:r>
      <w:r w:rsidR="00187B66" w:rsidRPr="00522104">
        <w:rPr>
          <w:rFonts w:ascii="Times New Roman" w:eastAsia="Times New Roman" w:hAnsi="Times New Roman" w:cs="Times New Roman"/>
          <w:sz w:val="28"/>
          <w:szCs w:val="28"/>
          <w:lang w:eastAsia="ru-RU"/>
        </w:rPr>
        <w:t>0</w:t>
      </w:r>
      <w:r w:rsidRPr="00522104">
        <w:rPr>
          <w:rFonts w:ascii="Times New Roman" w:eastAsia="Times New Roman" w:hAnsi="Times New Roman" w:cs="Times New Roman"/>
          <w:sz w:val="28"/>
          <w:szCs w:val="28"/>
          <w:lang w:eastAsia="ru-RU"/>
        </w:rPr>
        <w:t>.202</w:t>
      </w:r>
      <w:r w:rsidR="00187B66" w:rsidRPr="00522104">
        <w:rPr>
          <w:rFonts w:ascii="Times New Roman" w:eastAsia="Times New Roman" w:hAnsi="Times New Roman" w:cs="Times New Roman"/>
          <w:sz w:val="28"/>
          <w:szCs w:val="28"/>
          <w:lang w:eastAsia="ru-RU"/>
        </w:rPr>
        <w:t>1</w:t>
      </w:r>
      <w:r w:rsidRPr="00522104">
        <w:rPr>
          <w:rFonts w:ascii="Times New Roman" w:eastAsia="Times New Roman" w:hAnsi="Times New Roman" w:cs="Times New Roman"/>
          <w:sz w:val="28"/>
          <w:szCs w:val="28"/>
          <w:lang w:eastAsia="ru-RU"/>
        </w:rPr>
        <w:t xml:space="preserve"> № </w:t>
      </w:r>
      <w:r w:rsidR="00187B66" w:rsidRPr="00522104">
        <w:rPr>
          <w:rFonts w:ascii="Times New Roman" w:eastAsia="Times New Roman" w:hAnsi="Times New Roman" w:cs="Times New Roman"/>
          <w:sz w:val="28"/>
          <w:szCs w:val="28"/>
          <w:lang w:eastAsia="ru-RU"/>
        </w:rPr>
        <w:t>396</w:t>
      </w:r>
      <w:r w:rsidRPr="00522104">
        <w:rPr>
          <w:rFonts w:ascii="Times New Roman" w:eastAsia="Times New Roman" w:hAnsi="Times New Roman" w:cs="Times New Roman"/>
          <w:sz w:val="28"/>
          <w:szCs w:val="28"/>
          <w:lang w:eastAsia="ru-RU"/>
        </w:rPr>
        <w:t>-рп "Об утверждении основных направлений бюджетной и налоговой п</w:t>
      </w:r>
      <w:r w:rsidR="00187B66" w:rsidRPr="00522104">
        <w:rPr>
          <w:rFonts w:ascii="Times New Roman" w:eastAsia="Times New Roman" w:hAnsi="Times New Roman" w:cs="Times New Roman"/>
          <w:sz w:val="28"/>
          <w:szCs w:val="28"/>
          <w:lang w:eastAsia="ru-RU"/>
        </w:rPr>
        <w:t>олитики Приморского края на 2022</w:t>
      </w:r>
      <w:r w:rsidRPr="00522104">
        <w:rPr>
          <w:rFonts w:ascii="Times New Roman" w:eastAsia="Times New Roman" w:hAnsi="Times New Roman" w:cs="Times New Roman"/>
          <w:sz w:val="28"/>
          <w:szCs w:val="28"/>
          <w:lang w:eastAsia="ru-RU"/>
        </w:rPr>
        <w:t xml:space="preserve"> год и на плановый период 202</w:t>
      </w:r>
      <w:r w:rsidR="00187B66" w:rsidRPr="00522104">
        <w:rPr>
          <w:rFonts w:ascii="Times New Roman" w:eastAsia="Times New Roman" w:hAnsi="Times New Roman" w:cs="Times New Roman"/>
          <w:sz w:val="28"/>
          <w:szCs w:val="28"/>
          <w:lang w:eastAsia="ru-RU"/>
        </w:rPr>
        <w:t>3</w:t>
      </w:r>
      <w:r w:rsidRPr="00522104">
        <w:rPr>
          <w:rFonts w:ascii="Times New Roman" w:eastAsia="Times New Roman" w:hAnsi="Times New Roman" w:cs="Times New Roman"/>
          <w:sz w:val="28"/>
          <w:szCs w:val="28"/>
          <w:lang w:eastAsia="ru-RU"/>
        </w:rPr>
        <w:t xml:space="preserve"> и 202</w:t>
      </w:r>
      <w:r w:rsidR="00187B66" w:rsidRPr="00522104">
        <w:rPr>
          <w:rFonts w:ascii="Times New Roman" w:eastAsia="Times New Roman" w:hAnsi="Times New Roman" w:cs="Times New Roman"/>
          <w:sz w:val="28"/>
          <w:szCs w:val="28"/>
          <w:lang w:eastAsia="ru-RU"/>
        </w:rPr>
        <w:t>4</w:t>
      </w:r>
      <w:r w:rsidR="008041F7"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годов". </w:t>
      </w:r>
    </w:p>
    <w:p w14:paraId="2DEADF10" w14:textId="05D8E015" w:rsidR="009065EF" w:rsidRPr="00522104" w:rsidRDefault="009065EF" w:rsidP="009065EF">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При составлении заключения Контрольно-счетной палатой использованы документы и материалы об основных экономических и социальных показател</w:t>
      </w:r>
      <w:r w:rsidR="00F71BA1" w:rsidRPr="00522104">
        <w:rPr>
          <w:rFonts w:ascii="Times New Roman" w:eastAsia="Times New Roman" w:hAnsi="Times New Roman" w:cs="Times New Roman"/>
          <w:sz w:val="28"/>
          <w:szCs w:val="28"/>
          <w:lang w:eastAsia="ru-RU"/>
        </w:rPr>
        <w:t>ях Приморского края, статистические данные</w:t>
      </w:r>
      <w:r w:rsidRPr="00522104">
        <w:rPr>
          <w:rFonts w:ascii="Times New Roman" w:eastAsia="Times New Roman" w:hAnsi="Times New Roman" w:cs="Times New Roman"/>
          <w:sz w:val="28"/>
          <w:szCs w:val="28"/>
          <w:lang w:eastAsia="ru-RU"/>
        </w:rPr>
        <w:t xml:space="preserve"> </w:t>
      </w:r>
      <w:r w:rsidR="00F71BA1" w:rsidRPr="00522104">
        <w:rPr>
          <w:rFonts w:ascii="Times New Roman" w:eastAsia="Times New Roman" w:hAnsi="Times New Roman" w:cs="Times New Roman"/>
          <w:sz w:val="28"/>
          <w:szCs w:val="28"/>
          <w:lang w:eastAsia="ru-RU"/>
        </w:rPr>
        <w:t xml:space="preserve">за </w:t>
      </w:r>
      <w:r w:rsidR="00F71BA1" w:rsidRPr="00522104">
        <w:rPr>
          <w:rFonts w:ascii="Times New Roman" w:eastAsia="Times New Roman" w:hAnsi="Times New Roman" w:cs="Times New Roman"/>
          <w:sz w:val="28"/>
          <w:szCs w:val="28"/>
          <w:lang w:eastAsia="ru-RU"/>
        </w:rPr>
        <w:lastRenderedPageBreak/>
        <w:t xml:space="preserve">прошедший </w:t>
      </w:r>
      <w:r w:rsidR="007F14A0" w:rsidRPr="00522104">
        <w:rPr>
          <w:rFonts w:ascii="Times New Roman" w:eastAsia="Times New Roman" w:hAnsi="Times New Roman" w:cs="Times New Roman"/>
          <w:sz w:val="28"/>
          <w:szCs w:val="28"/>
          <w:lang w:eastAsia="ru-RU"/>
        </w:rPr>
        <w:t xml:space="preserve">отчетный </w:t>
      </w:r>
      <w:r w:rsidR="00F71BA1" w:rsidRPr="00522104">
        <w:rPr>
          <w:rFonts w:ascii="Times New Roman" w:eastAsia="Times New Roman" w:hAnsi="Times New Roman" w:cs="Times New Roman"/>
          <w:sz w:val="28"/>
          <w:szCs w:val="28"/>
          <w:lang w:eastAsia="ru-RU"/>
        </w:rPr>
        <w:t xml:space="preserve">период </w:t>
      </w:r>
      <w:r w:rsidRPr="00522104">
        <w:rPr>
          <w:rFonts w:ascii="Times New Roman" w:eastAsia="Times New Roman" w:hAnsi="Times New Roman" w:cs="Times New Roman"/>
          <w:sz w:val="28"/>
          <w:szCs w:val="28"/>
          <w:lang w:eastAsia="ru-RU"/>
        </w:rPr>
        <w:t>текущего года. Проанализированы и представлены показатели прогноза социально-экономического развития Приморского края на 202</w:t>
      </w:r>
      <w:r w:rsidR="00027BBE" w:rsidRPr="00522104">
        <w:rPr>
          <w:rFonts w:ascii="Times New Roman" w:eastAsia="Times New Roman" w:hAnsi="Times New Roman" w:cs="Times New Roman"/>
          <w:sz w:val="28"/>
          <w:szCs w:val="28"/>
          <w:lang w:eastAsia="ru-RU"/>
        </w:rPr>
        <w:t>2</w:t>
      </w:r>
      <w:r w:rsidRPr="00522104">
        <w:rPr>
          <w:rFonts w:ascii="Times New Roman" w:eastAsia="Times New Roman" w:hAnsi="Times New Roman" w:cs="Times New Roman"/>
          <w:sz w:val="28"/>
          <w:szCs w:val="28"/>
          <w:lang w:eastAsia="ru-RU"/>
        </w:rPr>
        <w:t xml:space="preserve"> год и период до 202</w:t>
      </w:r>
      <w:r w:rsidR="00CB689A" w:rsidRPr="00522104">
        <w:rPr>
          <w:rFonts w:ascii="Times New Roman" w:eastAsia="Times New Roman" w:hAnsi="Times New Roman" w:cs="Times New Roman"/>
          <w:sz w:val="28"/>
          <w:szCs w:val="28"/>
          <w:lang w:eastAsia="ru-RU"/>
        </w:rPr>
        <w:t>4</w:t>
      </w:r>
      <w:r w:rsidRPr="00522104">
        <w:rPr>
          <w:rFonts w:ascii="Times New Roman" w:eastAsia="Times New Roman" w:hAnsi="Times New Roman" w:cs="Times New Roman"/>
          <w:sz w:val="28"/>
          <w:szCs w:val="28"/>
          <w:lang w:eastAsia="ru-RU"/>
        </w:rPr>
        <w:t xml:space="preserve"> года, утвержденные распоряжением Правительства Приморского края </w:t>
      </w:r>
      <w:r w:rsidR="00CB689A" w:rsidRPr="00522104">
        <w:rPr>
          <w:rFonts w:ascii="Times New Roman" w:eastAsia="Times New Roman" w:hAnsi="Times New Roman" w:cs="Times New Roman"/>
          <w:sz w:val="28"/>
          <w:szCs w:val="28"/>
          <w:lang w:eastAsia="ru-RU"/>
        </w:rPr>
        <w:t>от 27.09.2021 № 367-рп</w:t>
      </w:r>
      <w:r w:rsidRPr="00522104">
        <w:rPr>
          <w:rFonts w:ascii="Times New Roman" w:eastAsia="Times New Roman" w:hAnsi="Times New Roman" w:cs="Times New Roman"/>
          <w:sz w:val="28"/>
          <w:szCs w:val="28"/>
          <w:lang w:eastAsia="ru-RU"/>
        </w:rPr>
        <w:t>,</w:t>
      </w:r>
      <w:r w:rsidRPr="00522104">
        <w:t xml:space="preserve"> </w:t>
      </w:r>
      <w:r w:rsidRPr="00522104">
        <w:rPr>
          <w:rFonts w:ascii="Times New Roman" w:eastAsia="Times New Roman" w:hAnsi="Times New Roman" w:cs="Times New Roman"/>
          <w:sz w:val="28"/>
          <w:szCs w:val="28"/>
          <w:lang w:eastAsia="ru-RU"/>
        </w:rPr>
        <w:t xml:space="preserve">а также показатели, представленные в проекте распоряжения </w:t>
      </w:r>
      <w:r w:rsidR="002115DC" w:rsidRPr="00522104">
        <w:rPr>
          <w:rFonts w:ascii="Times New Roman" w:eastAsia="Times New Roman" w:hAnsi="Times New Roman" w:cs="Times New Roman"/>
          <w:sz w:val="28"/>
          <w:szCs w:val="28"/>
          <w:lang w:eastAsia="ru-RU"/>
        </w:rPr>
        <w:t>Правительства</w:t>
      </w:r>
      <w:r w:rsidRPr="00522104">
        <w:rPr>
          <w:rFonts w:ascii="Times New Roman" w:eastAsia="Times New Roman" w:hAnsi="Times New Roman" w:cs="Times New Roman"/>
          <w:sz w:val="28"/>
          <w:szCs w:val="28"/>
          <w:lang w:eastAsia="ru-RU"/>
        </w:rPr>
        <w:t xml:space="preserve"> Приморского края "О внесении изменений в распоряжение Администрации Приморского края от 14.02.2017 № 53-ра "Об утверждении бюджетного прогноза Приморского края на 2017-2028 годы".</w:t>
      </w:r>
    </w:p>
    <w:p w14:paraId="267C2462" w14:textId="1FBB8B44" w:rsidR="009065EF" w:rsidRPr="00522104" w:rsidRDefault="009065EF" w:rsidP="009065EF">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Приняты во внимание действующие редакции постановлений Правительства Приморского края о государственных программах Приморского края (далее – ГП), касающиеся периодов 202</w:t>
      </w:r>
      <w:r w:rsidR="00F01F24" w:rsidRPr="00522104">
        <w:rPr>
          <w:rFonts w:ascii="Times New Roman" w:eastAsia="Times New Roman" w:hAnsi="Times New Roman" w:cs="Times New Roman"/>
          <w:sz w:val="28"/>
          <w:szCs w:val="28"/>
          <w:lang w:eastAsia="ru-RU"/>
        </w:rPr>
        <w:t>1</w:t>
      </w:r>
      <w:r w:rsidRPr="00522104">
        <w:rPr>
          <w:rFonts w:ascii="Times New Roman" w:eastAsia="Times New Roman" w:hAnsi="Times New Roman" w:cs="Times New Roman"/>
          <w:sz w:val="28"/>
          <w:szCs w:val="28"/>
          <w:lang w:eastAsia="ru-RU"/>
        </w:rPr>
        <w:t xml:space="preserve"> года и 202</w:t>
      </w:r>
      <w:r w:rsidR="00F01F24" w:rsidRPr="00522104">
        <w:rPr>
          <w:rFonts w:ascii="Times New Roman" w:eastAsia="Times New Roman" w:hAnsi="Times New Roman" w:cs="Times New Roman"/>
          <w:sz w:val="28"/>
          <w:szCs w:val="28"/>
          <w:lang w:eastAsia="ru-RU"/>
        </w:rPr>
        <w:t>2</w:t>
      </w:r>
      <w:r w:rsidRPr="00522104">
        <w:rPr>
          <w:rFonts w:ascii="Times New Roman" w:eastAsia="Times New Roman" w:hAnsi="Times New Roman" w:cs="Times New Roman"/>
          <w:sz w:val="28"/>
          <w:szCs w:val="28"/>
          <w:lang w:eastAsia="ru-RU"/>
        </w:rPr>
        <w:t>-202</w:t>
      </w:r>
      <w:r w:rsidR="00F01F24" w:rsidRPr="00522104">
        <w:rPr>
          <w:rFonts w:ascii="Times New Roman" w:eastAsia="Times New Roman" w:hAnsi="Times New Roman" w:cs="Times New Roman"/>
          <w:sz w:val="28"/>
          <w:szCs w:val="28"/>
          <w:lang w:eastAsia="ru-RU"/>
        </w:rPr>
        <w:t>4</w:t>
      </w:r>
      <w:r w:rsidRPr="00522104">
        <w:rPr>
          <w:rFonts w:ascii="Times New Roman" w:eastAsia="Times New Roman" w:hAnsi="Times New Roman" w:cs="Times New Roman"/>
          <w:sz w:val="28"/>
          <w:szCs w:val="28"/>
          <w:lang w:eastAsia="ru-RU"/>
        </w:rPr>
        <w:t xml:space="preserve"> годов, а также проекты изменений в паспорта ГП, представленные в материалах к законопроекту. </w:t>
      </w:r>
      <w:r w:rsidR="00F01F24" w:rsidRPr="00522104">
        <w:rPr>
          <w:rFonts w:ascii="Times New Roman" w:eastAsia="Times New Roman" w:hAnsi="Times New Roman" w:cs="Times New Roman"/>
          <w:sz w:val="28"/>
          <w:szCs w:val="28"/>
          <w:lang w:eastAsia="ru-RU"/>
        </w:rPr>
        <w:t>В</w:t>
      </w:r>
      <w:r w:rsidRPr="00522104">
        <w:rPr>
          <w:rFonts w:ascii="Times New Roman" w:eastAsia="Times New Roman" w:hAnsi="Times New Roman" w:cs="Times New Roman"/>
          <w:sz w:val="28"/>
          <w:szCs w:val="28"/>
          <w:lang w:eastAsia="ru-RU"/>
        </w:rPr>
        <w:t xml:space="preserve"> заключении </w:t>
      </w:r>
      <w:r w:rsidR="00F01F24" w:rsidRPr="00522104">
        <w:rPr>
          <w:rFonts w:ascii="Times New Roman" w:eastAsia="Times New Roman" w:hAnsi="Times New Roman" w:cs="Times New Roman"/>
          <w:sz w:val="28"/>
          <w:szCs w:val="28"/>
          <w:lang w:eastAsia="ru-RU"/>
        </w:rPr>
        <w:t xml:space="preserve">также </w:t>
      </w:r>
      <w:r w:rsidRPr="00522104">
        <w:rPr>
          <w:rFonts w:ascii="Times New Roman" w:eastAsia="Times New Roman" w:hAnsi="Times New Roman" w:cs="Times New Roman"/>
          <w:sz w:val="28"/>
          <w:szCs w:val="28"/>
          <w:lang w:eastAsia="ru-RU"/>
        </w:rPr>
        <w:t>отражены показатели федеральных (региональных) проектов на текущий год и последующий трехлетний период.</w:t>
      </w:r>
    </w:p>
    <w:p w14:paraId="5C1B3A22" w14:textId="6B66D773" w:rsidR="00993903" w:rsidRPr="00522104" w:rsidRDefault="00993903" w:rsidP="009065EF">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w:t>
      </w:r>
      <w:r w:rsidR="00244FC3" w:rsidRPr="00522104">
        <w:rPr>
          <w:rFonts w:ascii="Times New Roman" w:eastAsia="Times New Roman" w:hAnsi="Times New Roman" w:cs="Times New Roman"/>
          <w:sz w:val="28"/>
          <w:szCs w:val="28"/>
          <w:lang w:eastAsia="ru-RU"/>
        </w:rPr>
        <w:t xml:space="preserve">роме того, </w:t>
      </w:r>
      <w:r w:rsidR="001530BA" w:rsidRPr="00522104">
        <w:rPr>
          <w:rFonts w:ascii="Times New Roman" w:eastAsia="Times New Roman" w:hAnsi="Times New Roman" w:cs="Times New Roman"/>
          <w:sz w:val="28"/>
          <w:szCs w:val="28"/>
          <w:lang w:eastAsia="ru-RU"/>
        </w:rPr>
        <w:t xml:space="preserve">в </w:t>
      </w:r>
      <w:r w:rsidR="00B90A7D" w:rsidRPr="00522104">
        <w:rPr>
          <w:rFonts w:ascii="Times New Roman" w:eastAsia="Times New Roman" w:hAnsi="Times New Roman" w:cs="Times New Roman"/>
          <w:sz w:val="28"/>
          <w:szCs w:val="28"/>
          <w:lang w:eastAsia="ru-RU"/>
        </w:rPr>
        <w:t xml:space="preserve">целях </w:t>
      </w:r>
      <w:r w:rsidR="009F5C05" w:rsidRPr="00522104">
        <w:rPr>
          <w:rFonts w:ascii="Times New Roman" w:eastAsia="Times New Roman" w:hAnsi="Times New Roman" w:cs="Times New Roman"/>
          <w:sz w:val="28"/>
          <w:szCs w:val="28"/>
          <w:lang w:eastAsia="ru-RU"/>
        </w:rPr>
        <w:t xml:space="preserve">проведения экспертизы законопроекта, проверки и анализа обоснованности его показателей, Контрольно-счетной палатой </w:t>
      </w:r>
      <w:r w:rsidR="008E121C" w:rsidRPr="00522104">
        <w:rPr>
          <w:rFonts w:ascii="Times New Roman" w:eastAsia="Times New Roman" w:hAnsi="Times New Roman" w:cs="Times New Roman"/>
          <w:sz w:val="28"/>
          <w:szCs w:val="28"/>
          <w:lang w:eastAsia="ru-RU"/>
        </w:rPr>
        <w:t xml:space="preserve">проанализированы </w:t>
      </w:r>
      <w:r w:rsidR="008D4A96" w:rsidRPr="00522104">
        <w:rPr>
          <w:rFonts w:ascii="Times New Roman" w:eastAsia="Times New Roman" w:hAnsi="Times New Roman" w:cs="Times New Roman"/>
          <w:sz w:val="28"/>
          <w:szCs w:val="28"/>
          <w:lang w:eastAsia="ru-RU"/>
        </w:rPr>
        <w:t>сведения главных распорядителей бюджетных средств,</w:t>
      </w:r>
      <w:r w:rsidR="008E121C" w:rsidRPr="00522104">
        <w:rPr>
          <w:rFonts w:ascii="Times New Roman" w:eastAsia="Times New Roman" w:hAnsi="Times New Roman" w:cs="Times New Roman"/>
          <w:sz w:val="28"/>
          <w:szCs w:val="28"/>
          <w:lang w:eastAsia="ru-RU"/>
        </w:rPr>
        <w:t xml:space="preserve"> </w:t>
      </w:r>
      <w:r w:rsidR="00454500" w:rsidRPr="00522104">
        <w:rPr>
          <w:rFonts w:ascii="Times New Roman" w:eastAsia="Times New Roman" w:hAnsi="Times New Roman" w:cs="Times New Roman"/>
          <w:sz w:val="28"/>
          <w:szCs w:val="28"/>
          <w:lang w:eastAsia="ru-RU"/>
        </w:rPr>
        <w:t xml:space="preserve">направленные по соответствующему запросу об </w:t>
      </w:r>
      <w:r w:rsidR="00315FA0" w:rsidRPr="00522104">
        <w:rPr>
          <w:rFonts w:ascii="Times New Roman" w:eastAsia="Times New Roman" w:hAnsi="Times New Roman" w:cs="Times New Roman"/>
          <w:sz w:val="28"/>
          <w:szCs w:val="28"/>
          <w:lang w:eastAsia="ru-RU"/>
        </w:rPr>
        <w:t>обоснования</w:t>
      </w:r>
      <w:r w:rsidR="00454500" w:rsidRPr="00522104">
        <w:rPr>
          <w:rFonts w:ascii="Times New Roman" w:eastAsia="Times New Roman" w:hAnsi="Times New Roman" w:cs="Times New Roman"/>
          <w:sz w:val="28"/>
          <w:szCs w:val="28"/>
          <w:lang w:eastAsia="ru-RU"/>
        </w:rPr>
        <w:t>х</w:t>
      </w:r>
      <w:r w:rsidR="00315FA0" w:rsidRPr="00522104">
        <w:rPr>
          <w:rFonts w:ascii="Times New Roman" w:eastAsia="Times New Roman" w:hAnsi="Times New Roman" w:cs="Times New Roman"/>
          <w:sz w:val="28"/>
          <w:szCs w:val="28"/>
          <w:lang w:eastAsia="ru-RU"/>
        </w:rPr>
        <w:t xml:space="preserve"> (расчет</w:t>
      </w:r>
      <w:r w:rsidR="00454500" w:rsidRPr="00522104">
        <w:rPr>
          <w:rFonts w:ascii="Times New Roman" w:eastAsia="Times New Roman" w:hAnsi="Times New Roman" w:cs="Times New Roman"/>
          <w:sz w:val="28"/>
          <w:szCs w:val="28"/>
          <w:lang w:eastAsia="ru-RU"/>
        </w:rPr>
        <w:t>ах</w:t>
      </w:r>
      <w:r w:rsidR="00315FA0" w:rsidRPr="00522104">
        <w:rPr>
          <w:rFonts w:ascii="Times New Roman" w:eastAsia="Times New Roman" w:hAnsi="Times New Roman" w:cs="Times New Roman"/>
          <w:sz w:val="28"/>
          <w:szCs w:val="28"/>
          <w:lang w:eastAsia="ru-RU"/>
        </w:rPr>
        <w:t>) планируемых бюджетных ассигнований на 2022 год и плановый период 2023 и 2024 годов</w:t>
      </w:r>
      <w:r w:rsidR="00454500" w:rsidRPr="00522104">
        <w:rPr>
          <w:rFonts w:ascii="Times New Roman" w:eastAsia="Times New Roman" w:hAnsi="Times New Roman" w:cs="Times New Roman"/>
          <w:sz w:val="28"/>
          <w:szCs w:val="28"/>
          <w:lang w:eastAsia="ru-RU"/>
        </w:rPr>
        <w:t>.</w:t>
      </w:r>
    </w:p>
    <w:p w14:paraId="0B29D66C" w14:textId="5DBF80A1" w:rsidR="008D4A96" w:rsidRPr="00522104" w:rsidRDefault="0063615B" w:rsidP="008D4A96">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Также</w:t>
      </w:r>
      <w:r w:rsidR="00BD318D" w:rsidRPr="00522104">
        <w:rPr>
          <w:rFonts w:ascii="Times New Roman" w:eastAsia="Times New Roman" w:hAnsi="Times New Roman" w:cs="Times New Roman"/>
          <w:sz w:val="28"/>
          <w:szCs w:val="28"/>
          <w:lang w:eastAsia="ru-RU"/>
        </w:rPr>
        <w:t xml:space="preserve"> в</w:t>
      </w:r>
      <w:r w:rsidR="008D4A96" w:rsidRPr="00522104">
        <w:rPr>
          <w:rFonts w:ascii="Times New Roman" w:eastAsia="Times New Roman" w:hAnsi="Times New Roman" w:cs="Times New Roman"/>
          <w:sz w:val="28"/>
          <w:szCs w:val="28"/>
          <w:lang w:eastAsia="ru-RU"/>
        </w:rPr>
        <w:t xml:space="preserve"> заключение включены сведения, представленные главными распорядителями средств краевого бюджета об исполнении краевого бюджета за 9 месяцев текущего года</w:t>
      </w:r>
      <w:r w:rsidR="00BD318D" w:rsidRPr="00522104">
        <w:rPr>
          <w:rFonts w:ascii="Times New Roman" w:eastAsia="Times New Roman" w:hAnsi="Times New Roman" w:cs="Times New Roman"/>
          <w:sz w:val="28"/>
          <w:szCs w:val="28"/>
          <w:lang w:eastAsia="ru-RU"/>
        </w:rPr>
        <w:t xml:space="preserve">; </w:t>
      </w:r>
      <w:r w:rsidR="008D4A96" w:rsidRPr="00522104">
        <w:rPr>
          <w:rFonts w:ascii="Times New Roman" w:eastAsia="Times New Roman" w:hAnsi="Times New Roman" w:cs="Times New Roman"/>
          <w:sz w:val="28"/>
          <w:szCs w:val="28"/>
          <w:lang w:eastAsia="ru-RU"/>
        </w:rPr>
        <w:t xml:space="preserve">показатели отчета </w:t>
      </w:r>
      <w:r w:rsidR="00BA5F99" w:rsidRPr="00522104">
        <w:rPr>
          <w:rFonts w:ascii="Times New Roman" w:eastAsia="Times New Roman" w:hAnsi="Times New Roman" w:cs="Times New Roman"/>
          <w:sz w:val="28"/>
          <w:szCs w:val="28"/>
          <w:lang w:eastAsia="ru-RU"/>
        </w:rPr>
        <w:t xml:space="preserve">Правительства Приморского края </w:t>
      </w:r>
      <w:r w:rsidR="008D4A96" w:rsidRPr="00522104">
        <w:rPr>
          <w:rFonts w:ascii="Times New Roman" w:eastAsia="Times New Roman" w:hAnsi="Times New Roman" w:cs="Times New Roman"/>
          <w:sz w:val="28"/>
          <w:szCs w:val="28"/>
          <w:lang w:eastAsia="ru-RU"/>
        </w:rPr>
        <w:t>об исполнени</w:t>
      </w:r>
      <w:r w:rsidR="00BD318D" w:rsidRPr="00522104">
        <w:rPr>
          <w:rFonts w:ascii="Times New Roman" w:eastAsia="Times New Roman" w:hAnsi="Times New Roman" w:cs="Times New Roman"/>
          <w:sz w:val="28"/>
          <w:szCs w:val="28"/>
          <w:lang w:eastAsia="ru-RU"/>
        </w:rPr>
        <w:t>и краевого бюджета на 01.10.2021;</w:t>
      </w:r>
      <w:r w:rsidR="008D4A96" w:rsidRPr="00522104">
        <w:rPr>
          <w:rFonts w:ascii="Times New Roman" w:eastAsia="Times New Roman" w:hAnsi="Times New Roman" w:cs="Times New Roman"/>
          <w:sz w:val="28"/>
          <w:szCs w:val="28"/>
          <w:lang w:eastAsia="ru-RU"/>
        </w:rPr>
        <w:t xml:space="preserve"> использована информация о реализации мероприятий государственных программ Приморского края за тот же период, в том числе федеральных (региональных) проектов, включены выводы отдельных контрольных и экспертно-аналитических мероприятий, проведенных Контрольно-счетной палатой за истекший период текущего года.</w:t>
      </w:r>
    </w:p>
    <w:p w14:paraId="38F38257" w14:textId="77777777" w:rsidR="00E266A8" w:rsidRPr="00522104" w:rsidRDefault="00E266A8" w:rsidP="00234A03">
      <w:pPr>
        <w:spacing w:after="0" w:line="240" w:lineRule="auto"/>
        <w:jc w:val="both"/>
        <w:rPr>
          <w:rFonts w:ascii="Times New Roman" w:eastAsia="Times New Roman" w:hAnsi="Times New Roman" w:cs="Times New Roman"/>
          <w:sz w:val="28"/>
          <w:szCs w:val="28"/>
          <w:lang w:eastAsia="ru-RU"/>
        </w:rPr>
      </w:pPr>
    </w:p>
    <w:p w14:paraId="1DD49315" w14:textId="77777777" w:rsidR="00286592" w:rsidRPr="00522104" w:rsidRDefault="00286592" w:rsidP="00286592">
      <w:pPr>
        <w:spacing w:after="0" w:line="240" w:lineRule="auto"/>
        <w:ind w:firstLine="709"/>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2. Параметры прогноза основных показателей социально-экономического развития Приморского края.</w:t>
      </w:r>
    </w:p>
    <w:p w14:paraId="7F1B5994" w14:textId="5A0EFE8C" w:rsidR="00286592" w:rsidRPr="00522104" w:rsidRDefault="00286592" w:rsidP="00286592">
      <w:pPr>
        <w:spacing w:after="0" w:line="240" w:lineRule="auto"/>
        <w:ind w:firstLine="709"/>
        <w:jc w:val="both"/>
        <w:rPr>
          <w:rFonts w:ascii="Times New Roman" w:hAnsi="Times New Roman" w:cs="Times New Roman"/>
          <w:sz w:val="28"/>
          <w:szCs w:val="28"/>
          <w:lang w:eastAsia="ru-RU"/>
        </w:rPr>
      </w:pPr>
      <w:r w:rsidRPr="00522104">
        <w:rPr>
          <w:rFonts w:ascii="Times New Roman" w:hAnsi="Times New Roman" w:cs="Times New Roman"/>
          <w:sz w:val="28"/>
          <w:szCs w:val="28"/>
          <w:lang w:eastAsia="ru-RU"/>
        </w:rPr>
        <w:t>Прогноз социально-экономического развития Приморского края на 2022 год и период до 2024 года (далее – Прогноз-2022) разработан Правительством Приморского края и утвержден распоряжением Правительства Приморского края от 27.09.2021 № 367-рп.</w:t>
      </w:r>
    </w:p>
    <w:p w14:paraId="23C4102A" w14:textId="3E75596A" w:rsidR="001069A7" w:rsidRPr="00522104" w:rsidRDefault="00286592" w:rsidP="00916DDB">
      <w:pPr>
        <w:spacing w:after="0" w:line="240" w:lineRule="auto"/>
        <w:ind w:firstLine="709"/>
        <w:jc w:val="both"/>
        <w:rPr>
          <w:rFonts w:ascii="Times New Roman" w:hAnsi="Times New Roman" w:cs="Times New Roman"/>
          <w:sz w:val="28"/>
          <w:szCs w:val="28"/>
        </w:rPr>
      </w:pPr>
      <w:bookmarkStart w:id="2" w:name="_Hlk57800466"/>
      <w:r w:rsidRPr="00522104">
        <w:rPr>
          <w:rFonts w:ascii="Times New Roman" w:hAnsi="Times New Roman" w:cs="Times New Roman"/>
          <w:sz w:val="28"/>
          <w:szCs w:val="28"/>
          <w:lang w:eastAsia="ru-RU"/>
        </w:rPr>
        <w:t xml:space="preserve">Представленные в Прогнозе-2022 варианты разработаны с учетом итогов развития экономики Приморского края в 2020 году и итогов в январе-июне текущего года, а также в соответствии со Стратегией социально-экономического развития Приморского края до 2030 года, Стратегией социально-экономического развития Дальнего Востока и Байкальского региона на период до 2025 года </w:t>
      </w:r>
      <w:bookmarkEnd w:id="2"/>
      <w:r w:rsidR="001069A7" w:rsidRPr="00522104">
        <w:rPr>
          <w:rFonts w:ascii="Times New Roman" w:hAnsi="Times New Roman" w:cs="Times New Roman"/>
          <w:sz w:val="28"/>
          <w:szCs w:val="28"/>
        </w:rPr>
        <w:t xml:space="preserve">и другими стратегическими документами. </w:t>
      </w:r>
    </w:p>
    <w:p w14:paraId="1137740D" w14:textId="783F1121" w:rsidR="00286592" w:rsidRPr="00522104" w:rsidRDefault="00286592" w:rsidP="00286592">
      <w:pPr>
        <w:spacing w:after="0" w:line="240" w:lineRule="auto"/>
        <w:ind w:firstLine="709"/>
        <w:jc w:val="both"/>
        <w:rPr>
          <w:rFonts w:ascii="Times New Roman" w:hAnsi="Times New Roman" w:cs="Times New Roman"/>
          <w:sz w:val="28"/>
          <w:szCs w:val="28"/>
          <w:lang w:eastAsia="ru-RU"/>
        </w:rPr>
      </w:pPr>
      <w:r w:rsidRPr="00522104">
        <w:rPr>
          <w:rFonts w:ascii="Times New Roman" w:hAnsi="Times New Roman" w:cs="Times New Roman"/>
          <w:sz w:val="28"/>
          <w:szCs w:val="28"/>
          <w:lang w:eastAsia="ru-RU"/>
        </w:rPr>
        <w:t xml:space="preserve">В соответствии с </w:t>
      </w:r>
      <w:r w:rsidRPr="00522104">
        <w:rPr>
          <w:rFonts w:ascii="Times New Roman" w:hAnsi="Times New Roman" w:cs="Times New Roman"/>
          <w:sz w:val="28"/>
          <w:szCs w:val="28"/>
        </w:rPr>
        <w:t xml:space="preserve">порядком разработки и корректировки прогноза социально-экономического развития Приморского края на среднесрочный период, утвержденным </w:t>
      </w:r>
      <w:r w:rsidR="00841EEB" w:rsidRPr="00522104">
        <w:rPr>
          <w:rFonts w:ascii="Times New Roman" w:hAnsi="Times New Roman" w:cs="Times New Roman"/>
          <w:sz w:val="28"/>
          <w:szCs w:val="28"/>
        </w:rPr>
        <w:t>постановлением Администрации</w:t>
      </w:r>
      <w:r w:rsidRPr="00522104">
        <w:rPr>
          <w:rFonts w:ascii="Times New Roman" w:hAnsi="Times New Roman" w:cs="Times New Roman"/>
          <w:sz w:val="28"/>
          <w:szCs w:val="28"/>
        </w:rPr>
        <w:t xml:space="preserve"> Приморского края </w:t>
      </w:r>
      <w:r w:rsidRPr="00522104">
        <w:rPr>
          <w:rFonts w:ascii="Times New Roman" w:hAnsi="Times New Roman" w:cs="Times New Roman"/>
          <w:sz w:val="28"/>
          <w:szCs w:val="28"/>
        </w:rPr>
        <w:lastRenderedPageBreak/>
        <w:t xml:space="preserve">от 27.01.2016 № 35-па, </w:t>
      </w:r>
      <w:r w:rsidRPr="00522104">
        <w:rPr>
          <w:rFonts w:ascii="Times New Roman" w:hAnsi="Times New Roman" w:cs="Times New Roman"/>
          <w:sz w:val="28"/>
          <w:szCs w:val="28"/>
          <w:lang w:eastAsia="ru-RU"/>
        </w:rPr>
        <w:t xml:space="preserve">Прогноз-2022 сформирован в двух основных вариантах развития экономики: консервативном и базовом варианте. </w:t>
      </w:r>
    </w:p>
    <w:p w14:paraId="176BD8D0" w14:textId="77777777" w:rsidR="00286592" w:rsidRPr="00522104" w:rsidRDefault="00286592" w:rsidP="00286592">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Базовый вариант среднесрочного прогноза характеризует основные тенденции и параметры развития экономики в условиях консервативных траекторий изменения внешних и внутренних факторов при сохранении основных тенденций изменения эффективности использования ресурсов.</w:t>
      </w:r>
    </w:p>
    <w:p w14:paraId="1F695EFC" w14:textId="77777777" w:rsidR="00286592" w:rsidRPr="00522104" w:rsidRDefault="00286592" w:rsidP="00286592">
      <w:pPr>
        <w:spacing w:after="0" w:line="240" w:lineRule="auto"/>
        <w:ind w:firstLine="709"/>
        <w:jc w:val="both"/>
        <w:rPr>
          <w:rFonts w:ascii="Times New Roman" w:hAnsi="Times New Roman" w:cs="Times New Roman"/>
          <w:sz w:val="28"/>
          <w:szCs w:val="28"/>
          <w:lang w:eastAsia="ru-RU"/>
        </w:rPr>
      </w:pPr>
      <w:r w:rsidRPr="00522104">
        <w:rPr>
          <w:rFonts w:ascii="Times New Roman" w:hAnsi="Times New Roman" w:cs="Times New Roman"/>
          <w:sz w:val="28"/>
          <w:szCs w:val="28"/>
          <w:lang w:eastAsia="ru-RU"/>
        </w:rPr>
        <w:t>Консервативный вариант среднесрочного прогноза разрабатывается на основе консервативных оценок темпов экономического роста с учетом существенного ухудшения внешнеэкономических и иных условий.</w:t>
      </w:r>
    </w:p>
    <w:p w14:paraId="286D9E99" w14:textId="77777777" w:rsidR="00286592" w:rsidRPr="00522104" w:rsidRDefault="00286592" w:rsidP="00286592">
      <w:pPr>
        <w:spacing w:after="0" w:line="240" w:lineRule="auto"/>
        <w:ind w:firstLine="709"/>
        <w:jc w:val="both"/>
        <w:rPr>
          <w:rFonts w:ascii="Times New Roman" w:hAnsi="Times New Roman" w:cs="Times New Roman"/>
          <w:sz w:val="28"/>
          <w:szCs w:val="28"/>
          <w:lang w:eastAsia="ru-RU"/>
        </w:rPr>
      </w:pPr>
      <w:r w:rsidRPr="00522104">
        <w:rPr>
          <w:rFonts w:ascii="Times New Roman" w:hAnsi="Times New Roman" w:cs="Times New Roman"/>
          <w:sz w:val="28"/>
          <w:szCs w:val="28"/>
          <w:lang w:eastAsia="ru-RU"/>
        </w:rPr>
        <w:t>Контрольно-счетной палатой анализировались показатели Прогноза-2022, рассчитанные по консервативному и базовому вариантам развития экономики.</w:t>
      </w:r>
    </w:p>
    <w:p w14:paraId="106A1E24" w14:textId="2E57FBD6" w:rsidR="00286592" w:rsidRPr="00522104" w:rsidRDefault="00286592" w:rsidP="00286592">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lang w:eastAsia="ru-RU"/>
        </w:rPr>
        <w:t xml:space="preserve">В соответствии с частью 4 статьи 58 (1) Закона Приморского края от 02.08.2005 № 271-КЗ "О бюджетном устройстве, бюджетном процессе и межбюджетных отношениях в Приморском крае" </w:t>
      </w:r>
      <w:r w:rsidRPr="00522104">
        <w:rPr>
          <w:rFonts w:ascii="Times New Roman" w:hAnsi="Times New Roman" w:cs="Times New Roman"/>
          <w:sz w:val="28"/>
          <w:szCs w:val="28"/>
        </w:rPr>
        <w:t xml:space="preserve">Прогноз-2022 разработан путем уточнения параметров планового периода и добавления параметров второго года планового периода. </w:t>
      </w:r>
      <w:r w:rsidRPr="00522104">
        <w:rPr>
          <w:rFonts w:ascii="Times New Roman" w:hAnsi="Times New Roman" w:cs="Times New Roman"/>
          <w:sz w:val="28"/>
          <w:szCs w:val="28"/>
          <w:lang w:eastAsia="ru-RU"/>
        </w:rPr>
        <w:t xml:space="preserve">Однако в пояснительной записке к Прогнозу-2022, представленной в материалах к законопроекту, не приведено </w:t>
      </w:r>
      <w:r w:rsidRPr="00522104">
        <w:rPr>
          <w:rFonts w:ascii="Times New Roman" w:hAnsi="Times New Roman" w:cs="Times New Roman"/>
          <w:sz w:val="28"/>
          <w:szCs w:val="28"/>
        </w:rPr>
        <w:t>сопоставление с ранее утвержденными параметрами, с указанием причин и факторов прогнозируемых изменений.</w:t>
      </w:r>
    </w:p>
    <w:p w14:paraId="5212F44A" w14:textId="3B8F0647" w:rsidR="00286592" w:rsidRPr="00522104" w:rsidRDefault="00286592" w:rsidP="00286592">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Основные показатели Прогноза-2022 и данные об основных показателях прогноза социально-экономического развития Приморского края, </w:t>
      </w:r>
      <w:bookmarkStart w:id="3" w:name="_Hlk57801573"/>
      <w:r w:rsidRPr="00522104">
        <w:rPr>
          <w:rFonts w:ascii="Times New Roman" w:hAnsi="Times New Roman" w:cs="Times New Roman"/>
          <w:sz w:val="28"/>
          <w:szCs w:val="28"/>
        </w:rPr>
        <w:t>утвержденных на 2021 год и период до 2023 года распоряжением Правительства Приморского края от 07.10.2020 № 449-р</w:t>
      </w:r>
      <w:bookmarkEnd w:id="3"/>
      <w:r w:rsidR="00E44E56" w:rsidRPr="00522104">
        <w:rPr>
          <w:rFonts w:ascii="Times New Roman" w:hAnsi="Times New Roman" w:cs="Times New Roman"/>
          <w:sz w:val="28"/>
          <w:szCs w:val="28"/>
        </w:rPr>
        <w:t>п</w:t>
      </w:r>
      <w:r w:rsidRPr="00522104">
        <w:rPr>
          <w:rFonts w:ascii="Times New Roman" w:hAnsi="Times New Roman" w:cs="Times New Roman"/>
          <w:sz w:val="28"/>
          <w:szCs w:val="28"/>
        </w:rPr>
        <w:t>, представлены в таблице (далее – Прогноз-2021).</w:t>
      </w:r>
    </w:p>
    <w:p w14:paraId="4FA30F85" w14:textId="77777777" w:rsidR="00BE7055" w:rsidRPr="00522104" w:rsidRDefault="00BE7055" w:rsidP="00286592">
      <w:pPr>
        <w:spacing w:after="0" w:line="240" w:lineRule="auto"/>
        <w:ind w:firstLine="709"/>
        <w:jc w:val="both"/>
        <w:rPr>
          <w:rFonts w:ascii="Times New Roman" w:hAnsi="Times New Roman" w:cs="Times New Roman"/>
          <w:sz w:val="28"/>
          <w:szCs w:val="28"/>
        </w:rPr>
      </w:pPr>
    </w:p>
    <w:tbl>
      <w:tblPr>
        <w:tblW w:w="9350" w:type="dxa"/>
        <w:tblInd w:w="-5" w:type="dxa"/>
        <w:tblLayout w:type="fixed"/>
        <w:tblLook w:val="04A0" w:firstRow="1" w:lastRow="0" w:firstColumn="1" w:lastColumn="0" w:noHBand="0" w:noVBand="1"/>
      </w:tblPr>
      <w:tblGrid>
        <w:gridCol w:w="940"/>
        <w:gridCol w:w="473"/>
        <w:gridCol w:w="1292"/>
        <w:gridCol w:w="1271"/>
        <w:gridCol w:w="1124"/>
        <w:gridCol w:w="540"/>
        <w:gridCol w:w="439"/>
        <w:gridCol w:w="1182"/>
        <w:gridCol w:w="1090"/>
        <w:gridCol w:w="999"/>
      </w:tblGrid>
      <w:tr w:rsidR="00286592" w:rsidRPr="00522104" w14:paraId="4458D900" w14:textId="77777777" w:rsidTr="00432BB1">
        <w:trPr>
          <w:trHeight w:val="960"/>
          <w:tblHeader/>
        </w:trPr>
        <w:tc>
          <w:tcPr>
            <w:tcW w:w="270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3290FA"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Показатели</w:t>
            </w:r>
          </w:p>
        </w:tc>
        <w:tc>
          <w:tcPr>
            <w:tcW w:w="1271" w:type="dxa"/>
            <w:tcBorders>
              <w:top w:val="single" w:sz="4" w:space="0" w:color="auto"/>
              <w:left w:val="single" w:sz="4" w:space="0" w:color="auto"/>
              <w:bottom w:val="nil"/>
              <w:right w:val="single" w:sz="4" w:space="0" w:color="auto"/>
            </w:tcBorders>
            <w:shd w:val="clear" w:color="auto" w:fill="auto"/>
            <w:vAlign w:val="center"/>
            <w:hideMark/>
          </w:tcPr>
          <w:p w14:paraId="7AF09558" w14:textId="77777777" w:rsidR="00286592" w:rsidRPr="00522104" w:rsidRDefault="00286592" w:rsidP="004B2A92">
            <w:pPr>
              <w:spacing w:after="0" w:line="240" w:lineRule="auto"/>
              <w:ind w:left="-119"/>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Объем валового регионального продукта </w:t>
            </w:r>
          </w:p>
        </w:tc>
        <w:tc>
          <w:tcPr>
            <w:tcW w:w="1124" w:type="dxa"/>
            <w:vMerge w:val="restart"/>
            <w:tcBorders>
              <w:top w:val="single" w:sz="4" w:space="0" w:color="auto"/>
              <w:left w:val="nil"/>
              <w:bottom w:val="single" w:sz="4" w:space="0" w:color="auto"/>
              <w:right w:val="single" w:sz="4" w:space="0" w:color="auto"/>
            </w:tcBorders>
            <w:shd w:val="clear" w:color="auto" w:fill="auto"/>
            <w:vAlign w:val="center"/>
            <w:hideMark/>
          </w:tcPr>
          <w:p w14:paraId="7A9E3897" w14:textId="77777777" w:rsidR="00286592" w:rsidRPr="00522104" w:rsidRDefault="00286592" w:rsidP="004B2A92">
            <w:pPr>
              <w:spacing w:after="0" w:line="240" w:lineRule="auto"/>
              <w:ind w:left="-115"/>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Индекс физического объема ВРП (%)</w:t>
            </w:r>
          </w:p>
        </w:tc>
        <w:tc>
          <w:tcPr>
            <w:tcW w:w="97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E0127" w14:textId="77777777" w:rsidR="00286592" w:rsidRPr="00522104" w:rsidRDefault="00286592" w:rsidP="004B2A92">
            <w:pPr>
              <w:spacing w:after="0" w:line="240" w:lineRule="auto"/>
              <w:ind w:left="-105"/>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Оборот розничной торговли (млрд руб.)</w:t>
            </w:r>
          </w:p>
        </w:tc>
        <w:tc>
          <w:tcPr>
            <w:tcW w:w="11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AEF83B" w14:textId="77777777" w:rsidR="00286592" w:rsidRPr="00522104" w:rsidRDefault="00286592" w:rsidP="004B2A92">
            <w:pPr>
              <w:spacing w:after="0" w:line="240" w:lineRule="auto"/>
              <w:ind w:left="-91"/>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Индекс промышлен-ного производства (%)</w:t>
            </w:r>
          </w:p>
        </w:tc>
        <w:tc>
          <w:tcPr>
            <w:tcW w:w="10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75B8B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Инвестиции в основной капитал (млрд руб.)</w:t>
            </w:r>
          </w:p>
        </w:tc>
        <w:tc>
          <w:tcPr>
            <w:tcW w:w="9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3C10AF" w14:textId="77777777" w:rsidR="00286592" w:rsidRPr="00522104" w:rsidRDefault="00286592" w:rsidP="004B2A92">
            <w:pPr>
              <w:spacing w:after="0" w:line="240" w:lineRule="auto"/>
              <w:ind w:left="-95"/>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Объем платных услуг населению (млрд руб.)</w:t>
            </w:r>
          </w:p>
        </w:tc>
      </w:tr>
      <w:tr w:rsidR="00286592" w:rsidRPr="00522104" w14:paraId="1BDD4B90" w14:textId="77777777" w:rsidTr="004B2A92">
        <w:trPr>
          <w:trHeight w:val="62"/>
        </w:trPr>
        <w:tc>
          <w:tcPr>
            <w:tcW w:w="2705" w:type="dxa"/>
            <w:gridSpan w:val="3"/>
            <w:vMerge/>
            <w:tcBorders>
              <w:top w:val="single" w:sz="4" w:space="0" w:color="auto"/>
              <w:left w:val="single" w:sz="4" w:space="0" w:color="auto"/>
              <w:bottom w:val="single" w:sz="4" w:space="0" w:color="auto"/>
              <w:right w:val="single" w:sz="4" w:space="0" w:color="auto"/>
            </w:tcBorders>
            <w:vAlign w:val="center"/>
            <w:hideMark/>
          </w:tcPr>
          <w:p w14:paraId="1F899D29"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71" w:type="dxa"/>
            <w:tcBorders>
              <w:top w:val="nil"/>
              <w:left w:val="single" w:sz="4" w:space="0" w:color="auto"/>
              <w:bottom w:val="single" w:sz="4" w:space="0" w:color="auto"/>
              <w:right w:val="single" w:sz="4" w:space="0" w:color="auto"/>
            </w:tcBorders>
            <w:shd w:val="clear" w:color="auto" w:fill="auto"/>
            <w:vAlign w:val="center"/>
            <w:hideMark/>
          </w:tcPr>
          <w:p w14:paraId="7D5EDE4B" w14:textId="77777777" w:rsidR="00286592" w:rsidRPr="00522104" w:rsidRDefault="00286592" w:rsidP="004B2A92">
            <w:pPr>
              <w:spacing w:after="0" w:line="240" w:lineRule="auto"/>
              <w:ind w:left="-119"/>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(далее – ВРП) (млрд руб.)</w:t>
            </w:r>
          </w:p>
        </w:tc>
        <w:tc>
          <w:tcPr>
            <w:tcW w:w="1124" w:type="dxa"/>
            <w:vMerge/>
            <w:tcBorders>
              <w:top w:val="single" w:sz="4" w:space="0" w:color="auto"/>
              <w:left w:val="nil"/>
              <w:bottom w:val="single" w:sz="4" w:space="0" w:color="auto"/>
              <w:right w:val="single" w:sz="4" w:space="0" w:color="auto"/>
            </w:tcBorders>
            <w:vAlign w:val="center"/>
            <w:hideMark/>
          </w:tcPr>
          <w:p w14:paraId="3B82F07D"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979" w:type="dxa"/>
            <w:gridSpan w:val="2"/>
            <w:vMerge/>
            <w:tcBorders>
              <w:top w:val="single" w:sz="4" w:space="0" w:color="auto"/>
              <w:left w:val="single" w:sz="4" w:space="0" w:color="auto"/>
              <w:bottom w:val="single" w:sz="4" w:space="0" w:color="auto"/>
              <w:right w:val="single" w:sz="4" w:space="0" w:color="auto"/>
            </w:tcBorders>
            <w:vAlign w:val="center"/>
            <w:hideMark/>
          </w:tcPr>
          <w:p w14:paraId="2950AE06"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1730E204"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090" w:type="dxa"/>
            <w:vMerge/>
            <w:tcBorders>
              <w:top w:val="single" w:sz="4" w:space="0" w:color="auto"/>
              <w:left w:val="single" w:sz="4" w:space="0" w:color="auto"/>
              <w:bottom w:val="single" w:sz="4" w:space="0" w:color="auto"/>
              <w:right w:val="single" w:sz="4" w:space="0" w:color="auto"/>
            </w:tcBorders>
            <w:vAlign w:val="center"/>
            <w:hideMark/>
          </w:tcPr>
          <w:p w14:paraId="495B7205"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14:paraId="5431F6FE"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r>
      <w:tr w:rsidR="00286592" w:rsidRPr="00522104" w14:paraId="417980B5" w14:textId="77777777" w:rsidTr="004B2A92">
        <w:trPr>
          <w:trHeight w:val="300"/>
        </w:trPr>
        <w:tc>
          <w:tcPr>
            <w:tcW w:w="141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3A88C43"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2020 год</w:t>
            </w:r>
          </w:p>
        </w:tc>
        <w:tc>
          <w:tcPr>
            <w:tcW w:w="1292" w:type="dxa"/>
            <w:tcBorders>
              <w:top w:val="nil"/>
              <w:left w:val="nil"/>
              <w:bottom w:val="single" w:sz="4" w:space="0" w:color="auto"/>
              <w:right w:val="single" w:sz="4" w:space="0" w:color="auto"/>
            </w:tcBorders>
            <w:shd w:val="clear" w:color="auto" w:fill="auto"/>
            <w:vAlign w:val="center"/>
            <w:hideMark/>
          </w:tcPr>
          <w:p w14:paraId="44199B9D"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оценка в 2020</w:t>
            </w:r>
          </w:p>
        </w:tc>
        <w:tc>
          <w:tcPr>
            <w:tcW w:w="1271" w:type="dxa"/>
            <w:tcBorders>
              <w:top w:val="nil"/>
              <w:left w:val="nil"/>
              <w:bottom w:val="single" w:sz="4" w:space="0" w:color="auto"/>
              <w:right w:val="single" w:sz="4" w:space="0" w:color="auto"/>
            </w:tcBorders>
            <w:shd w:val="clear" w:color="auto" w:fill="auto"/>
            <w:vAlign w:val="center"/>
            <w:hideMark/>
          </w:tcPr>
          <w:p w14:paraId="2573B57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882,84</w:t>
            </w:r>
          </w:p>
        </w:tc>
        <w:tc>
          <w:tcPr>
            <w:tcW w:w="1124" w:type="dxa"/>
            <w:tcBorders>
              <w:top w:val="nil"/>
              <w:left w:val="nil"/>
              <w:bottom w:val="single" w:sz="4" w:space="0" w:color="auto"/>
              <w:right w:val="single" w:sz="4" w:space="0" w:color="auto"/>
            </w:tcBorders>
            <w:shd w:val="clear" w:color="auto" w:fill="auto"/>
            <w:vAlign w:val="center"/>
            <w:hideMark/>
          </w:tcPr>
          <w:p w14:paraId="63068C58"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95,83</w:t>
            </w:r>
          </w:p>
        </w:tc>
        <w:tc>
          <w:tcPr>
            <w:tcW w:w="979" w:type="dxa"/>
            <w:gridSpan w:val="2"/>
            <w:tcBorders>
              <w:top w:val="nil"/>
              <w:left w:val="nil"/>
              <w:bottom w:val="single" w:sz="4" w:space="0" w:color="auto"/>
              <w:right w:val="single" w:sz="4" w:space="0" w:color="auto"/>
            </w:tcBorders>
            <w:shd w:val="clear" w:color="auto" w:fill="auto"/>
            <w:vAlign w:val="center"/>
            <w:hideMark/>
          </w:tcPr>
          <w:p w14:paraId="0D43098D"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442,24</w:t>
            </w:r>
          </w:p>
        </w:tc>
        <w:tc>
          <w:tcPr>
            <w:tcW w:w="1182" w:type="dxa"/>
            <w:tcBorders>
              <w:top w:val="nil"/>
              <w:left w:val="nil"/>
              <w:bottom w:val="single" w:sz="4" w:space="0" w:color="auto"/>
              <w:right w:val="single" w:sz="4" w:space="0" w:color="auto"/>
            </w:tcBorders>
            <w:shd w:val="clear" w:color="auto" w:fill="auto"/>
            <w:vAlign w:val="center"/>
            <w:hideMark/>
          </w:tcPr>
          <w:p w14:paraId="5FD22A2E"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100,51</w:t>
            </w:r>
          </w:p>
        </w:tc>
        <w:tc>
          <w:tcPr>
            <w:tcW w:w="1090" w:type="dxa"/>
            <w:tcBorders>
              <w:top w:val="nil"/>
              <w:left w:val="nil"/>
              <w:bottom w:val="single" w:sz="4" w:space="0" w:color="auto"/>
              <w:right w:val="single" w:sz="4" w:space="0" w:color="auto"/>
            </w:tcBorders>
            <w:shd w:val="clear" w:color="auto" w:fill="auto"/>
            <w:vAlign w:val="center"/>
            <w:hideMark/>
          </w:tcPr>
          <w:p w14:paraId="1CA91D40"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183,66</w:t>
            </w:r>
          </w:p>
        </w:tc>
        <w:tc>
          <w:tcPr>
            <w:tcW w:w="994" w:type="dxa"/>
            <w:tcBorders>
              <w:top w:val="nil"/>
              <w:left w:val="nil"/>
              <w:bottom w:val="single" w:sz="4" w:space="0" w:color="auto"/>
              <w:right w:val="single" w:sz="4" w:space="0" w:color="auto"/>
            </w:tcBorders>
            <w:shd w:val="clear" w:color="auto" w:fill="auto"/>
            <w:vAlign w:val="center"/>
            <w:hideMark/>
          </w:tcPr>
          <w:p w14:paraId="1ED3E15D"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147,21</w:t>
            </w:r>
          </w:p>
        </w:tc>
      </w:tr>
      <w:tr w:rsidR="00286592" w:rsidRPr="00522104" w14:paraId="30449F4B" w14:textId="77777777" w:rsidTr="004B2A92">
        <w:trPr>
          <w:trHeight w:val="480"/>
        </w:trPr>
        <w:tc>
          <w:tcPr>
            <w:tcW w:w="1413" w:type="dxa"/>
            <w:gridSpan w:val="2"/>
            <w:vMerge/>
            <w:tcBorders>
              <w:top w:val="nil"/>
              <w:left w:val="single" w:sz="4" w:space="0" w:color="auto"/>
              <w:bottom w:val="single" w:sz="4" w:space="0" w:color="auto"/>
              <w:right w:val="single" w:sz="4" w:space="0" w:color="auto"/>
            </w:tcBorders>
            <w:vAlign w:val="center"/>
            <w:hideMark/>
          </w:tcPr>
          <w:p w14:paraId="6D4B6403"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0048B324"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отчет в 2021 (факт)</w:t>
            </w:r>
          </w:p>
        </w:tc>
        <w:tc>
          <w:tcPr>
            <w:tcW w:w="1271" w:type="dxa"/>
            <w:tcBorders>
              <w:top w:val="nil"/>
              <w:left w:val="nil"/>
              <w:bottom w:val="single" w:sz="4" w:space="0" w:color="auto"/>
              <w:right w:val="single" w:sz="4" w:space="0" w:color="auto"/>
            </w:tcBorders>
            <w:shd w:val="clear" w:color="auto" w:fill="auto"/>
            <w:vAlign w:val="center"/>
            <w:hideMark/>
          </w:tcPr>
          <w:p w14:paraId="000D1CDC"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1078,99</w:t>
            </w:r>
          </w:p>
        </w:tc>
        <w:tc>
          <w:tcPr>
            <w:tcW w:w="1124" w:type="dxa"/>
            <w:tcBorders>
              <w:top w:val="nil"/>
              <w:left w:val="nil"/>
              <w:bottom w:val="single" w:sz="4" w:space="0" w:color="auto"/>
              <w:right w:val="single" w:sz="4" w:space="0" w:color="auto"/>
            </w:tcBorders>
            <w:shd w:val="clear" w:color="000000" w:fill="FFFFFF"/>
            <w:vAlign w:val="center"/>
            <w:hideMark/>
          </w:tcPr>
          <w:p w14:paraId="1218E0E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95,70</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5F7953AD"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434,69</w:t>
            </w:r>
          </w:p>
        </w:tc>
        <w:tc>
          <w:tcPr>
            <w:tcW w:w="1182" w:type="dxa"/>
            <w:tcBorders>
              <w:top w:val="nil"/>
              <w:left w:val="nil"/>
              <w:bottom w:val="single" w:sz="4" w:space="0" w:color="auto"/>
              <w:right w:val="single" w:sz="4" w:space="0" w:color="auto"/>
            </w:tcBorders>
            <w:shd w:val="clear" w:color="000000" w:fill="FFFFFF"/>
            <w:vAlign w:val="center"/>
            <w:hideMark/>
          </w:tcPr>
          <w:p w14:paraId="4C8BEFCE"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79,40</w:t>
            </w:r>
          </w:p>
        </w:tc>
        <w:tc>
          <w:tcPr>
            <w:tcW w:w="1090" w:type="dxa"/>
            <w:tcBorders>
              <w:top w:val="nil"/>
              <w:left w:val="nil"/>
              <w:bottom w:val="single" w:sz="4" w:space="0" w:color="auto"/>
              <w:right w:val="single" w:sz="4" w:space="0" w:color="auto"/>
            </w:tcBorders>
            <w:shd w:val="clear" w:color="000000" w:fill="FFFFFF"/>
            <w:vAlign w:val="center"/>
            <w:hideMark/>
          </w:tcPr>
          <w:p w14:paraId="2F7B7EF0"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184,75</w:t>
            </w:r>
          </w:p>
        </w:tc>
        <w:tc>
          <w:tcPr>
            <w:tcW w:w="994" w:type="dxa"/>
            <w:tcBorders>
              <w:top w:val="nil"/>
              <w:left w:val="nil"/>
              <w:bottom w:val="single" w:sz="4" w:space="0" w:color="auto"/>
              <w:right w:val="single" w:sz="4" w:space="0" w:color="auto"/>
            </w:tcBorders>
            <w:shd w:val="clear" w:color="000000" w:fill="FFFFFF"/>
            <w:vAlign w:val="center"/>
            <w:hideMark/>
          </w:tcPr>
          <w:p w14:paraId="2FC19382"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133,94</w:t>
            </w:r>
          </w:p>
        </w:tc>
      </w:tr>
      <w:tr w:rsidR="00286592" w:rsidRPr="00522104" w14:paraId="30208A6C" w14:textId="77777777" w:rsidTr="004B2A92">
        <w:trPr>
          <w:trHeight w:val="300"/>
        </w:trPr>
        <w:tc>
          <w:tcPr>
            <w:tcW w:w="1413" w:type="dxa"/>
            <w:gridSpan w:val="2"/>
            <w:vMerge/>
            <w:tcBorders>
              <w:top w:val="nil"/>
              <w:left w:val="single" w:sz="4" w:space="0" w:color="auto"/>
              <w:bottom w:val="single" w:sz="4" w:space="0" w:color="auto"/>
              <w:right w:val="single" w:sz="4" w:space="0" w:color="auto"/>
            </w:tcBorders>
            <w:vAlign w:val="center"/>
            <w:hideMark/>
          </w:tcPr>
          <w:p w14:paraId="539FDB82"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36B4ED35"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отклонение</w:t>
            </w:r>
          </w:p>
        </w:tc>
        <w:tc>
          <w:tcPr>
            <w:tcW w:w="1271"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55FCE212"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7696" behindDoc="0" locked="0" layoutInCell="1" allowOverlap="1" wp14:anchorId="60E15D63" wp14:editId="40C88637">
                      <wp:simplePos x="0" y="0"/>
                      <wp:positionH relativeFrom="column">
                        <wp:posOffset>-59690</wp:posOffset>
                      </wp:positionH>
                      <wp:positionV relativeFrom="paragraph">
                        <wp:posOffset>-21590</wp:posOffset>
                      </wp:positionV>
                      <wp:extent cx="114935" cy="125730"/>
                      <wp:effectExtent l="13653" t="24447" r="32067" b="13018"/>
                      <wp:wrapNone/>
                      <wp:docPr id="12" name="Стрелка вправо 12"/>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21F2F4B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2" o:spid="_x0000_s1026" type="#_x0000_t13" style="position:absolute;margin-left:-4.7pt;margin-top:-1.7pt;width:9.05pt;height:9.9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196,15</w:t>
            </w:r>
          </w:p>
        </w:tc>
        <w:tc>
          <w:tcPr>
            <w:tcW w:w="112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6179A1E1"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67456" behindDoc="0" locked="0" layoutInCell="1" allowOverlap="1" wp14:anchorId="67D1D15B" wp14:editId="7759870B">
                      <wp:simplePos x="0" y="0"/>
                      <wp:positionH relativeFrom="column">
                        <wp:posOffset>-63500</wp:posOffset>
                      </wp:positionH>
                      <wp:positionV relativeFrom="paragraph">
                        <wp:posOffset>0</wp:posOffset>
                      </wp:positionV>
                      <wp:extent cx="120650" cy="116205"/>
                      <wp:effectExtent l="21272" t="0" r="33973" b="33972"/>
                      <wp:wrapNone/>
                      <wp:docPr id="58" name="Стрелка вправо 58"/>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17B9713" id="Стрелка вправо 58" o:spid="_x0000_s1026" type="#_x0000_t13" style="position:absolute;margin-left:-5pt;margin-top:0;width:9.5pt;height:9.1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" adj="11198" filled="f" strokecolor="windowText" strokeweight=".25pt"/>
                  </w:pict>
                </mc:Fallback>
              </mc:AlternateContent>
            </w:r>
            <w:r w:rsidRPr="00522104">
              <w:rPr>
                <w:rFonts w:ascii="Times New Roman" w:eastAsia="Times New Roman" w:hAnsi="Times New Roman" w:cs="Times New Roman"/>
                <w:b/>
                <w:bCs/>
                <w:i/>
                <w:iCs/>
                <w:sz w:val="18"/>
                <w:szCs w:val="18"/>
                <w:lang w:eastAsia="ru-RU"/>
              </w:rPr>
              <w:t>-0,13</w:t>
            </w:r>
          </w:p>
        </w:tc>
        <w:tc>
          <w:tcPr>
            <w:tcW w:w="979" w:type="dxa"/>
            <w:gridSpan w:val="2"/>
            <w:tcBorders>
              <w:top w:val="single" w:sz="4" w:space="0" w:color="auto"/>
              <w:left w:val="single" w:sz="4" w:space="0" w:color="auto"/>
              <w:bottom w:val="single" w:sz="4" w:space="0" w:color="auto"/>
              <w:right w:val="single" w:sz="4" w:space="0" w:color="auto"/>
            </w:tcBorders>
            <w:shd w:val="clear" w:color="000000" w:fill="FF9999"/>
            <w:vAlign w:val="center"/>
            <w:hideMark/>
          </w:tcPr>
          <w:p w14:paraId="124430A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68480" behindDoc="0" locked="0" layoutInCell="1" allowOverlap="1" wp14:anchorId="409E9BEB" wp14:editId="1FD06801">
                      <wp:simplePos x="0" y="0"/>
                      <wp:positionH relativeFrom="column">
                        <wp:posOffset>-76200</wp:posOffset>
                      </wp:positionH>
                      <wp:positionV relativeFrom="paragraph">
                        <wp:posOffset>1270</wp:posOffset>
                      </wp:positionV>
                      <wp:extent cx="120650" cy="116205"/>
                      <wp:effectExtent l="21272" t="0" r="33973" b="33972"/>
                      <wp:wrapNone/>
                      <wp:docPr id="59" name="Стрелка вправо 59"/>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0687BAA" id="Стрелка вправо 59" o:spid="_x0000_s1026" type="#_x0000_t13" style="position:absolute;margin-left:-6pt;margin-top:.1pt;width:9.5pt;height:9.15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" adj="11198" filled="f" strokecolor="windowText" strokeweight=".25pt"/>
                  </w:pict>
                </mc:Fallback>
              </mc:AlternateContent>
            </w:r>
            <w:r w:rsidRPr="00522104">
              <w:rPr>
                <w:rFonts w:ascii="Times New Roman" w:eastAsia="Times New Roman" w:hAnsi="Times New Roman" w:cs="Times New Roman"/>
                <w:b/>
                <w:bCs/>
                <w:i/>
                <w:iCs/>
                <w:sz w:val="18"/>
                <w:szCs w:val="18"/>
                <w:lang w:eastAsia="ru-RU"/>
              </w:rPr>
              <w:t>-7,55</w:t>
            </w:r>
          </w:p>
        </w:tc>
        <w:tc>
          <w:tcPr>
            <w:tcW w:w="1182"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5D0BFA9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69504" behindDoc="0" locked="0" layoutInCell="1" allowOverlap="1" wp14:anchorId="1932BBD8" wp14:editId="4A5CF9E7">
                      <wp:simplePos x="0" y="0"/>
                      <wp:positionH relativeFrom="column">
                        <wp:posOffset>-66675</wp:posOffset>
                      </wp:positionH>
                      <wp:positionV relativeFrom="paragraph">
                        <wp:posOffset>-3810</wp:posOffset>
                      </wp:positionV>
                      <wp:extent cx="123825" cy="116205"/>
                      <wp:effectExtent l="22860" t="0" r="32385" b="32385"/>
                      <wp:wrapNone/>
                      <wp:docPr id="60" name="Стрелка вправо 60"/>
                      <wp:cNvGraphicFramePr/>
                      <a:graphic xmlns:a="http://schemas.openxmlformats.org/drawingml/2006/main">
                        <a:graphicData uri="http://schemas.microsoft.com/office/word/2010/wordprocessingShape">
                          <wps:wsp>
                            <wps:cNvSpPr/>
                            <wps:spPr>
                              <a:xfrm rot="5400000">
                                <a:off x="0" y="0"/>
                                <a:ext cx="124234"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0517221" id="Стрелка вправо 60" o:spid="_x0000_s1026" type="#_x0000_t13" style="position:absolute;margin-left:-5.25pt;margin-top:-.3pt;width:9.75pt;height:9.1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" adj="11498" filled="f" strokecolor="windowText" strokeweight=".25pt"/>
                  </w:pict>
                </mc:Fallback>
              </mc:AlternateContent>
            </w:r>
            <w:r w:rsidRPr="00522104">
              <w:rPr>
                <w:rFonts w:ascii="Times New Roman" w:eastAsia="Times New Roman" w:hAnsi="Times New Roman" w:cs="Times New Roman"/>
                <w:b/>
                <w:bCs/>
                <w:i/>
                <w:iCs/>
                <w:sz w:val="18"/>
                <w:szCs w:val="18"/>
                <w:lang w:eastAsia="ru-RU"/>
              </w:rPr>
              <w:t>-21,11</w:t>
            </w:r>
          </w:p>
        </w:tc>
        <w:tc>
          <w:tcPr>
            <w:tcW w:w="109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2F997754"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8720" behindDoc="0" locked="0" layoutInCell="1" allowOverlap="1" wp14:anchorId="6BEBE1BD" wp14:editId="53401329">
                      <wp:simplePos x="0" y="0"/>
                      <wp:positionH relativeFrom="column">
                        <wp:posOffset>-57150</wp:posOffset>
                      </wp:positionH>
                      <wp:positionV relativeFrom="paragraph">
                        <wp:posOffset>-20320</wp:posOffset>
                      </wp:positionV>
                      <wp:extent cx="114935" cy="125730"/>
                      <wp:effectExtent l="13653" t="24447" r="32067" b="13018"/>
                      <wp:wrapNone/>
                      <wp:docPr id="13" name="Стрелка вправо 13"/>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8A22EA6" id="Стрелка вправо 13" o:spid="_x0000_s1026" type="#_x0000_t13" style="position:absolute;margin-left:-4.5pt;margin-top:-1.6pt;width:9.05pt;height:9.9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1,09</w:t>
            </w:r>
          </w:p>
        </w:tc>
        <w:tc>
          <w:tcPr>
            <w:tcW w:w="99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2D83B0C0"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0528" behindDoc="0" locked="0" layoutInCell="1" allowOverlap="1" wp14:anchorId="5C2BDD57" wp14:editId="19D73D75">
                      <wp:simplePos x="0" y="0"/>
                      <wp:positionH relativeFrom="column">
                        <wp:posOffset>-73025</wp:posOffset>
                      </wp:positionH>
                      <wp:positionV relativeFrom="paragraph">
                        <wp:posOffset>-17145</wp:posOffset>
                      </wp:positionV>
                      <wp:extent cx="120650" cy="116205"/>
                      <wp:effectExtent l="21272" t="0" r="33973" b="33972"/>
                      <wp:wrapNone/>
                      <wp:docPr id="61" name="Стрелка вправо 61"/>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663D2B8C" id="Стрелка вправо 61" o:spid="_x0000_s1026" type="#_x0000_t13" style="position:absolute;margin-left:-5.75pt;margin-top:-1.35pt;width:9.5pt;height:9.1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" adj="11198" filled="f" strokecolor="windowText" strokeweight=".25pt"/>
                  </w:pict>
                </mc:Fallback>
              </mc:AlternateContent>
            </w:r>
            <w:r w:rsidRPr="00522104">
              <w:rPr>
                <w:rFonts w:ascii="Times New Roman" w:eastAsia="Times New Roman" w:hAnsi="Times New Roman" w:cs="Times New Roman"/>
                <w:b/>
                <w:bCs/>
                <w:i/>
                <w:iCs/>
                <w:sz w:val="18"/>
                <w:szCs w:val="18"/>
                <w:lang w:eastAsia="ru-RU"/>
              </w:rPr>
              <w:t>-13,27</w:t>
            </w:r>
          </w:p>
        </w:tc>
      </w:tr>
      <w:tr w:rsidR="00286592" w:rsidRPr="00522104" w14:paraId="54C4FC9A" w14:textId="77777777" w:rsidTr="004B2A92">
        <w:trPr>
          <w:trHeight w:val="300"/>
        </w:trPr>
        <w:tc>
          <w:tcPr>
            <w:tcW w:w="141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B6B0E73"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2021 год (консервативный вариант)</w:t>
            </w:r>
          </w:p>
        </w:tc>
        <w:tc>
          <w:tcPr>
            <w:tcW w:w="1292" w:type="dxa"/>
            <w:tcBorders>
              <w:top w:val="nil"/>
              <w:left w:val="nil"/>
              <w:bottom w:val="single" w:sz="4" w:space="0" w:color="auto"/>
              <w:right w:val="single" w:sz="4" w:space="0" w:color="auto"/>
            </w:tcBorders>
            <w:shd w:val="clear" w:color="auto" w:fill="auto"/>
            <w:vAlign w:val="center"/>
            <w:hideMark/>
          </w:tcPr>
          <w:p w14:paraId="05163AF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2020</w:t>
            </w:r>
          </w:p>
        </w:tc>
        <w:tc>
          <w:tcPr>
            <w:tcW w:w="1271" w:type="dxa"/>
            <w:tcBorders>
              <w:top w:val="nil"/>
              <w:left w:val="nil"/>
              <w:bottom w:val="single" w:sz="4" w:space="0" w:color="auto"/>
              <w:right w:val="single" w:sz="4" w:space="0" w:color="auto"/>
            </w:tcBorders>
            <w:shd w:val="clear" w:color="000000" w:fill="FFFFFF"/>
            <w:vAlign w:val="center"/>
            <w:hideMark/>
          </w:tcPr>
          <w:p w14:paraId="40E1638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935,39</w:t>
            </w:r>
          </w:p>
        </w:tc>
        <w:tc>
          <w:tcPr>
            <w:tcW w:w="1124" w:type="dxa"/>
            <w:tcBorders>
              <w:top w:val="nil"/>
              <w:left w:val="nil"/>
              <w:bottom w:val="single" w:sz="4" w:space="0" w:color="auto"/>
              <w:right w:val="single" w:sz="4" w:space="0" w:color="auto"/>
            </w:tcBorders>
            <w:shd w:val="clear" w:color="000000" w:fill="FFFFFF"/>
            <w:vAlign w:val="center"/>
            <w:hideMark/>
          </w:tcPr>
          <w:p w14:paraId="21B53D84"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101,79</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4105BF41"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471,90</w:t>
            </w:r>
          </w:p>
        </w:tc>
        <w:tc>
          <w:tcPr>
            <w:tcW w:w="1182" w:type="dxa"/>
            <w:tcBorders>
              <w:top w:val="nil"/>
              <w:left w:val="nil"/>
              <w:bottom w:val="single" w:sz="4" w:space="0" w:color="auto"/>
              <w:right w:val="single" w:sz="4" w:space="0" w:color="auto"/>
            </w:tcBorders>
            <w:shd w:val="clear" w:color="000000" w:fill="FFFFFF"/>
            <w:vAlign w:val="center"/>
            <w:hideMark/>
          </w:tcPr>
          <w:p w14:paraId="1486F356"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101,13</w:t>
            </w:r>
          </w:p>
        </w:tc>
        <w:tc>
          <w:tcPr>
            <w:tcW w:w="1090" w:type="dxa"/>
            <w:tcBorders>
              <w:top w:val="nil"/>
              <w:left w:val="nil"/>
              <w:bottom w:val="single" w:sz="4" w:space="0" w:color="auto"/>
              <w:right w:val="single" w:sz="4" w:space="0" w:color="auto"/>
            </w:tcBorders>
            <w:shd w:val="clear" w:color="000000" w:fill="FFFFFF"/>
            <w:vAlign w:val="center"/>
            <w:hideMark/>
          </w:tcPr>
          <w:p w14:paraId="1831F21A"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196,60</w:t>
            </w:r>
          </w:p>
        </w:tc>
        <w:tc>
          <w:tcPr>
            <w:tcW w:w="994" w:type="dxa"/>
            <w:tcBorders>
              <w:top w:val="nil"/>
              <w:left w:val="nil"/>
              <w:bottom w:val="single" w:sz="4" w:space="0" w:color="auto"/>
              <w:right w:val="single" w:sz="4" w:space="0" w:color="auto"/>
            </w:tcBorders>
            <w:shd w:val="clear" w:color="000000" w:fill="FFFFFF"/>
            <w:vAlign w:val="center"/>
            <w:hideMark/>
          </w:tcPr>
          <w:p w14:paraId="4F218A5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157,09</w:t>
            </w:r>
          </w:p>
        </w:tc>
      </w:tr>
      <w:tr w:rsidR="00286592" w:rsidRPr="00522104" w14:paraId="39A92D0F" w14:textId="77777777" w:rsidTr="004B2A92">
        <w:trPr>
          <w:trHeight w:val="300"/>
        </w:trPr>
        <w:tc>
          <w:tcPr>
            <w:tcW w:w="1413" w:type="dxa"/>
            <w:gridSpan w:val="2"/>
            <w:vMerge/>
            <w:tcBorders>
              <w:top w:val="nil"/>
              <w:left w:val="single" w:sz="4" w:space="0" w:color="auto"/>
              <w:bottom w:val="single" w:sz="4" w:space="0" w:color="auto"/>
              <w:right w:val="single" w:sz="4" w:space="0" w:color="auto"/>
            </w:tcBorders>
            <w:vAlign w:val="center"/>
            <w:hideMark/>
          </w:tcPr>
          <w:p w14:paraId="241B8759"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4F242E48"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оценка в 2021</w:t>
            </w:r>
          </w:p>
        </w:tc>
        <w:tc>
          <w:tcPr>
            <w:tcW w:w="1271" w:type="dxa"/>
            <w:tcBorders>
              <w:top w:val="nil"/>
              <w:left w:val="nil"/>
              <w:bottom w:val="single" w:sz="4" w:space="0" w:color="auto"/>
              <w:right w:val="single" w:sz="4" w:space="0" w:color="auto"/>
            </w:tcBorders>
            <w:shd w:val="clear" w:color="000000" w:fill="FFFFFF"/>
            <w:vAlign w:val="center"/>
            <w:hideMark/>
          </w:tcPr>
          <w:p w14:paraId="3A106EE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1177,87</w:t>
            </w:r>
          </w:p>
        </w:tc>
        <w:tc>
          <w:tcPr>
            <w:tcW w:w="1124" w:type="dxa"/>
            <w:tcBorders>
              <w:top w:val="nil"/>
              <w:left w:val="nil"/>
              <w:bottom w:val="single" w:sz="4" w:space="0" w:color="auto"/>
              <w:right w:val="single" w:sz="4" w:space="0" w:color="auto"/>
            </w:tcBorders>
            <w:shd w:val="clear" w:color="000000" w:fill="FFFFFF"/>
            <w:vAlign w:val="center"/>
            <w:hideMark/>
          </w:tcPr>
          <w:p w14:paraId="237B593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104,40</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4E1AE095"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485,20</w:t>
            </w:r>
          </w:p>
        </w:tc>
        <w:tc>
          <w:tcPr>
            <w:tcW w:w="1182" w:type="dxa"/>
            <w:tcBorders>
              <w:top w:val="nil"/>
              <w:left w:val="nil"/>
              <w:bottom w:val="single" w:sz="4" w:space="0" w:color="auto"/>
              <w:right w:val="single" w:sz="4" w:space="0" w:color="auto"/>
            </w:tcBorders>
            <w:shd w:val="clear" w:color="000000" w:fill="FFFFFF"/>
            <w:vAlign w:val="center"/>
            <w:hideMark/>
          </w:tcPr>
          <w:p w14:paraId="78269E26"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107,10</w:t>
            </w:r>
          </w:p>
        </w:tc>
        <w:tc>
          <w:tcPr>
            <w:tcW w:w="1090" w:type="dxa"/>
            <w:tcBorders>
              <w:top w:val="nil"/>
              <w:left w:val="nil"/>
              <w:bottom w:val="single" w:sz="4" w:space="0" w:color="auto"/>
              <w:right w:val="single" w:sz="4" w:space="0" w:color="auto"/>
            </w:tcBorders>
            <w:shd w:val="clear" w:color="000000" w:fill="FFFFFF"/>
            <w:vAlign w:val="center"/>
            <w:hideMark/>
          </w:tcPr>
          <w:p w14:paraId="7C8E18D4"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206,73</w:t>
            </w:r>
          </w:p>
        </w:tc>
        <w:tc>
          <w:tcPr>
            <w:tcW w:w="994" w:type="dxa"/>
            <w:tcBorders>
              <w:top w:val="nil"/>
              <w:left w:val="nil"/>
              <w:bottom w:val="single" w:sz="4" w:space="0" w:color="auto"/>
              <w:right w:val="single" w:sz="4" w:space="0" w:color="auto"/>
            </w:tcBorders>
            <w:shd w:val="clear" w:color="000000" w:fill="FFFFFF"/>
            <w:vAlign w:val="center"/>
            <w:hideMark/>
          </w:tcPr>
          <w:p w14:paraId="725B751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143,20</w:t>
            </w:r>
          </w:p>
        </w:tc>
      </w:tr>
      <w:tr w:rsidR="00286592" w:rsidRPr="00522104" w14:paraId="7EDC0EB0" w14:textId="77777777" w:rsidTr="004B2A92">
        <w:trPr>
          <w:trHeight w:val="364"/>
        </w:trPr>
        <w:tc>
          <w:tcPr>
            <w:tcW w:w="1413" w:type="dxa"/>
            <w:gridSpan w:val="2"/>
            <w:vMerge/>
            <w:tcBorders>
              <w:top w:val="nil"/>
              <w:left w:val="single" w:sz="4" w:space="0" w:color="auto"/>
              <w:bottom w:val="single" w:sz="4" w:space="0" w:color="auto"/>
              <w:right w:val="single" w:sz="4" w:space="0" w:color="auto"/>
            </w:tcBorders>
            <w:vAlign w:val="center"/>
            <w:hideMark/>
          </w:tcPr>
          <w:p w14:paraId="2A326999"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6B09E18E"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отклонение</w:t>
            </w:r>
          </w:p>
        </w:tc>
        <w:tc>
          <w:tcPr>
            <w:tcW w:w="1271"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51EEFA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9744" behindDoc="0" locked="0" layoutInCell="1" allowOverlap="1" wp14:anchorId="715D65BA" wp14:editId="27148190">
                      <wp:simplePos x="0" y="0"/>
                      <wp:positionH relativeFrom="column">
                        <wp:posOffset>-62230</wp:posOffset>
                      </wp:positionH>
                      <wp:positionV relativeFrom="paragraph">
                        <wp:posOffset>-48260</wp:posOffset>
                      </wp:positionV>
                      <wp:extent cx="114935" cy="125730"/>
                      <wp:effectExtent l="13653" t="24447" r="32067" b="13018"/>
                      <wp:wrapNone/>
                      <wp:docPr id="62" name="Стрелка вправо 62"/>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02859E1C" id="Стрелка вправо 62" o:spid="_x0000_s1026" type="#_x0000_t13" style="position:absolute;margin-left:-4.9pt;margin-top:-3.8pt;width:9.05pt;height:9.9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l2gng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242,48</w:t>
            </w:r>
          </w:p>
        </w:tc>
        <w:tc>
          <w:tcPr>
            <w:tcW w:w="112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EDCEF9A"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0768" behindDoc="0" locked="0" layoutInCell="1" allowOverlap="1" wp14:anchorId="58BB47DA" wp14:editId="23C06E88">
                      <wp:simplePos x="0" y="0"/>
                      <wp:positionH relativeFrom="column">
                        <wp:posOffset>-58420</wp:posOffset>
                      </wp:positionH>
                      <wp:positionV relativeFrom="paragraph">
                        <wp:posOffset>-49530</wp:posOffset>
                      </wp:positionV>
                      <wp:extent cx="114935" cy="125730"/>
                      <wp:effectExtent l="13653" t="24447" r="32067" b="13018"/>
                      <wp:wrapNone/>
                      <wp:docPr id="15" name="Стрелка вправо 15"/>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9A3A805" id="Стрелка вправо 15" o:spid="_x0000_s1026" type="#_x0000_t13" style="position:absolute;margin-left:-4.6pt;margin-top:-3.9pt;width:9.05pt;height:9.9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KynQ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2,61</w:t>
            </w:r>
          </w:p>
        </w:tc>
        <w:tc>
          <w:tcPr>
            <w:tcW w:w="979"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3CE0AC41"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1792" behindDoc="0" locked="0" layoutInCell="1" allowOverlap="1" wp14:anchorId="285D264F" wp14:editId="18936271">
                      <wp:simplePos x="0" y="0"/>
                      <wp:positionH relativeFrom="column">
                        <wp:posOffset>-62230</wp:posOffset>
                      </wp:positionH>
                      <wp:positionV relativeFrom="paragraph">
                        <wp:posOffset>-48260</wp:posOffset>
                      </wp:positionV>
                      <wp:extent cx="114935" cy="125730"/>
                      <wp:effectExtent l="13653" t="24447" r="32067" b="13018"/>
                      <wp:wrapNone/>
                      <wp:docPr id="16" name="Стрелка вправо 16"/>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D56291C" id="Стрелка вправо 16" o:spid="_x0000_s1026" type="#_x0000_t13" style="position:absolute;margin-left:-4.9pt;margin-top:-3.8pt;width:9.05pt;height:9.9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13,30</w:t>
            </w:r>
          </w:p>
        </w:tc>
        <w:tc>
          <w:tcPr>
            <w:tcW w:w="1182"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123D1421"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2816" behindDoc="0" locked="0" layoutInCell="1" allowOverlap="1" wp14:anchorId="6934564D" wp14:editId="17DFAC3B">
                      <wp:simplePos x="0" y="0"/>
                      <wp:positionH relativeFrom="column">
                        <wp:posOffset>-66675</wp:posOffset>
                      </wp:positionH>
                      <wp:positionV relativeFrom="paragraph">
                        <wp:posOffset>-56515</wp:posOffset>
                      </wp:positionV>
                      <wp:extent cx="114935" cy="125730"/>
                      <wp:effectExtent l="13653" t="24447" r="32067" b="13018"/>
                      <wp:wrapNone/>
                      <wp:docPr id="17" name="Стрелка вправо 17"/>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E956D6A" id="Стрелка вправо 17" o:spid="_x0000_s1026" type="#_x0000_t13" style="position:absolute;margin-left:-5.25pt;margin-top:-4.45pt;width:9.05pt;height:9.9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5,97</w:t>
            </w:r>
          </w:p>
        </w:tc>
        <w:tc>
          <w:tcPr>
            <w:tcW w:w="109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4C39F9A6"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3840" behindDoc="0" locked="0" layoutInCell="1" allowOverlap="1" wp14:anchorId="7ADF0841" wp14:editId="594CA7FD">
                      <wp:simplePos x="0" y="0"/>
                      <wp:positionH relativeFrom="column">
                        <wp:posOffset>-53975</wp:posOffset>
                      </wp:positionH>
                      <wp:positionV relativeFrom="paragraph">
                        <wp:posOffset>-48895</wp:posOffset>
                      </wp:positionV>
                      <wp:extent cx="114935" cy="125730"/>
                      <wp:effectExtent l="13653" t="24447" r="32067" b="13018"/>
                      <wp:wrapNone/>
                      <wp:docPr id="18" name="Стрелка вправо 18"/>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006A2A49" id="Стрелка вправо 18" o:spid="_x0000_s1026" type="#_x0000_t13" style="position:absolute;margin-left:-4.25pt;margin-top:-3.85pt;width:9.05pt;height:9.9pt;rotation:-9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10,13</w:t>
            </w:r>
          </w:p>
        </w:tc>
        <w:tc>
          <w:tcPr>
            <w:tcW w:w="99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672B2FF7"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1552" behindDoc="0" locked="0" layoutInCell="1" allowOverlap="1" wp14:anchorId="6CD570D8" wp14:editId="535709CD">
                      <wp:simplePos x="0" y="0"/>
                      <wp:positionH relativeFrom="column">
                        <wp:posOffset>-66675</wp:posOffset>
                      </wp:positionH>
                      <wp:positionV relativeFrom="margin">
                        <wp:posOffset>15875</wp:posOffset>
                      </wp:positionV>
                      <wp:extent cx="120650" cy="116205"/>
                      <wp:effectExtent l="21272" t="0" r="33973" b="33972"/>
                      <wp:wrapNone/>
                      <wp:docPr id="63" name="Стрелка вправо 63"/>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076C0E2" id="Стрелка вправо 63" o:spid="_x0000_s1026" type="#_x0000_t13" style="position:absolute;margin-left:-5.25pt;margin-top:1.25pt;width:9.5pt;height:9.15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" adj="11198"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-13,89</w:t>
            </w:r>
          </w:p>
        </w:tc>
      </w:tr>
      <w:tr w:rsidR="00286592" w:rsidRPr="00522104" w14:paraId="51E76A73" w14:textId="77777777" w:rsidTr="004B2A92">
        <w:trPr>
          <w:trHeight w:val="300"/>
        </w:trPr>
        <w:tc>
          <w:tcPr>
            <w:tcW w:w="141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B2C6EB8"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2021 год (базовый вариант)</w:t>
            </w:r>
          </w:p>
        </w:tc>
        <w:tc>
          <w:tcPr>
            <w:tcW w:w="1292" w:type="dxa"/>
            <w:tcBorders>
              <w:top w:val="nil"/>
              <w:left w:val="nil"/>
              <w:bottom w:val="single" w:sz="4" w:space="0" w:color="auto"/>
              <w:right w:val="single" w:sz="4" w:space="0" w:color="auto"/>
            </w:tcBorders>
            <w:shd w:val="clear" w:color="auto" w:fill="auto"/>
            <w:vAlign w:val="center"/>
            <w:hideMark/>
          </w:tcPr>
          <w:p w14:paraId="52A0818D"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2020</w:t>
            </w:r>
          </w:p>
        </w:tc>
        <w:tc>
          <w:tcPr>
            <w:tcW w:w="1271" w:type="dxa"/>
            <w:tcBorders>
              <w:top w:val="nil"/>
              <w:left w:val="nil"/>
              <w:bottom w:val="single" w:sz="4" w:space="0" w:color="auto"/>
              <w:right w:val="single" w:sz="4" w:space="0" w:color="auto"/>
            </w:tcBorders>
            <w:shd w:val="clear" w:color="auto" w:fill="auto"/>
            <w:vAlign w:val="center"/>
            <w:hideMark/>
          </w:tcPr>
          <w:p w14:paraId="7296EFF6"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947,41</w:t>
            </w:r>
          </w:p>
        </w:tc>
        <w:tc>
          <w:tcPr>
            <w:tcW w:w="1124" w:type="dxa"/>
            <w:tcBorders>
              <w:top w:val="nil"/>
              <w:left w:val="nil"/>
              <w:bottom w:val="single" w:sz="4" w:space="0" w:color="auto"/>
              <w:right w:val="single" w:sz="4" w:space="0" w:color="auto"/>
            </w:tcBorders>
            <w:shd w:val="clear" w:color="auto" w:fill="auto"/>
            <w:vAlign w:val="center"/>
            <w:hideMark/>
          </w:tcPr>
          <w:p w14:paraId="2380A63B"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103,37</w:t>
            </w:r>
          </w:p>
        </w:tc>
        <w:tc>
          <w:tcPr>
            <w:tcW w:w="979" w:type="dxa"/>
            <w:gridSpan w:val="2"/>
            <w:tcBorders>
              <w:top w:val="nil"/>
              <w:left w:val="nil"/>
              <w:bottom w:val="single" w:sz="4" w:space="0" w:color="auto"/>
              <w:right w:val="single" w:sz="4" w:space="0" w:color="auto"/>
            </w:tcBorders>
            <w:shd w:val="clear" w:color="auto" w:fill="auto"/>
            <w:vAlign w:val="center"/>
            <w:hideMark/>
          </w:tcPr>
          <w:p w14:paraId="1975F4A3"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478,33</w:t>
            </w:r>
          </w:p>
        </w:tc>
        <w:tc>
          <w:tcPr>
            <w:tcW w:w="1182" w:type="dxa"/>
            <w:tcBorders>
              <w:top w:val="nil"/>
              <w:left w:val="nil"/>
              <w:bottom w:val="single" w:sz="4" w:space="0" w:color="auto"/>
              <w:right w:val="single" w:sz="4" w:space="0" w:color="auto"/>
            </w:tcBorders>
            <w:shd w:val="clear" w:color="auto" w:fill="auto"/>
            <w:vAlign w:val="center"/>
            <w:hideMark/>
          </w:tcPr>
          <w:p w14:paraId="5D36C477"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103,31</w:t>
            </w:r>
          </w:p>
        </w:tc>
        <w:tc>
          <w:tcPr>
            <w:tcW w:w="1090" w:type="dxa"/>
            <w:tcBorders>
              <w:top w:val="nil"/>
              <w:left w:val="nil"/>
              <w:bottom w:val="single" w:sz="4" w:space="0" w:color="auto"/>
              <w:right w:val="single" w:sz="4" w:space="0" w:color="auto"/>
            </w:tcBorders>
            <w:shd w:val="clear" w:color="auto" w:fill="auto"/>
            <w:vAlign w:val="center"/>
            <w:hideMark/>
          </w:tcPr>
          <w:p w14:paraId="191BEC5D"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198,59</w:t>
            </w:r>
          </w:p>
        </w:tc>
        <w:tc>
          <w:tcPr>
            <w:tcW w:w="994" w:type="dxa"/>
            <w:tcBorders>
              <w:top w:val="nil"/>
              <w:left w:val="nil"/>
              <w:bottom w:val="single" w:sz="4" w:space="0" w:color="auto"/>
              <w:right w:val="single" w:sz="4" w:space="0" w:color="auto"/>
            </w:tcBorders>
            <w:shd w:val="clear" w:color="auto" w:fill="auto"/>
            <w:vAlign w:val="center"/>
            <w:hideMark/>
          </w:tcPr>
          <w:p w14:paraId="5F476B2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157,54</w:t>
            </w:r>
          </w:p>
        </w:tc>
      </w:tr>
      <w:tr w:rsidR="00286592" w:rsidRPr="00522104" w14:paraId="7E023E5D" w14:textId="77777777" w:rsidTr="004B2A92">
        <w:trPr>
          <w:trHeight w:val="390"/>
        </w:trPr>
        <w:tc>
          <w:tcPr>
            <w:tcW w:w="1413" w:type="dxa"/>
            <w:gridSpan w:val="2"/>
            <w:vMerge/>
            <w:tcBorders>
              <w:top w:val="nil"/>
              <w:left w:val="single" w:sz="4" w:space="0" w:color="auto"/>
              <w:bottom w:val="single" w:sz="4" w:space="0" w:color="auto"/>
              <w:right w:val="single" w:sz="4" w:space="0" w:color="auto"/>
            </w:tcBorders>
            <w:vAlign w:val="center"/>
            <w:hideMark/>
          </w:tcPr>
          <w:p w14:paraId="35EB9418"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299D4026"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оценка в 2021</w:t>
            </w:r>
          </w:p>
        </w:tc>
        <w:tc>
          <w:tcPr>
            <w:tcW w:w="1271" w:type="dxa"/>
            <w:tcBorders>
              <w:top w:val="nil"/>
              <w:left w:val="nil"/>
              <w:bottom w:val="single" w:sz="4" w:space="0" w:color="auto"/>
              <w:right w:val="single" w:sz="4" w:space="0" w:color="auto"/>
            </w:tcBorders>
            <w:shd w:val="clear" w:color="auto" w:fill="auto"/>
            <w:vAlign w:val="center"/>
            <w:hideMark/>
          </w:tcPr>
          <w:p w14:paraId="10B2CD12"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1177,87</w:t>
            </w:r>
          </w:p>
        </w:tc>
        <w:tc>
          <w:tcPr>
            <w:tcW w:w="1124" w:type="dxa"/>
            <w:tcBorders>
              <w:top w:val="nil"/>
              <w:left w:val="nil"/>
              <w:bottom w:val="single" w:sz="4" w:space="0" w:color="auto"/>
              <w:right w:val="single" w:sz="4" w:space="0" w:color="auto"/>
            </w:tcBorders>
            <w:shd w:val="clear" w:color="auto" w:fill="auto"/>
            <w:vAlign w:val="center"/>
            <w:hideMark/>
          </w:tcPr>
          <w:p w14:paraId="3671E82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104,40</w:t>
            </w:r>
          </w:p>
        </w:tc>
        <w:tc>
          <w:tcPr>
            <w:tcW w:w="979" w:type="dxa"/>
            <w:gridSpan w:val="2"/>
            <w:tcBorders>
              <w:top w:val="nil"/>
              <w:left w:val="nil"/>
              <w:bottom w:val="single" w:sz="4" w:space="0" w:color="auto"/>
              <w:right w:val="single" w:sz="4" w:space="0" w:color="auto"/>
            </w:tcBorders>
            <w:shd w:val="clear" w:color="auto" w:fill="auto"/>
            <w:vAlign w:val="center"/>
            <w:hideMark/>
          </w:tcPr>
          <w:p w14:paraId="4AE41E59"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485,20</w:t>
            </w:r>
          </w:p>
        </w:tc>
        <w:tc>
          <w:tcPr>
            <w:tcW w:w="1182" w:type="dxa"/>
            <w:tcBorders>
              <w:top w:val="nil"/>
              <w:left w:val="nil"/>
              <w:bottom w:val="single" w:sz="4" w:space="0" w:color="auto"/>
              <w:right w:val="single" w:sz="4" w:space="0" w:color="auto"/>
            </w:tcBorders>
            <w:shd w:val="clear" w:color="auto" w:fill="auto"/>
            <w:vAlign w:val="center"/>
            <w:hideMark/>
          </w:tcPr>
          <w:p w14:paraId="2C6D11AD"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107,10</w:t>
            </w:r>
          </w:p>
        </w:tc>
        <w:tc>
          <w:tcPr>
            <w:tcW w:w="1090" w:type="dxa"/>
            <w:tcBorders>
              <w:top w:val="nil"/>
              <w:left w:val="nil"/>
              <w:bottom w:val="single" w:sz="4" w:space="0" w:color="auto"/>
              <w:right w:val="single" w:sz="4" w:space="0" w:color="auto"/>
            </w:tcBorders>
            <w:shd w:val="clear" w:color="auto" w:fill="auto"/>
            <w:vAlign w:val="center"/>
            <w:hideMark/>
          </w:tcPr>
          <w:p w14:paraId="6F4BEF6A"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206,73</w:t>
            </w:r>
          </w:p>
        </w:tc>
        <w:tc>
          <w:tcPr>
            <w:tcW w:w="994" w:type="dxa"/>
            <w:tcBorders>
              <w:top w:val="nil"/>
              <w:left w:val="nil"/>
              <w:bottom w:val="single" w:sz="4" w:space="0" w:color="auto"/>
              <w:right w:val="single" w:sz="4" w:space="0" w:color="auto"/>
            </w:tcBorders>
            <w:shd w:val="clear" w:color="auto" w:fill="auto"/>
            <w:vAlign w:val="center"/>
            <w:hideMark/>
          </w:tcPr>
          <w:p w14:paraId="4F2C9FFB"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143,20</w:t>
            </w:r>
          </w:p>
        </w:tc>
      </w:tr>
      <w:tr w:rsidR="00286592" w:rsidRPr="00522104" w14:paraId="00368D2F" w14:textId="77777777" w:rsidTr="004B2A92">
        <w:trPr>
          <w:trHeight w:val="315"/>
        </w:trPr>
        <w:tc>
          <w:tcPr>
            <w:tcW w:w="1413" w:type="dxa"/>
            <w:gridSpan w:val="2"/>
            <w:vMerge/>
            <w:tcBorders>
              <w:top w:val="nil"/>
              <w:left w:val="single" w:sz="4" w:space="0" w:color="auto"/>
              <w:bottom w:val="single" w:sz="4" w:space="0" w:color="auto"/>
              <w:right w:val="single" w:sz="4" w:space="0" w:color="auto"/>
            </w:tcBorders>
            <w:vAlign w:val="center"/>
            <w:hideMark/>
          </w:tcPr>
          <w:p w14:paraId="371F825A"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4ED8873E"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отклонение</w:t>
            </w:r>
          </w:p>
        </w:tc>
        <w:tc>
          <w:tcPr>
            <w:tcW w:w="1271"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3C9397A"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4864" behindDoc="0" locked="0" layoutInCell="1" allowOverlap="1" wp14:anchorId="4D1FD6B6" wp14:editId="597CEAC5">
                      <wp:simplePos x="0" y="0"/>
                      <wp:positionH relativeFrom="column">
                        <wp:posOffset>-58420</wp:posOffset>
                      </wp:positionH>
                      <wp:positionV relativeFrom="paragraph">
                        <wp:posOffset>-28575</wp:posOffset>
                      </wp:positionV>
                      <wp:extent cx="114935" cy="125730"/>
                      <wp:effectExtent l="13653" t="24447" r="32067" b="13018"/>
                      <wp:wrapNone/>
                      <wp:docPr id="19" name="Стрелка вправо 19"/>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CEE0A2A" id="Стрелка вправо 19" o:spid="_x0000_s1026" type="#_x0000_t13" style="position:absolute;margin-left:-4.6pt;margin-top:-2.25pt;width:9.05pt;height:9.9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230,46</w:t>
            </w:r>
          </w:p>
        </w:tc>
        <w:tc>
          <w:tcPr>
            <w:tcW w:w="112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9AEE300"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5888" behindDoc="0" locked="0" layoutInCell="1" allowOverlap="1" wp14:anchorId="28475B90" wp14:editId="54906E8A">
                      <wp:simplePos x="0" y="0"/>
                      <wp:positionH relativeFrom="column">
                        <wp:posOffset>-52705</wp:posOffset>
                      </wp:positionH>
                      <wp:positionV relativeFrom="paragraph">
                        <wp:posOffset>-22225</wp:posOffset>
                      </wp:positionV>
                      <wp:extent cx="114935" cy="125730"/>
                      <wp:effectExtent l="13653" t="24447" r="32067" b="13018"/>
                      <wp:wrapNone/>
                      <wp:docPr id="64" name="Стрелка вправо 64"/>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65BEE19C" id="Стрелка вправо 64" o:spid="_x0000_s1026" type="#_x0000_t13" style="position:absolute;margin-left:-4.15pt;margin-top:-1.75pt;width:9.05pt;height:9.9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KEng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1,03</w:t>
            </w:r>
          </w:p>
        </w:tc>
        <w:tc>
          <w:tcPr>
            <w:tcW w:w="979"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05473D23"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6912" behindDoc="0" locked="0" layoutInCell="1" allowOverlap="1" wp14:anchorId="43ED8C0F" wp14:editId="0B22F2D2">
                      <wp:simplePos x="0" y="0"/>
                      <wp:positionH relativeFrom="column">
                        <wp:posOffset>-71755</wp:posOffset>
                      </wp:positionH>
                      <wp:positionV relativeFrom="paragraph">
                        <wp:posOffset>-27305</wp:posOffset>
                      </wp:positionV>
                      <wp:extent cx="114935" cy="125730"/>
                      <wp:effectExtent l="13653" t="24447" r="32067" b="13018"/>
                      <wp:wrapNone/>
                      <wp:docPr id="1" name="Стрелка вправо 1"/>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6A2B4F1F" id="Стрелка вправо 1" o:spid="_x0000_s1026" type="#_x0000_t13" style="position:absolute;margin-left:-5.65pt;margin-top:-2.15pt;width:9.05pt;height:9.9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6,87</w:t>
            </w:r>
          </w:p>
        </w:tc>
        <w:tc>
          <w:tcPr>
            <w:tcW w:w="1182"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19011BCB"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7936" behindDoc="0" locked="0" layoutInCell="1" allowOverlap="1" wp14:anchorId="56CA0DD2" wp14:editId="20811F96">
                      <wp:simplePos x="0" y="0"/>
                      <wp:positionH relativeFrom="column">
                        <wp:posOffset>-62865</wp:posOffset>
                      </wp:positionH>
                      <wp:positionV relativeFrom="paragraph">
                        <wp:posOffset>-22860</wp:posOffset>
                      </wp:positionV>
                      <wp:extent cx="114935" cy="125730"/>
                      <wp:effectExtent l="13653" t="24447" r="32067" b="13018"/>
                      <wp:wrapNone/>
                      <wp:docPr id="22" name="Стрелка вправо 22"/>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AB06166" id="Стрелка вправо 22" o:spid="_x0000_s1026" type="#_x0000_t13" style="position:absolute;margin-left:-4.95pt;margin-top:-1.8pt;width:9.05pt;height:9.9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dXFng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3,79</w:t>
            </w:r>
          </w:p>
        </w:tc>
        <w:tc>
          <w:tcPr>
            <w:tcW w:w="109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5A93F770"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8960" behindDoc="0" locked="0" layoutInCell="1" allowOverlap="1" wp14:anchorId="14A57F5B" wp14:editId="2C1392F0">
                      <wp:simplePos x="0" y="0"/>
                      <wp:positionH relativeFrom="column">
                        <wp:posOffset>-55245</wp:posOffset>
                      </wp:positionH>
                      <wp:positionV relativeFrom="paragraph">
                        <wp:posOffset>-26670</wp:posOffset>
                      </wp:positionV>
                      <wp:extent cx="114935" cy="125730"/>
                      <wp:effectExtent l="13653" t="24447" r="32067" b="13018"/>
                      <wp:wrapNone/>
                      <wp:docPr id="2" name="Стрелка вправо 2"/>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723ED44" id="Стрелка вправо 2" o:spid="_x0000_s1026" type="#_x0000_t13" style="position:absolute;margin-left:-4.35pt;margin-top:-2.1pt;width:9.05pt;height:9.9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HDqnQIAAAE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8,14</w:t>
            </w:r>
          </w:p>
        </w:tc>
        <w:tc>
          <w:tcPr>
            <w:tcW w:w="99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7988627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2576" behindDoc="0" locked="0" layoutInCell="1" allowOverlap="1" wp14:anchorId="05F8C29B" wp14:editId="334E5760">
                      <wp:simplePos x="0" y="0"/>
                      <wp:positionH relativeFrom="column">
                        <wp:posOffset>-81280</wp:posOffset>
                      </wp:positionH>
                      <wp:positionV relativeFrom="margin">
                        <wp:posOffset>7620</wp:posOffset>
                      </wp:positionV>
                      <wp:extent cx="120650" cy="116205"/>
                      <wp:effectExtent l="21272" t="0" r="33973" b="33972"/>
                      <wp:wrapNone/>
                      <wp:docPr id="65" name="Стрелка вправо 65"/>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D76AB2E" id="Стрелка вправо 65" o:spid="_x0000_s1026" type="#_x0000_t13" style="position:absolute;margin-left:-6.4pt;margin-top:.6pt;width:9.5pt;height:9.1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" adj="11198"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-14,34</w:t>
            </w:r>
          </w:p>
        </w:tc>
      </w:tr>
      <w:tr w:rsidR="00286592" w:rsidRPr="00522104" w14:paraId="3A24D4DE" w14:textId="77777777" w:rsidTr="004B2A92">
        <w:trPr>
          <w:trHeight w:val="300"/>
        </w:trPr>
        <w:tc>
          <w:tcPr>
            <w:tcW w:w="141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7D2F3A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 год (консервативный вариант)</w:t>
            </w:r>
          </w:p>
        </w:tc>
        <w:tc>
          <w:tcPr>
            <w:tcW w:w="1292" w:type="dxa"/>
            <w:tcBorders>
              <w:top w:val="nil"/>
              <w:left w:val="nil"/>
              <w:bottom w:val="single" w:sz="4" w:space="0" w:color="auto"/>
              <w:right w:val="single" w:sz="4" w:space="0" w:color="auto"/>
            </w:tcBorders>
            <w:shd w:val="clear" w:color="auto" w:fill="auto"/>
            <w:vAlign w:val="center"/>
            <w:hideMark/>
          </w:tcPr>
          <w:p w14:paraId="02DA34A0"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2020</w:t>
            </w:r>
          </w:p>
        </w:tc>
        <w:tc>
          <w:tcPr>
            <w:tcW w:w="1271" w:type="dxa"/>
            <w:tcBorders>
              <w:top w:val="nil"/>
              <w:left w:val="nil"/>
              <w:bottom w:val="single" w:sz="4" w:space="0" w:color="auto"/>
              <w:right w:val="single" w:sz="4" w:space="0" w:color="auto"/>
            </w:tcBorders>
            <w:shd w:val="clear" w:color="000000" w:fill="FFFFFF"/>
            <w:vAlign w:val="center"/>
            <w:hideMark/>
          </w:tcPr>
          <w:p w14:paraId="08218FA8"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994,02</w:t>
            </w:r>
          </w:p>
        </w:tc>
        <w:tc>
          <w:tcPr>
            <w:tcW w:w="1124" w:type="dxa"/>
            <w:tcBorders>
              <w:top w:val="nil"/>
              <w:left w:val="nil"/>
              <w:bottom w:val="single" w:sz="4" w:space="0" w:color="auto"/>
              <w:right w:val="single" w:sz="4" w:space="0" w:color="auto"/>
            </w:tcBorders>
            <w:shd w:val="clear" w:color="000000" w:fill="FFFFFF"/>
            <w:vAlign w:val="center"/>
            <w:hideMark/>
          </w:tcPr>
          <w:p w14:paraId="0A90D5FC"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102,01</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716DE69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501,59</w:t>
            </w:r>
          </w:p>
        </w:tc>
        <w:tc>
          <w:tcPr>
            <w:tcW w:w="1182" w:type="dxa"/>
            <w:tcBorders>
              <w:top w:val="nil"/>
              <w:left w:val="nil"/>
              <w:bottom w:val="single" w:sz="4" w:space="0" w:color="auto"/>
              <w:right w:val="single" w:sz="4" w:space="0" w:color="auto"/>
            </w:tcBorders>
            <w:shd w:val="clear" w:color="000000" w:fill="FFFFFF"/>
            <w:vAlign w:val="center"/>
            <w:hideMark/>
          </w:tcPr>
          <w:p w14:paraId="20355AA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101,48</w:t>
            </w:r>
          </w:p>
        </w:tc>
        <w:tc>
          <w:tcPr>
            <w:tcW w:w="1090" w:type="dxa"/>
            <w:tcBorders>
              <w:top w:val="nil"/>
              <w:left w:val="nil"/>
              <w:bottom w:val="single" w:sz="4" w:space="0" w:color="auto"/>
              <w:right w:val="single" w:sz="4" w:space="0" w:color="auto"/>
            </w:tcBorders>
            <w:shd w:val="clear" w:color="000000" w:fill="FFFFFF"/>
            <w:vAlign w:val="center"/>
            <w:hideMark/>
          </w:tcPr>
          <w:p w14:paraId="39E3730A"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215,63</w:t>
            </w:r>
          </w:p>
        </w:tc>
        <w:tc>
          <w:tcPr>
            <w:tcW w:w="994" w:type="dxa"/>
            <w:tcBorders>
              <w:top w:val="nil"/>
              <w:left w:val="nil"/>
              <w:bottom w:val="single" w:sz="4" w:space="0" w:color="auto"/>
              <w:right w:val="single" w:sz="4" w:space="0" w:color="auto"/>
            </w:tcBorders>
            <w:shd w:val="clear" w:color="000000" w:fill="FFFFFF"/>
            <w:vAlign w:val="center"/>
            <w:hideMark/>
          </w:tcPr>
          <w:p w14:paraId="65C10D3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166,47</w:t>
            </w:r>
          </w:p>
        </w:tc>
      </w:tr>
      <w:tr w:rsidR="00286592" w:rsidRPr="00522104" w14:paraId="3F0D6629" w14:textId="77777777" w:rsidTr="004B2A92">
        <w:trPr>
          <w:trHeight w:val="300"/>
        </w:trPr>
        <w:tc>
          <w:tcPr>
            <w:tcW w:w="1413" w:type="dxa"/>
            <w:gridSpan w:val="2"/>
            <w:vMerge/>
            <w:tcBorders>
              <w:top w:val="nil"/>
              <w:left w:val="single" w:sz="4" w:space="0" w:color="auto"/>
              <w:bottom w:val="single" w:sz="4" w:space="0" w:color="auto"/>
              <w:right w:val="single" w:sz="4" w:space="0" w:color="auto"/>
            </w:tcBorders>
            <w:vAlign w:val="center"/>
            <w:hideMark/>
          </w:tcPr>
          <w:p w14:paraId="320712FA"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546FE1DA"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2021</w:t>
            </w:r>
          </w:p>
        </w:tc>
        <w:tc>
          <w:tcPr>
            <w:tcW w:w="1271" w:type="dxa"/>
            <w:tcBorders>
              <w:top w:val="nil"/>
              <w:left w:val="nil"/>
              <w:bottom w:val="single" w:sz="4" w:space="0" w:color="auto"/>
              <w:right w:val="single" w:sz="4" w:space="0" w:color="auto"/>
            </w:tcBorders>
            <w:shd w:val="clear" w:color="000000" w:fill="FFFFFF"/>
            <w:vAlign w:val="center"/>
            <w:hideMark/>
          </w:tcPr>
          <w:p w14:paraId="63384AA6"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1258,20</w:t>
            </w:r>
          </w:p>
        </w:tc>
        <w:tc>
          <w:tcPr>
            <w:tcW w:w="1124" w:type="dxa"/>
            <w:tcBorders>
              <w:top w:val="nil"/>
              <w:left w:val="nil"/>
              <w:bottom w:val="single" w:sz="4" w:space="0" w:color="auto"/>
              <w:right w:val="single" w:sz="4" w:space="0" w:color="auto"/>
            </w:tcBorders>
            <w:shd w:val="clear" w:color="000000" w:fill="FFFFFF"/>
            <w:vAlign w:val="center"/>
            <w:hideMark/>
          </w:tcPr>
          <w:p w14:paraId="0194B613"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102,40</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41199C5E"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518,24</w:t>
            </w:r>
          </w:p>
        </w:tc>
        <w:tc>
          <w:tcPr>
            <w:tcW w:w="1182" w:type="dxa"/>
            <w:tcBorders>
              <w:top w:val="nil"/>
              <w:left w:val="nil"/>
              <w:bottom w:val="single" w:sz="4" w:space="0" w:color="auto"/>
              <w:right w:val="single" w:sz="4" w:space="0" w:color="auto"/>
            </w:tcBorders>
            <w:shd w:val="clear" w:color="000000" w:fill="FFFFFF"/>
            <w:vAlign w:val="center"/>
            <w:hideMark/>
          </w:tcPr>
          <w:p w14:paraId="0E909519"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103,00</w:t>
            </w:r>
          </w:p>
        </w:tc>
        <w:tc>
          <w:tcPr>
            <w:tcW w:w="1090" w:type="dxa"/>
            <w:tcBorders>
              <w:top w:val="nil"/>
              <w:left w:val="nil"/>
              <w:bottom w:val="single" w:sz="4" w:space="0" w:color="auto"/>
              <w:right w:val="single" w:sz="4" w:space="0" w:color="auto"/>
            </w:tcBorders>
            <w:shd w:val="clear" w:color="000000" w:fill="FFFFFF"/>
            <w:vAlign w:val="center"/>
            <w:hideMark/>
          </w:tcPr>
          <w:p w14:paraId="5BB4A1F1"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228,03</w:t>
            </w:r>
          </w:p>
        </w:tc>
        <w:tc>
          <w:tcPr>
            <w:tcW w:w="994" w:type="dxa"/>
            <w:tcBorders>
              <w:top w:val="nil"/>
              <w:left w:val="nil"/>
              <w:bottom w:val="single" w:sz="4" w:space="0" w:color="auto"/>
              <w:right w:val="single" w:sz="4" w:space="0" w:color="auto"/>
            </w:tcBorders>
            <w:shd w:val="clear" w:color="000000" w:fill="FFFFFF"/>
            <w:vAlign w:val="center"/>
            <w:hideMark/>
          </w:tcPr>
          <w:p w14:paraId="3BB58DC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155,18</w:t>
            </w:r>
          </w:p>
        </w:tc>
      </w:tr>
      <w:tr w:rsidR="00286592" w:rsidRPr="00522104" w14:paraId="109D61E9" w14:textId="77777777" w:rsidTr="004B2A92">
        <w:trPr>
          <w:trHeight w:val="270"/>
        </w:trPr>
        <w:tc>
          <w:tcPr>
            <w:tcW w:w="1413" w:type="dxa"/>
            <w:gridSpan w:val="2"/>
            <w:vMerge/>
            <w:tcBorders>
              <w:top w:val="nil"/>
              <w:left w:val="single" w:sz="4" w:space="0" w:color="auto"/>
              <w:bottom w:val="single" w:sz="4" w:space="0" w:color="auto"/>
              <w:right w:val="single" w:sz="4" w:space="0" w:color="auto"/>
            </w:tcBorders>
            <w:vAlign w:val="center"/>
            <w:hideMark/>
          </w:tcPr>
          <w:p w14:paraId="0014FC54"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4020D64B"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отклонение</w:t>
            </w:r>
          </w:p>
        </w:tc>
        <w:tc>
          <w:tcPr>
            <w:tcW w:w="1271"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46C9C26E"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89984" behindDoc="0" locked="0" layoutInCell="1" allowOverlap="1" wp14:anchorId="5F7AD803" wp14:editId="06BDD8A4">
                      <wp:simplePos x="0" y="0"/>
                      <wp:positionH relativeFrom="column">
                        <wp:posOffset>-61595</wp:posOffset>
                      </wp:positionH>
                      <wp:positionV relativeFrom="paragraph">
                        <wp:posOffset>5715</wp:posOffset>
                      </wp:positionV>
                      <wp:extent cx="114935" cy="125730"/>
                      <wp:effectExtent l="13653" t="24447" r="32067" b="13018"/>
                      <wp:wrapNone/>
                      <wp:docPr id="3" name="Стрелка вправо 3"/>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CA4BAFF" id="Стрелка вправо 3" o:spid="_x0000_s1026" type="#_x0000_t13" style="position:absolute;margin-left:-4.85pt;margin-top:.45pt;width:9.05pt;height:9.9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264,18</w:t>
            </w:r>
          </w:p>
        </w:tc>
        <w:tc>
          <w:tcPr>
            <w:tcW w:w="1124" w:type="dxa"/>
            <w:tcBorders>
              <w:top w:val="single" w:sz="4" w:space="0" w:color="auto"/>
              <w:left w:val="single" w:sz="4" w:space="0" w:color="auto"/>
              <w:bottom w:val="single" w:sz="4" w:space="0" w:color="auto"/>
              <w:right w:val="single" w:sz="4" w:space="0" w:color="auto"/>
            </w:tcBorders>
            <w:shd w:val="clear" w:color="000000" w:fill="FFE699"/>
            <w:vAlign w:val="center"/>
            <w:hideMark/>
          </w:tcPr>
          <w:p w14:paraId="4534CC81"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7392" behindDoc="0" locked="0" layoutInCell="1" allowOverlap="1" wp14:anchorId="3C2CAE1F" wp14:editId="1920AAFD">
                      <wp:simplePos x="0" y="0"/>
                      <wp:positionH relativeFrom="column">
                        <wp:posOffset>-57150</wp:posOffset>
                      </wp:positionH>
                      <wp:positionV relativeFrom="paragraph">
                        <wp:posOffset>14605</wp:posOffset>
                      </wp:positionV>
                      <wp:extent cx="114935" cy="123190"/>
                      <wp:effectExtent l="0" t="19050" r="37465" b="29210"/>
                      <wp:wrapNone/>
                      <wp:docPr id="42" name="Стрелка вправо 42"/>
                      <wp:cNvGraphicFramePr/>
                      <a:graphic xmlns:a="http://schemas.openxmlformats.org/drawingml/2006/main">
                        <a:graphicData uri="http://schemas.microsoft.com/office/word/2010/wordprocessingShape">
                          <wps:wsp>
                            <wps:cNvSpPr/>
                            <wps:spPr>
                              <a:xfrm>
                                <a:off x="0" y="0"/>
                                <a:ext cx="114935" cy="12319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7E71C2D" id="Стрелка вправо 42" o:spid="_x0000_s1026" type="#_x0000_t13" style="position:absolute;margin-left:-4.5pt;margin-top:1.15pt;width:9.05pt;height:9.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0,39</w:t>
            </w:r>
          </w:p>
        </w:tc>
        <w:tc>
          <w:tcPr>
            <w:tcW w:w="979"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159642D6"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1008" behindDoc="0" locked="0" layoutInCell="1" allowOverlap="1" wp14:anchorId="154C6994" wp14:editId="2F7B190D">
                      <wp:simplePos x="0" y="0"/>
                      <wp:positionH relativeFrom="column">
                        <wp:posOffset>-72390</wp:posOffset>
                      </wp:positionH>
                      <wp:positionV relativeFrom="paragraph">
                        <wp:posOffset>-17145</wp:posOffset>
                      </wp:positionV>
                      <wp:extent cx="114935" cy="125730"/>
                      <wp:effectExtent l="13653" t="24447" r="32067" b="13018"/>
                      <wp:wrapNone/>
                      <wp:docPr id="4" name="Стрелка вправо 4"/>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66E4F934" id="Стрелка вправо 4" o:spid="_x0000_s1026" type="#_x0000_t13" style="position:absolute;margin-left:-5.7pt;margin-top:-1.35pt;width:9.05pt;height:9.9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iKnQIAAAE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16,65</w:t>
            </w:r>
          </w:p>
        </w:tc>
        <w:tc>
          <w:tcPr>
            <w:tcW w:w="1182"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408EDAA4"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2032" behindDoc="0" locked="0" layoutInCell="1" allowOverlap="1" wp14:anchorId="207CC9BD" wp14:editId="6E540C1C">
                      <wp:simplePos x="0" y="0"/>
                      <wp:positionH relativeFrom="column">
                        <wp:posOffset>-52070</wp:posOffset>
                      </wp:positionH>
                      <wp:positionV relativeFrom="paragraph">
                        <wp:posOffset>-17780</wp:posOffset>
                      </wp:positionV>
                      <wp:extent cx="114935" cy="125730"/>
                      <wp:effectExtent l="13653" t="24447" r="32067" b="13018"/>
                      <wp:wrapNone/>
                      <wp:docPr id="27" name="Стрелка вправо 27"/>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16242D9" id="Стрелка вправо 27" o:spid="_x0000_s1026" type="#_x0000_t13" style="position:absolute;margin-left:-4.1pt;margin-top:-1.4pt;width:9.05pt;height:9.9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1,52</w:t>
            </w:r>
          </w:p>
        </w:tc>
        <w:tc>
          <w:tcPr>
            <w:tcW w:w="109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4366A9AF"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3056" behindDoc="0" locked="0" layoutInCell="1" allowOverlap="1" wp14:anchorId="29616DB5" wp14:editId="19BA8303">
                      <wp:simplePos x="0" y="0"/>
                      <wp:positionH relativeFrom="column">
                        <wp:posOffset>-45085</wp:posOffset>
                      </wp:positionH>
                      <wp:positionV relativeFrom="paragraph">
                        <wp:posOffset>-7620</wp:posOffset>
                      </wp:positionV>
                      <wp:extent cx="114935" cy="125730"/>
                      <wp:effectExtent l="13653" t="24447" r="32067" b="13018"/>
                      <wp:wrapNone/>
                      <wp:docPr id="5" name="Стрелка вправо 5"/>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172E8FF" id="Стрелка вправо 5" o:spid="_x0000_s1026" type="#_x0000_t13" style="position:absolute;margin-left:-3.55pt;margin-top:-.6pt;width:9.05pt;height:9.9pt;rotation:-9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12,40</w:t>
            </w:r>
          </w:p>
        </w:tc>
        <w:tc>
          <w:tcPr>
            <w:tcW w:w="99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54886BD3"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3600" behindDoc="0" locked="0" layoutInCell="1" allowOverlap="1" wp14:anchorId="2340BDCB" wp14:editId="05BDD4F7">
                      <wp:simplePos x="0" y="0"/>
                      <wp:positionH relativeFrom="column">
                        <wp:posOffset>-77470</wp:posOffset>
                      </wp:positionH>
                      <wp:positionV relativeFrom="paragraph">
                        <wp:posOffset>6350</wp:posOffset>
                      </wp:positionV>
                      <wp:extent cx="120650" cy="116205"/>
                      <wp:effectExtent l="21272" t="0" r="33973" b="33972"/>
                      <wp:wrapNone/>
                      <wp:docPr id="66" name="Стрелка вправо 66"/>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FDF5C89" id="Стрелка вправо 66" o:spid="_x0000_s1026" type="#_x0000_t13" style="position:absolute;margin-left:-6.1pt;margin-top:.5pt;width:9.5pt;height:9.1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" adj="11198" filled="f" strokecolor="windowText" strokeweight=".25pt"/>
                  </w:pict>
                </mc:Fallback>
              </mc:AlternateContent>
            </w:r>
            <w:r w:rsidRPr="00522104">
              <w:rPr>
                <w:rFonts w:ascii="Times New Roman" w:eastAsia="Times New Roman" w:hAnsi="Times New Roman" w:cs="Times New Roman"/>
                <w:b/>
                <w:bCs/>
                <w:i/>
                <w:iCs/>
                <w:sz w:val="18"/>
                <w:szCs w:val="18"/>
                <w:lang w:eastAsia="ru-RU"/>
              </w:rPr>
              <w:t>-11,29</w:t>
            </w:r>
          </w:p>
        </w:tc>
      </w:tr>
      <w:tr w:rsidR="00286592" w:rsidRPr="00522104" w14:paraId="042D558E" w14:textId="77777777" w:rsidTr="004B2A92">
        <w:trPr>
          <w:trHeight w:val="300"/>
        </w:trPr>
        <w:tc>
          <w:tcPr>
            <w:tcW w:w="141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0C1DC79"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 год (базовый вариант)</w:t>
            </w:r>
          </w:p>
        </w:tc>
        <w:tc>
          <w:tcPr>
            <w:tcW w:w="1292" w:type="dxa"/>
            <w:tcBorders>
              <w:top w:val="nil"/>
              <w:left w:val="nil"/>
              <w:bottom w:val="single" w:sz="4" w:space="0" w:color="auto"/>
              <w:right w:val="single" w:sz="4" w:space="0" w:color="auto"/>
            </w:tcBorders>
            <w:shd w:val="clear" w:color="auto" w:fill="auto"/>
            <w:vAlign w:val="center"/>
            <w:hideMark/>
          </w:tcPr>
          <w:p w14:paraId="2833C39C"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2020</w:t>
            </w:r>
          </w:p>
        </w:tc>
        <w:tc>
          <w:tcPr>
            <w:tcW w:w="1271" w:type="dxa"/>
            <w:tcBorders>
              <w:top w:val="nil"/>
              <w:left w:val="nil"/>
              <w:bottom w:val="single" w:sz="4" w:space="0" w:color="auto"/>
              <w:right w:val="single" w:sz="4" w:space="0" w:color="auto"/>
            </w:tcBorders>
            <w:shd w:val="clear" w:color="auto" w:fill="auto"/>
            <w:vAlign w:val="center"/>
            <w:hideMark/>
          </w:tcPr>
          <w:p w14:paraId="64E3ED3F"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1016,94</w:t>
            </w:r>
          </w:p>
        </w:tc>
        <w:tc>
          <w:tcPr>
            <w:tcW w:w="1124" w:type="dxa"/>
            <w:tcBorders>
              <w:top w:val="nil"/>
              <w:left w:val="nil"/>
              <w:bottom w:val="single" w:sz="4" w:space="0" w:color="auto"/>
              <w:right w:val="single" w:sz="4" w:space="0" w:color="auto"/>
            </w:tcBorders>
            <w:shd w:val="clear" w:color="auto" w:fill="auto"/>
            <w:vAlign w:val="center"/>
            <w:hideMark/>
          </w:tcPr>
          <w:p w14:paraId="17116A5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103,31</w:t>
            </w:r>
          </w:p>
        </w:tc>
        <w:tc>
          <w:tcPr>
            <w:tcW w:w="979" w:type="dxa"/>
            <w:gridSpan w:val="2"/>
            <w:tcBorders>
              <w:top w:val="nil"/>
              <w:left w:val="nil"/>
              <w:bottom w:val="single" w:sz="4" w:space="0" w:color="auto"/>
              <w:right w:val="single" w:sz="4" w:space="0" w:color="auto"/>
            </w:tcBorders>
            <w:shd w:val="clear" w:color="auto" w:fill="auto"/>
            <w:vAlign w:val="center"/>
            <w:hideMark/>
          </w:tcPr>
          <w:p w14:paraId="122A0CC3"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511,90</w:t>
            </w:r>
          </w:p>
        </w:tc>
        <w:tc>
          <w:tcPr>
            <w:tcW w:w="1182" w:type="dxa"/>
            <w:tcBorders>
              <w:top w:val="nil"/>
              <w:left w:val="nil"/>
              <w:bottom w:val="single" w:sz="4" w:space="0" w:color="auto"/>
              <w:right w:val="single" w:sz="4" w:space="0" w:color="auto"/>
            </w:tcBorders>
            <w:shd w:val="clear" w:color="auto" w:fill="auto"/>
            <w:vAlign w:val="center"/>
            <w:hideMark/>
          </w:tcPr>
          <w:p w14:paraId="7238574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103,50</w:t>
            </w:r>
          </w:p>
        </w:tc>
        <w:tc>
          <w:tcPr>
            <w:tcW w:w="1090" w:type="dxa"/>
            <w:tcBorders>
              <w:top w:val="nil"/>
              <w:left w:val="nil"/>
              <w:bottom w:val="single" w:sz="4" w:space="0" w:color="auto"/>
              <w:right w:val="single" w:sz="4" w:space="0" w:color="auto"/>
            </w:tcBorders>
            <w:shd w:val="clear" w:color="auto" w:fill="auto"/>
            <w:vAlign w:val="center"/>
            <w:hideMark/>
          </w:tcPr>
          <w:p w14:paraId="767A033B"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217,81</w:t>
            </w:r>
          </w:p>
        </w:tc>
        <w:tc>
          <w:tcPr>
            <w:tcW w:w="994" w:type="dxa"/>
            <w:tcBorders>
              <w:top w:val="nil"/>
              <w:left w:val="nil"/>
              <w:bottom w:val="single" w:sz="4" w:space="0" w:color="auto"/>
              <w:right w:val="single" w:sz="4" w:space="0" w:color="auto"/>
            </w:tcBorders>
            <w:shd w:val="clear" w:color="auto" w:fill="auto"/>
            <w:vAlign w:val="center"/>
            <w:hideMark/>
          </w:tcPr>
          <w:p w14:paraId="41DADBC1"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167,45</w:t>
            </w:r>
          </w:p>
        </w:tc>
      </w:tr>
      <w:tr w:rsidR="00286592" w:rsidRPr="00522104" w14:paraId="67EB1DEA" w14:textId="77777777" w:rsidTr="004B2A92">
        <w:trPr>
          <w:trHeight w:val="300"/>
        </w:trPr>
        <w:tc>
          <w:tcPr>
            <w:tcW w:w="1413" w:type="dxa"/>
            <w:gridSpan w:val="2"/>
            <w:vMerge/>
            <w:tcBorders>
              <w:top w:val="nil"/>
              <w:left w:val="single" w:sz="4" w:space="0" w:color="auto"/>
              <w:bottom w:val="single" w:sz="4" w:space="0" w:color="auto"/>
              <w:right w:val="single" w:sz="4" w:space="0" w:color="auto"/>
            </w:tcBorders>
            <w:vAlign w:val="center"/>
            <w:hideMark/>
          </w:tcPr>
          <w:p w14:paraId="5A37E547"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2D63B394"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прогноз в </w:t>
            </w:r>
            <w:r w:rsidRPr="00522104">
              <w:rPr>
                <w:rFonts w:ascii="Times New Roman" w:eastAsia="Times New Roman" w:hAnsi="Times New Roman" w:cs="Times New Roman"/>
                <w:sz w:val="18"/>
                <w:szCs w:val="18"/>
                <w:lang w:eastAsia="ru-RU"/>
              </w:rPr>
              <w:lastRenderedPageBreak/>
              <w:t>2021</w:t>
            </w:r>
          </w:p>
        </w:tc>
        <w:tc>
          <w:tcPr>
            <w:tcW w:w="1271" w:type="dxa"/>
            <w:tcBorders>
              <w:top w:val="nil"/>
              <w:left w:val="nil"/>
              <w:bottom w:val="single" w:sz="4" w:space="0" w:color="auto"/>
              <w:right w:val="single" w:sz="4" w:space="0" w:color="auto"/>
            </w:tcBorders>
            <w:shd w:val="clear" w:color="auto" w:fill="auto"/>
            <w:vAlign w:val="center"/>
            <w:hideMark/>
          </w:tcPr>
          <w:p w14:paraId="64ED05F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lastRenderedPageBreak/>
              <w:t>1279,69</w:t>
            </w:r>
          </w:p>
        </w:tc>
        <w:tc>
          <w:tcPr>
            <w:tcW w:w="1124" w:type="dxa"/>
            <w:tcBorders>
              <w:top w:val="nil"/>
              <w:left w:val="nil"/>
              <w:bottom w:val="single" w:sz="4" w:space="0" w:color="auto"/>
              <w:right w:val="single" w:sz="4" w:space="0" w:color="auto"/>
            </w:tcBorders>
            <w:shd w:val="clear" w:color="auto" w:fill="auto"/>
            <w:vAlign w:val="center"/>
            <w:hideMark/>
          </w:tcPr>
          <w:p w14:paraId="740B90DA"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104,40</w:t>
            </w:r>
          </w:p>
        </w:tc>
        <w:tc>
          <w:tcPr>
            <w:tcW w:w="979" w:type="dxa"/>
            <w:gridSpan w:val="2"/>
            <w:tcBorders>
              <w:top w:val="nil"/>
              <w:left w:val="nil"/>
              <w:bottom w:val="single" w:sz="4" w:space="0" w:color="auto"/>
              <w:right w:val="single" w:sz="4" w:space="0" w:color="auto"/>
            </w:tcBorders>
            <w:shd w:val="clear" w:color="auto" w:fill="auto"/>
            <w:vAlign w:val="center"/>
            <w:hideMark/>
          </w:tcPr>
          <w:p w14:paraId="7AC0E225"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518,75</w:t>
            </w:r>
          </w:p>
        </w:tc>
        <w:tc>
          <w:tcPr>
            <w:tcW w:w="1182" w:type="dxa"/>
            <w:tcBorders>
              <w:top w:val="nil"/>
              <w:left w:val="nil"/>
              <w:bottom w:val="single" w:sz="4" w:space="0" w:color="auto"/>
              <w:right w:val="single" w:sz="4" w:space="0" w:color="auto"/>
            </w:tcBorders>
            <w:shd w:val="clear" w:color="auto" w:fill="auto"/>
            <w:vAlign w:val="center"/>
            <w:hideMark/>
          </w:tcPr>
          <w:p w14:paraId="54B09575"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105,20</w:t>
            </w:r>
          </w:p>
        </w:tc>
        <w:tc>
          <w:tcPr>
            <w:tcW w:w="1090" w:type="dxa"/>
            <w:tcBorders>
              <w:top w:val="nil"/>
              <w:left w:val="nil"/>
              <w:bottom w:val="single" w:sz="4" w:space="0" w:color="auto"/>
              <w:right w:val="single" w:sz="4" w:space="0" w:color="auto"/>
            </w:tcBorders>
            <w:shd w:val="clear" w:color="auto" w:fill="auto"/>
            <w:vAlign w:val="center"/>
            <w:hideMark/>
          </w:tcPr>
          <w:p w14:paraId="156298A0"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229,52</w:t>
            </w:r>
          </w:p>
        </w:tc>
        <w:tc>
          <w:tcPr>
            <w:tcW w:w="994" w:type="dxa"/>
            <w:tcBorders>
              <w:top w:val="nil"/>
              <w:left w:val="nil"/>
              <w:bottom w:val="single" w:sz="4" w:space="0" w:color="auto"/>
              <w:right w:val="single" w:sz="4" w:space="0" w:color="auto"/>
            </w:tcBorders>
            <w:shd w:val="clear" w:color="auto" w:fill="auto"/>
            <w:vAlign w:val="center"/>
            <w:hideMark/>
          </w:tcPr>
          <w:p w14:paraId="0285F3EB"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156,97</w:t>
            </w:r>
          </w:p>
        </w:tc>
      </w:tr>
      <w:tr w:rsidR="00286592" w:rsidRPr="00522104" w14:paraId="1C9E26D0" w14:textId="77777777" w:rsidTr="004B2A92">
        <w:trPr>
          <w:trHeight w:val="300"/>
        </w:trPr>
        <w:tc>
          <w:tcPr>
            <w:tcW w:w="1413" w:type="dxa"/>
            <w:gridSpan w:val="2"/>
            <w:vMerge/>
            <w:tcBorders>
              <w:top w:val="nil"/>
              <w:left w:val="single" w:sz="4" w:space="0" w:color="auto"/>
              <w:bottom w:val="single" w:sz="4" w:space="0" w:color="auto"/>
              <w:right w:val="single" w:sz="4" w:space="0" w:color="auto"/>
            </w:tcBorders>
            <w:vAlign w:val="center"/>
            <w:hideMark/>
          </w:tcPr>
          <w:p w14:paraId="41E785E8"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6A08F556"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отклонение</w:t>
            </w:r>
          </w:p>
        </w:tc>
        <w:tc>
          <w:tcPr>
            <w:tcW w:w="1271"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4B8DF32"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4080" behindDoc="0" locked="0" layoutInCell="1" allowOverlap="1" wp14:anchorId="5E9FAE64" wp14:editId="2EF2280B">
                      <wp:simplePos x="0" y="0"/>
                      <wp:positionH relativeFrom="column">
                        <wp:posOffset>-61595</wp:posOffset>
                      </wp:positionH>
                      <wp:positionV relativeFrom="paragraph">
                        <wp:posOffset>-9525</wp:posOffset>
                      </wp:positionV>
                      <wp:extent cx="114935" cy="125730"/>
                      <wp:effectExtent l="13653" t="24447" r="32067" b="13018"/>
                      <wp:wrapNone/>
                      <wp:docPr id="29" name="Стрелка вправо 29"/>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A489FC1" id="Стрелка вправо 29" o:spid="_x0000_s1026" type="#_x0000_t13" style="position:absolute;margin-left:-4.85pt;margin-top:-.75pt;width:9.05pt;height:9.9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262,75</w:t>
            </w:r>
          </w:p>
        </w:tc>
        <w:tc>
          <w:tcPr>
            <w:tcW w:w="1124"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3578423"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5104" behindDoc="0" locked="0" layoutInCell="1" allowOverlap="1" wp14:anchorId="1AF6EF30" wp14:editId="0E42B8F7">
                      <wp:simplePos x="0" y="0"/>
                      <wp:positionH relativeFrom="column">
                        <wp:posOffset>-56515</wp:posOffset>
                      </wp:positionH>
                      <wp:positionV relativeFrom="paragraph">
                        <wp:posOffset>-10795</wp:posOffset>
                      </wp:positionV>
                      <wp:extent cx="114935" cy="125730"/>
                      <wp:effectExtent l="13653" t="24447" r="32067" b="13018"/>
                      <wp:wrapNone/>
                      <wp:docPr id="30" name="Стрелка вправо 30"/>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41EA8DC" id="Стрелка вправо 30" o:spid="_x0000_s1026" type="#_x0000_t13" style="position:absolute;margin-left:-4.45pt;margin-top:-.85pt;width:9.05pt;height:9.9pt;rotation:-9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dZbnA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1,09</w:t>
            </w:r>
          </w:p>
        </w:tc>
        <w:tc>
          <w:tcPr>
            <w:tcW w:w="979"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F75200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6128" behindDoc="0" locked="0" layoutInCell="1" allowOverlap="1" wp14:anchorId="30BE9BDF" wp14:editId="1B6E8012">
                      <wp:simplePos x="0" y="0"/>
                      <wp:positionH relativeFrom="column">
                        <wp:posOffset>-51435</wp:posOffset>
                      </wp:positionH>
                      <wp:positionV relativeFrom="paragraph">
                        <wp:posOffset>-15240</wp:posOffset>
                      </wp:positionV>
                      <wp:extent cx="114935" cy="125730"/>
                      <wp:effectExtent l="13653" t="24447" r="32067" b="13018"/>
                      <wp:wrapNone/>
                      <wp:docPr id="6" name="Стрелка вправо 6"/>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6302FA0F" id="Стрелка вправо 6" o:spid="_x0000_s1026" type="#_x0000_t13" style="position:absolute;margin-left:-4.05pt;margin-top:-1.2pt;width:9.05pt;height:9.9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6,85</w:t>
            </w:r>
          </w:p>
        </w:tc>
        <w:tc>
          <w:tcPr>
            <w:tcW w:w="1182"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4B5AD3B5"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7152" behindDoc="0" locked="0" layoutInCell="1" allowOverlap="1" wp14:anchorId="79340602" wp14:editId="5BD761E7">
                      <wp:simplePos x="0" y="0"/>
                      <wp:positionH relativeFrom="column">
                        <wp:posOffset>-55245</wp:posOffset>
                      </wp:positionH>
                      <wp:positionV relativeFrom="margin">
                        <wp:posOffset>-10795</wp:posOffset>
                      </wp:positionV>
                      <wp:extent cx="114935" cy="125730"/>
                      <wp:effectExtent l="13653" t="24447" r="32067" b="13018"/>
                      <wp:wrapNone/>
                      <wp:docPr id="32" name="Стрелка вправо 32"/>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C3CC832" id="Стрелка вправо 32" o:spid="_x0000_s1026" type="#_x0000_t13" style="position:absolute;margin-left:-4.35pt;margin-top:-.85pt;width:9.05pt;height:9.9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9NHnQ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" adj="10800"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1,70</w:t>
            </w:r>
          </w:p>
        </w:tc>
        <w:tc>
          <w:tcPr>
            <w:tcW w:w="109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678A9E2"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8176" behindDoc="0" locked="0" layoutInCell="1" allowOverlap="1" wp14:anchorId="70D3B966" wp14:editId="057C8022">
                      <wp:simplePos x="0" y="0"/>
                      <wp:positionH relativeFrom="column">
                        <wp:posOffset>-55880</wp:posOffset>
                      </wp:positionH>
                      <wp:positionV relativeFrom="paragraph">
                        <wp:posOffset>-4445</wp:posOffset>
                      </wp:positionV>
                      <wp:extent cx="114935" cy="125730"/>
                      <wp:effectExtent l="13653" t="24447" r="32067" b="13018"/>
                      <wp:wrapNone/>
                      <wp:docPr id="33" name="Стрелка вправо 33"/>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3E24643" id="Стрелка вправо 33" o:spid="_x0000_s1026" type="#_x0000_t13" style="position:absolute;margin-left:-4.4pt;margin-top:-.35pt;width:9.05pt;height:9.9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11,71</w:t>
            </w:r>
          </w:p>
        </w:tc>
        <w:tc>
          <w:tcPr>
            <w:tcW w:w="99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0E1A28D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4624" behindDoc="0" locked="0" layoutInCell="1" allowOverlap="1" wp14:anchorId="144C586B" wp14:editId="4FE8BFF6">
                      <wp:simplePos x="0" y="0"/>
                      <wp:positionH relativeFrom="column">
                        <wp:posOffset>-73660</wp:posOffset>
                      </wp:positionH>
                      <wp:positionV relativeFrom="paragraph">
                        <wp:posOffset>22225</wp:posOffset>
                      </wp:positionV>
                      <wp:extent cx="120650" cy="116205"/>
                      <wp:effectExtent l="21272" t="0" r="33973" b="33972"/>
                      <wp:wrapNone/>
                      <wp:docPr id="67" name="Стрелка вправо 67"/>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FB72D0D" id="Стрелка вправо 67" o:spid="_x0000_s1026" type="#_x0000_t13" style="position:absolute;margin-left:-5.8pt;margin-top:1.75pt;width:9.5pt;height:9.1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" adj="11198" filled="f" strokecolor="windowText" strokeweight=".25pt"/>
                  </w:pict>
                </mc:Fallback>
              </mc:AlternateContent>
            </w:r>
            <w:r w:rsidRPr="00522104">
              <w:rPr>
                <w:rFonts w:ascii="Times New Roman" w:eastAsia="Times New Roman" w:hAnsi="Times New Roman" w:cs="Times New Roman"/>
                <w:b/>
                <w:bCs/>
                <w:i/>
                <w:iCs/>
                <w:sz w:val="18"/>
                <w:szCs w:val="18"/>
                <w:lang w:eastAsia="ru-RU"/>
              </w:rPr>
              <w:t>-10,48</w:t>
            </w:r>
          </w:p>
        </w:tc>
      </w:tr>
      <w:tr w:rsidR="00286592" w:rsidRPr="00522104" w14:paraId="03E6DDF9" w14:textId="77777777" w:rsidTr="004B2A92">
        <w:trPr>
          <w:trHeight w:val="300"/>
        </w:trPr>
        <w:tc>
          <w:tcPr>
            <w:tcW w:w="141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A43B773"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2023 год (консервативный вариант)</w:t>
            </w:r>
          </w:p>
        </w:tc>
        <w:tc>
          <w:tcPr>
            <w:tcW w:w="1292" w:type="dxa"/>
            <w:tcBorders>
              <w:top w:val="nil"/>
              <w:left w:val="nil"/>
              <w:bottom w:val="single" w:sz="4" w:space="0" w:color="auto"/>
              <w:right w:val="single" w:sz="4" w:space="0" w:color="auto"/>
            </w:tcBorders>
            <w:shd w:val="clear" w:color="auto" w:fill="auto"/>
            <w:vAlign w:val="center"/>
            <w:hideMark/>
          </w:tcPr>
          <w:p w14:paraId="12E1B855"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2020</w:t>
            </w:r>
          </w:p>
        </w:tc>
        <w:tc>
          <w:tcPr>
            <w:tcW w:w="1271" w:type="dxa"/>
            <w:tcBorders>
              <w:top w:val="nil"/>
              <w:left w:val="nil"/>
              <w:bottom w:val="single" w:sz="4" w:space="0" w:color="auto"/>
              <w:right w:val="single" w:sz="4" w:space="0" w:color="auto"/>
            </w:tcBorders>
            <w:shd w:val="clear" w:color="000000" w:fill="FFFFFF"/>
            <w:vAlign w:val="center"/>
            <w:hideMark/>
          </w:tcPr>
          <w:p w14:paraId="78694A99"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1059,41</w:t>
            </w:r>
          </w:p>
        </w:tc>
        <w:tc>
          <w:tcPr>
            <w:tcW w:w="1124" w:type="dxa"/>
            <w:tcBorders>
              <w:top w:val="nil"/>
              <w:left w:val="nil"/>
              <w:bottom w:val="single" w:sz="4" w:space="0" w:color="auto"/>
              <w:right w:val="single" w:sz="4" w:space="0" w:color="auto"/>
            </w:tcBorders>
            <w:shd w:val="clear" w:color="000000" w:fill="FFFFFF"/>
            <w:vAlign w:val="center"/>
            <w:hideMark/>
          </w:tcPr>
          <w:p w14:paraId="7A5FD8D9"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102,38</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4A0EF40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534,71</w:t>
            </w:r>
          </w:p>
        </w:tc>
        <w:tc>
          <w:tcPr>
            <w:tcW w:w="1182" w:type="dxa"/>
            <w:tcBorders>
              <w:top w:val="nil"/>
              <w:left w:val="nil"/>
              <w:bottom w:val="single" w:sz="4" w:space="0" w:color="auto"/>
              <w:right w:val="single" w:sz="4" w:space="0" w:color="auto"/>
            </w:tcBorders>
            <w:shd w:val="clear" w:color="000000" w:fill="FFFFFF"/>
            <w:vAlign w:val="center"/>
            <w:hideMark/>
          </w:tcPr>
          <w:p w14:paraId="3AB52389"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101,91</w:t>
            </w:r>
          </w:p>
        </w:tc>
        <w:tc>
          <w:tcPr>
            <w:tcW w:w="1090" w:type="dxa"/>
            <w:tcBorders>
              <w:top w:val="nil"/>
              <w:left w:val="nil"/>
              <w:bottom w:val="single" w:sz="4" w:space="0" w:color="auto"/>
              <w:right w:val="single" w:sz="4" w:space="0" w:color="auto"/>
            </w:tcBorders>
            <w:shd w:val="clear" w:color="000000" w:fill="FFFFFF"/>
            <w:vAlign w:val="center"/>
            <w:hideMark/>
          </w:tcPr>
          <w:p w14:paraId="52211AEE"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239,70</w:t>
            </w:r>
          </w:p>
        </w:tc>
        <w:tc>
          <w:tcPr>
            <w:tcW w:w="994" w:type="dxa"/>
            <w:tcBorders>
              <w:top w:val="nil"/>
              <w:left w:val="nil"/>
              <w:bottom w:val="single" w:sz="4" w:space="0" w:color="auto"/>
              <w:right w:val="single" w:sz="4" w:space="0" w:color="auto"/>
            </w:tcBorders>
            <w:shd w:val="clear" w:color="000000" w:fill="FFFFFF"/>
            <w:vAlign w:val="center"/>
            <w:hideMark/>
          </w:tcPr>
          <w:p w14:paraId="5B130655"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176,93</w:t>
            </w:r>
          </w:p>
        </w:tc>
      </w:tr>
      <w:tr w:rsidR="00286592" w:rsidRPr="00522104" w14:paraId="44D9CEBC" w14:textId="77777777" w:rsidTr="004B2A92">
        <w:trPr>
          <w:trHeight w:val="300"/>
        </w:trPr>
        <w:tc>
          <w:tcPr>
            <w:tcW w:w="1413" w:type="dxa"/>
            <w:gridSpan w:val="2"/>
            <w:vMerge/>
            <w:tcBorders>
              <w:top w:val="nil"/>
              <w:left w:val="single" w:sz="4" w:space="0" w:color="auto"/>
              <w:bottom w:val="single" w:sz="4" w:space="0" w:color="auto"/>
              <w:right w:val="single" w:sz="4" w:space="0" w:color="auto"/>
            </w:tcBorders>
            <w:vAlign w:val="center"/>
            <w:hideMark/>
          </w:tcPr>
          <w:p w14:paraId="4ADE4CEF"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4D3A3E7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2021</w:t>
            </w:r>
          </w:p>
        </w:tc>
        <w:tc>
          <w:tcPr>
            <w:tcW w:w="1271" w:type="dxa"/>
            <w:tcBorders>
              <w:top w:val="nil"/>
              <w:left w:val="nil"/>
              <w:bottom w:val="single" w:sz="4" w:space="0" w:color="auto"/>
              <w:right w:val="single" w:sz="4" w:space="0" w:color="auto"/>
            </w:tcBorders>
            <w:shd w:val="clear" w:color="000000" w:fill="FFFFFF"/>
            <w:vAlign w:val="center"/>
            <w:hideMark/>
          </w:tcPr>
          <w:p w14:paraId="4E7C678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1342,86</w:t>
            </w:r>
          </w:p>
        </w:tc>
        <w:tc>
          <w:tcPr>
            <w:tcW w:w="1124" w:type="dxa"/>
            <w:tcBorders>
              <w:top w:val="nil"/>
              <w:left w:val="nil"/>
              <w:bottom w:val="single" w:sz="4" w:space="0" w:color="auto"/>
              <w:right w:val="single" w:sz="4" w:space="0" w:color="auto"/>
            </w:tcBorders>
            <w:shd w:val="clear" w:color="000000" w:fill="FFFFFF"/>
            <w:vAlign w:val="center"/>
            <w:hideMark/>
          </w:tcPr>
          <w:p w14:paraId="159C7445"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102,50</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2E2546D2"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551,92</w:t>
            </w:r>
          </w:p>
        </w:tc>
        <w:tc>
          <w:tcPr>
            <w:tcW w:w="1182" w:type="dxa"/>
            <w:tcBorders>
              <w:top w:val="nil"/>
              <w:left w:val="nil"/>
              <w:bottom w:val="single" w:sz="4" w:space="0" w:color="auto"/>
              <w:right w:val="single" w:sz="4" w:space="0" w:color="auto"/>
            </w:tcBorders>
            <w:shd w:val="clear" w:color="000000" w:fill="FFFFFF"/>
            <w:vAlign w:val="center"/>
            <w:hideMark/>
          </w:tcPr>
          <w:p w14:paraId="671AB244"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103,60</w:t>
            </w:r>
          </w:p>
        </w:tc>
        <w:tc>
          <w:tcPr>
            <w:tcW w:w="1090" w:type="dxa"/>
            <w:tcBorders>
              <w:top w:val="nil"/>
              <w:left w:val="nil"/>
              <w:bottom w:val="single" w:sz="4" w:space="0" w:color="auto"/>
              <w:right w:val="single" w:sz="4" w:space="0" w:color="auto"/>
            </w:tcBorders>
            <w:shd w:val="clear" w:color="000000" w:fill="FFFFFF"/>
            <w:vAlign w:val="center"/>
            <w:hideMark/>
          </w:tcPr>
          <w:p w14:paraId="0635BB9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253,68</w:t>
            </w:r>
          </w:p>
        </w:tc>
        <w:tc>
          <w:tcPr>
            <w:tcW w:w="994" w:type="dxa"/>
            <w:tcBorders>
              <w:top w:val="nil"/>
              <w:left w:val="nil"/>
              <w:bottom w:val="single" w:sz="4" w:space="0" w:color="auto"/>
              <w:right w:val="single" w:sz="4" w:space="0" w:color="auto"/>
            </w:tcBorders>
            <w:shd w:val="clear" w:color="000000" w:fill="FFFFFF"/>
            <w:vAlign w:val="center"/>
            <w:hideMark/>
          </w:tcPr>
          <w:p w14:paraId="566A3E03"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168,48</w:t>
            </w:r>
          </w:p>
        </w:tc>
      </w:tr>
      <w:tr w:rsidR="00286592" w:rsidRPr="00522104" w14:paraId="61FE7C33" w14:textId="77777777" w:rsidTr="004B2A92">
        <w:trPr>
          <w:trHeight w:val="260"/>
        </w:trPr>
        <w:tc>
          <w:tcPr>
            <w:tcW w:w="1413" w:type="dxa"/>
            <w:gridSpan w:val="2"/>
            <w:vMerge/>
            <w:tcBorders>
              <w:top w:val="nil"/>
              <w:left w:val="single" w:sz="4" w:space="0" w:color="auto"/>
              <w:bottom w:val="single" w:sz="4" w:space="0" w:color="auto"/>
              <w:right w:val="single" w:sz="4" w:space="0" w:color="auto"/>
            </w:tcBorders>
            <w:vAlign w:val="center"/>
            <w:hideMark/>
          </w:tcPr>
          <w:p w14:paraId="72DCCD5F"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1BBFB5DE"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отклонение</w:t>
            </w:r>
          </w:p>
        </w:tc>
        <w:tc>
          <w:tcPr>
            <w:tcW w:w="1271"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24B0BEF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99200" behindDoc="0" locked="0" layoutInCell="1" allowOverlap="1" wp14:anchorId="2F1917F6" wp14:editId="70B8F8CE">
                      <wp:simplePos x="0" y="0"/>
                      <wp:positionH relativeFrom="column">
                        <wp:posOffset>-59055</wp:posOffset>
                      </wp:positionH>
                      <wp:positionV relativeFrom="paragraph">
                        <wp:posOffset>-635</wp:posOffset>
                      </wp:positionV>
                      <wp:extent cx="114935" cy="125730"/>
                      <wp:effectExtent l="13653" t="24447" r="32067" b="13018"/>
                      <wp:wrapNone/>
                      <wp:docPr id="34" name="Стрелка вправо 34"/>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721686A" id="Стрелка вправо 34" o:spid="_x0000_s1026" type="#_x0000_t13" style="position:absolute;margin-left:-4.65pt;margin-top:-.05pt;width:9.05pt;height:9.9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xjnQ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283,45</w:t>
            </w:r>
          </w:p>
        </w:tc>
        <w:tc>
          <w:tcPr>
            <w:tcW w:w="1124" w:type="dxa"/>
            <w:tcBorders>
              <w:top w:val="single" w:sz="4" w:space="0" w:color="auto"/>
              <w:left w:val="single" w:sz="4" w:space="0" w:color="auto"/>
              <w:bottom w:val="single" w:sz="4" w:space="0" w:color="auto"/>
              <w:right w:val="single" w:sz="4" w:space="0" w:color="auto"/>
            </w:tcBorders>
            <w:shd w:val="clear" w:color="000000" w:fill="FFE699"/>
            <w:vAlign w:val="center"/>
            <w:hideMark/>
          </w:tcPr>
          <w:p w14:paraId="2B9B0836"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8416" behindDoc="0" locked="0" layoutInCell="1" allowOverlap="1" wp14:anchorId="032DD8C5" wp14:editId="10E1C0A1">
                      <wp:simplePos x="0" y="0"/>
                      <wp:positionH relativeFrom="column">
                        <wp:posOffset>-61595</wp:posOffset>
                      </wp:positionH>
                      <wp:positionV relativeFrom="paragraph">
                        <wp:posOffset>21590</wp:posOffset>
                      </wp:positionV>
                      <wp:extent cx="114935" cy="123190"/>
                      <wp:effectExtent l="0" t="19050" r="37465" b="29210"/>
                      <wp:wrapNone/>
                      <wp:docPr id="43" name="Стрелка вправо 43"/>
                      <wp:cNvGraphicFramePr/>
                      <a:graphic xmlns:a="http://schemas.openxmlformats.org/drawingml/2006/main">
                        <a:graphicData uri="http://schemas.microsoft.com/office/word/2010/wordprocessingShape">
                          <wps:wsp>
                            <wps:cNvSpPr/>
                            <wps:spPr>
                              <a:xfrm>
                                <a:off x="0" y="0"/>
                                <a:ext cx="114935" cy="12319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D51E753" id="Стрелка вправо 43" o:spid="_x0000_s1026" type="#_x0000_t13" style="position:absolute;margin-left:-4.85pt;margin-top:1.7pt;width:9.05pt;height:9.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0,12</w:t>
            </w:r>
          </w:p>
        </w:tc>
        <w:tc>
          <w:tcPr>
            <w:tcW w:w="979"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596CA7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0224" behindDoc="0" locked="0" layoutInCell="1" allowOverlap="1" wp14:anchorId="3FA7A9C5" wp14:editId="1E28CDC6">
                      <wp:simplePos x="0" y="0"/>
                      <wp:positionH relativeFrom="column">
                        <wp:posOffset>-63500</wp:posOffset>
                      </wp:positionH>
                      <wp:positionV relativeFrom="paragraph">
                        <wp:posOffset>-15240</wp:posOffset>
                      </wp:positionV>
                      <wp:extent cx="100965" cy="125730"/>
                      <wp:effectExtent l="44768" t="12382" r="39052" b="20003"/>
                      <wp:wrapNone/>
                      <wp:docPr id="7" name="Стрелка вправо 7"/>
                      <wp:cNvGraphicFramePr/>
                      <a:graphic xmlns:a="http://schemas.openxmlformats.org/drawingml/2006/main">
                        <a:graphicData uri="http://schemas.microsoft.com/office/word/2010/wordprocessingShape">
                          <wps:wsp>
                            <wps:cNvSpPr/>
                            <wps:spPr>
                              <a:xfrm rot="16200000">
                                <a:off x="0" y="0"/>
                                <a:ext cx="101489"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235FCB5" id="Стрелка вправо 7" o:spid="_x0000_s1026" type="#_x0000_t13" style="position:absolute;margin-left:-5pt;margin-top:-1.2pt;width:7.95pt;height:9.9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17,21</w:t>
            </w:r>
          </w:p>
        </w:tc>
        <w:tc>
          <w:tcPr>
            <w:tcW w:w="1182"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34E2490B"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1248" behindDoc="0" locked="0" layoutInCell="1" allowOverlap="1" wp14:anchorId="1E6AEB4A" wp14:editId="06D13EDE">
                      <wp:simplePos x="0" y="0"/>
                      <wp:positionH relativeFrom="column">
                        <wp:posOffset>-57785</wp:posOffset>
                      </wp:positionH>
                      <wp:positionV relativeFrom="paragraph">
                        <wp:posOffset>-11430</wp:posOffset>
                      </wp:positionV>
                      <wp:extent cx="114935" cy="125730"/>
                      <wp:effectExtent l="13653" t="24447" r="32067" b="13018"/>
                      <wp:wrapNone/>
                      <wp:docPr id="36" name="Стрелка вправо 36"/>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609E1945" id="Стрелка вправо 36" o:spid="_x0000_s1026" type="#_x0000_t13" style="position:absolute;margin-left:-4.55pt;margin-top:-.9pt;width:9.05pt;height:9.9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tl/nQ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1,69</w:t>
            </w:r>
          </w:p>
        </w:tc>
        <w:tc>
          <w:tcPr>
            <w:tcW w:w="109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6818F0C1"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2272" behindDoc="0" locked="0" layoutInCell="1" allowOverlap="1" wp14:anchorId="24657AFB" wp14:editId="642BA8BA">
                      <wp:simplePos x="0" y="0"/>
                      <wp:positionH relativeFrom="column">
                        <wp:posOffset>-57785</wp:posOffset>
                      </wp:positionH>
                      <wp:positionV relativeFrom="paragraph">
                        <wp:posOffset>-12700</wp:posOffset>
                      </wp:positionV>
                      <wp:extent cx="114935" cy="125730"/>
                      <wp:effectExtent l="13653" t="24447" r="32067" b="13018"/>
                      <wp:wrapNone/>
                      <wp:docPr id="8" name="Стрелка вправо 8"/>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553F16E" id="Стрелка вправо 8" o:spid="_x0000_s1026" type="#_x0000_t13" style="position:absolute;margin-left:-4.55pt;margin-top:-1pt;width:9.05pt;height:9.9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" adj="10800" filled="f" strokecolor="windowText" strokeweight=".25pt"/>
                  </w:pict>
                </mc:Fallback>
              </mc:AlternateContent>
            </w:r>
            <w:r w:rsidRPr="00522104">
              <w:rPr>
                <w:rFonts w:ascii="Times New Roman" w:eastAsia="Times New Roman" w:hAnsi="Times New Roman" w:cs="Times New Roman"/>
                <w:b/>
                <w:bCs/>
                <w:i/>
                <w:iCs/>
                <w:sz w:val="18"/>
                <w:szCs w:val="18"/>
                <w:lang w:eastAsia="ru-RU"/>
              </w:rPr>
              <w:t>13,98</w:t>
            </w:r>
          </w:p>
        </w:tc>
        <w:tc>
          <w:tcPr>
            <w:tcW w:w="99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1FD8FA13"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5648" behindDoc="0" locked="0" layoutInCell="1" allowOverlap="1" wp14:anchorId="79F4D496" wp14:editId="408C89B6">
                      <wp:simplePos x="0" y="0"/>
                      <wp:positionH relativeFrom="column">
                        <wp:posOffset>-67945</wp:posOffset>
                      </wp:positionH>
                      <wp:positionV relativeFrom="paragraph">
                        <wp:posOffset>10795</wp:posOffset>
                      </wp:positionV>
                      <wp:extent cx="120650" cy="116205"/>
                      <wp:effectExtent l="21272" t="0" r="33973" b="33972"/>
                      <wp:wrapNone/>
                      <wp:docPr id="10" name="Стрелка вправо 10"/>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3EE7062" id="Стрелка вправо 10" o:spid="_x0000_s1026" type="#_x0000_t13" style="position:absolute;margin-left:-5.35pt;margin-top:.85pt;width:9.5pt;height:9.1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" adj="11198" filled="f" strokecolor="windowText" strokeweight=".25pt"/>
                  </w:pict>
                </mc:Fallback>
              </mc:AlternateContent>
            </w:r>
            <w:r w:rsidRPr="00522104">
              <w:rPr>
                <w:rFonts w:ascii="Times New Roman" w:eastAsia="Times New Roman" w:hAnsi="Times New Roman" w:cs="Times New Roman"/>
                <w:b/>
                <w:bCs/>
                <w:i/>
                <w:iCs/>
                <w:sz w:val="18"/>
                <w:szCs w:val="18"/>
                <w:lang w:eastAsia="ru-RU"/>
              </w:rPr>
              <w:t>-8,45</w:t>
            </w:r>
          </w:p>
        </w:tc>
      </w:tr>
      <w:tr w:rsidR="00286592" w:rsidRPr="00522104" w14:paraId="47555625" w14:textId="77777777" w:rsidTr="004B2A92">
        <w:trPr>
          <w:trHeight w:val="300"/>
        </w:trPr>
        <w:tc>
          <w:tcPr>
            <w:tcW w:w="141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AEF8D6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2023 год (базовый вариант)</w:t>
            </w:r>
          </w:p>
        </w:tc>
        <w:tc>
          <w:tcPr>
            <w:tcW w:w="1292" w:type="dxa"/>
            <w:tcBorders>
              <w:top w:val="nil"/>
              <w:left w:val="nil"/>
              <w:bottom w:val="single" w:sz="4" w:space="0" w:color="auto"/>
              <w:right w:val="single" w:sz="4" w:space="0" w:color="auto"/>
            </w:tcBorders>
            <w:shd w:val="clear" w:color="auto" w:fill="auto"/>
            <w:vAlign w:val="center"/>
            <w:hideMark/>
          </w:tcPr>
          <w:p w14:paraId="5311E484"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2020</w:t>
            </w:r>
          </w:p>
        </w:tc>
        <w:tc>
          <w:tcPr>
            <w:tcW w:w="1271" w:type="dxa"/>
            <w:tcBorders>
              <w:top w:val="nil"/>
              <w:left w:val="nil"/>
              <w:bottom w:val="single" w:sz="4" w:space="0" w:color="auto"/>
              <w:right w:val="single" w:sz="4" w:space="0" w:color="auto"/>
            </w:tcBorders>
            <w:shd w:val="clear" w:color="000000" w:fill="FFFFFF"/>
            <w:vAlign w:val="center"/>
            <w:hideMark/>
          </w:tcPr>
          <w:p w14:paraId="70788C45"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1095,55</w:t>
            </w:r>
          </w:p>
        </w:tc>
        <w:tc>
          <w:tcPr>
            <w:tcW w:w="1124" w:type="dxa"/>
            <w:tcBorders>
              <w:top w:val="nil"/>
              <w:left w:val="nil"/>
              <w:bottom w:val="single" w:sz="4" w:space="0" w:color="auto"/>
              <w:right w:val="single" w:sz="4" w:space="0" w:color="auto"/>
            </w:tcBorders>
            <w:shd w:val="clear" w:color="000000" w:fill="FFFFFF"/>
            <w:vAlign w:val="center"/>
            <w:hideMark/>
          </w:tcPr>
          <w:p w14:paraId="5BAA179E"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103,74</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2758FF9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548,36</w:t>
            </w:r>
          </w:p>
        </w:tc>
        <w:tc>
          <w:tcPr>
            <w:tcW w:w="1182" w:type="dxa"/>
            <w:tcBorders>
              <w:top w:val="nil"/>
              <w:left w:val="nil"/>
              <w:bottom w:val="single" w:sz="4" w:space="0" w:color="auto"/>
              <w:right w:val="single" w:sz="4" w:space="0" w:color="auto"/>
            </w:tcBorders>
            <w:shd w:val="clear" w:color="auto" w:fill="auto"/>
            <w:vAlign w:val="center"/>
            <w:hideMark/>
          </w:tcPr>
          <w:p w14:paraId="1C52DD24"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104,00</w:t>
            </w:r>
          </w:p>
        </w:tc>
        <w:tc>
          <w:tcPr>
            <w:tcW w:w="1090" w:type="dxa"/>
            <w:tcBorders>
              <w:top w:val="nil"/>
              <w:left w:val="nil"/>
              <w:bottom w:val="single" w:sz="4" w:space="0" w:color="auto"/>
              <w:right w:val="single" w:sz="4" w:space="0" w:color="auto"/>
            </w:tcBorders>
            <w:shd w:val="clear" w:color="auto" w:fill="auto"/>
            <w:vAlign w:val="center"/>
            <w:hideMark/>
          </w:tcPr>
          <w:p w14:paraId="31FA5CE9"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240,66</w:t>
            </w:r>
          </w:p>
        </w:tc>
        <w:tc>
          <w:tcPr>
            <w:tcW w:w="994" w:type="dxa"/>
            <w:tcBorders>
              <w:top w:val="nil"/>
              <w:left w:val="nil"/>
              <w:bottom w:val="single" w:sz="4" w:space="0" w:color="auto"/>
              <w:right w:val="single" w:sz="4" w:space="0" w:color="auto"/>
            </w:tcBorders>
            <w:shd w:val="clear" w:color="auto" w:fill="auto"/>
            <w:vAlign w:val="center"/>
            <w:hideMark/>
          </w:tcPr>
          <w:p w14:paraId="6CCB1E46"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178,50</w:t>
            </w:r>
          </w:p>
        </w:tc>
      </w:tr>
      <w:tr w:rsidR="00286592" w:rsidRPr="00522104" w14:paraId="2B3F4B01" w14:textId="77777777" w:rsidTr="004B2A92">
        <w:trPr>
          <w:trHeight w:val="300"/>
        </w:trPr>
        <w:tc>
          <w:tcPr>
            <w:tcW w:w="1413" w:type="dxa"/>
            <w:gridSpan w:val="2"/>
            <w:vMerge/>
            <w:tcBorders>
              <w:top w:val="nil"/>
              <w:left w:val="single" w:sz="4" w:space="0" w:color="auto"/>
              <w:bottom w:val="single" w:sz="4" w:space="0" w:color="auto"/>
              <w:right w:val="single" w:sz="4" w:space="0" w:color="auto"/>
            </w:tcBorders>
            <w:vAlign w:val="center"/>
            <w:hideMark/>
          </w:tcPr>
          <w:p w14:paraId="2FD6A6E1"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58CCCC9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2021</w:t>
            </w:r>
          </w:p>
        </w:tc>
        <w:tc>
          <w:tcPr>
            <w:tcW w:w="1271" w:type="dxa"/>
            <w:tcBorders>
              <w:top w:val="nil"/>
              <w:left w:val="nil"/>
              <w:bottom w:val="single" w:sz="4" w:space="0" w:color="auto"/>
              <w:right w:val="single" w:sz="4" w:space="0" w:color="auto"/>
            </w:tcBorders>
            <w:shd w:val="clear" w:color="auto" w:fill="auto"/>
            <w:vAlign w:val="center"/>
            <w:hideMark/>
          </w:tcPr>
          <w:p w14:paraId="43D2C32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1386,98</w:t>
            </w:r>
          </w:p>
        </w:tc>
        <w:tc>
          <w:tcPr>
            <w:tcW w:w="1124" w:type="dxa"/>
            <w:tcBorders>
              <w:top w:val="nil"/>
              <w:left w:val="nil"/>
              <w:bottom w:val="single" w:sz="4" w:space="0" w:color="auto"/>
              <w:right w:val="single" w:sz="4" w:space="0" w:color="auto"/>
            </w:tcBorders>
            <w:shd w:val="clear" w:color="auto" w:fill="auto"/>
            <w:vAlign w:val="center"/>
            <w:hideMark/>
          </w:tcPr>
          <w:p w14:paraId="0795B5BE"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104,40</w:t>
            </w:r>
          </w:p>
        </w:tc>
        <w:tc>
          <w:tcPr>
            <w:tcW w:w="979" w:type="dxa"/>
            <w:gridSpan w:val="2"/>
            <w:tcBorders>
              <w:top w:val="nil"/>
              <w:left w:val="nil"/>
              <w:bottom w:val="single" w:sz="4" w:space="0" w:color="auto"/>
              <w:right w:val="single" w:sz="4" w:space="0" w:color="auto"/>
            </w:tcBorders>
            <w:shd w:val="clear" w:color="auto" w:fill="auto"/>
            <w:vAlign w:val="center"/>
            <w:hideMark/>
          </w:tcPr>
          <w:p w14:paraId="1569F632"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555,16</w:t>
            </w:r>
          </w:p>
        </w:tc>
        <w:tc>
          <w:tcPr>
            <w:tcW w:w="1182" w:type="dxa"/>
            <w:tcBorders>
              <w:top w:val="nil"/>
              <w:left w:val="nil"/>
              <w:bottom w:val="single" w:sz="4" w:space="0" w:color="auto"/>
              <w:right w:val="single" w:sz="4" w:space="0" w:color="auto"/>
            </w:tcBorders>
            <w:shd w:val="clear" w:color="auto" w:fill="auto"/>
            <w:vAlign w:val="center"/>
            <w:hideMark/>
          </w:tcPr>
          <w:p w14:paraId="1D168A2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105,10</w:t>
            </w:r>
          </w:p>
        </w:tc>
        <w:tc>
          <w:tcPr>
            <w:tcW w:w="1090" w:type="dxa"/>
            <w:tcBorders>
              <w:top w:val="nil"/>
              <w:left w:val="nil"/>
              <w:bottom w:val="single" w:sz="4" w:space="0" w:color="auto"/>
              <w:right w:val="single" w:sz="4" w:space="0" w:color="auto"/>
            </w:tcBorders>
            <w:shd w:val="clear" w:color="auto" w:fill="auto"/>
            <w:vAlign w:val="center"/>
            <w:hideMark/>
          </w:tcPr>
          <w:p w14:paraId="04BF81B2"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6368" behindDoc="0" locked="0" layoutInCell="1" allowOverlap="1" wp14:anchorId="6A8BD179" wp14:editId="10EFFE4E">
                      <wp:simplePos x="0" y="0"/>
                      <wp:positionH relativeFrom="column">
                        <wp:posOffset>-59055</wp:posOffset>
                      </wp:positionH>
                      <wp:positionV relativeFrom="margin">
                        <wp:posOffset>264795</wp:posOffset>
                      </wp:positionV>
                      <wp:extent cx="114935" cy="125730"/>
                      <wp:effectExtent l="13653" t="24447" r="32067" b="13018"/>
                      <wp:wrapNone/>
                      <wp:docPr id="9" name="Стрелка вправо 9"/>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FC25993" id="Стрелка вправо 9" o:spid="_x0000_s1026" type="#_x0000_t13" style="position:absolute;margin-left:-4.65pt;margin-top:20.85pt;width:9.05pt;height:9.9pt;rotation:-90;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" adj="10800"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256,97</w:t>
            </w:r>
          </w:p>
        </w:tc>
        <w:tc>
          <w:tcPr>
            <w:tcW w:w="994" w:type="dxa"/>
            <w:tcBorders>
              <w:top w:val="nil"/>
              <w:left w:val="nil"/>
              <w:bottom w:val="single" w:sz="4" w:space="0" w:color="auto"/>
              <w:right w:val="single" w:sz="4" w:space="0" w:color="auto"/>
            </w:tcBorders>
            <w:shd w:val="clear" w:color="auto" w:fill="auto"/>
            <w:vAlign w:val="center"/>
            <w:hideMark/>
          </w:tcPr>
          <w:p w14:paraId="41DF369F"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172,40</w:t>
            </w:r>
          </w:p>
        </w:tc>
      </w:tr>
      <w:tr w:rsidR="00286592" w:rsidRPr="00522104" w14:paraId="7F294B10" w14:textId="77777777" w:rsidTr="004B2A92">
        <w:trPr>
          <w:trHeight w:val="276"/>
        </w:trPr>
        <w:tc>
          <w:tcPr>
            <w:tcW w:w="1413" w:type="dxa"/>
            <w:gridSpan w:val="2"/>
            <w:vMerge/>
            <w:tcBorders>
              <w:top w:val="nil"/>
              <w:left w:val="single" w:sz="4" w:space="0" w:color="auto"/>
              <w:bottom w:val="single" w:sz="4" w:space="0" w:color="auto"/>
              <w:right w:val="single" w:sz="4" w:space="0" w:color="auto"/>
            </w:tcBorders>
            <w:vAlign w:val="center"/>
            <w:hideMark/>
          </w:tcPr>
          <w:p w14:paraId="362D25A7"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p>
        </w:tc>
        <w:tc>
          <w:tcPr>
            <w:tcW w:w="1292" w:type="dxa"/>
            <w:tcBorders>
              <w:top w:val="nil"/>
              <w:left w:val="nil"/>
              <w:bottom w:val="single" w:sz="4" w:space="0" w:color="auto"/>
              <w:right w:val="single" w:sz="4" w:space="0" w:color="auto"/>
            </w:tcBorders>
            <w:shd w:val="clear" w:color="auto" w:fill="auto"/>
            <w:vAlign w:val="center"/>
            <w:hideMark/>
          </w:tcPr>
          <w:p w14:paraId="7D0A4BA9"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отклонение</w:t>
            </w:r>
          </w:p>
        </w:tc>
        <w:tc>
          <w:tcPr>
            <w:tcW w:w="1271"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0F0583FD"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3296" behindDoc="0" locked="0" layoutInCell="1" allowOverlap="1" wp14:anchorId="61FBA6AA" wp14:editId="0E35A7AB">
                      <wp:simplePos x="0" y="0"/>
                      <wp:positionH relativeFrom="column">
                        <wp:posOffset>-69850</wp:posOffset>
                      </wp:positionH>
                      <wp:positionV relativeFrom="margin">
                        <wp:posOffset>-22860</wp:posOffset>
                      </wp:positionV>
                      <wp:extent cx="115570" cy="125730"/>
                      <wp:effectExtent l="13970" t="24130" r="31750" b="12700"/>
                      <wp:wrapNone/>
                      <wp:docPr id="38" name="Стрелка вправо 38"/>
                      <wp:cNvGraphicFramePr/>
                      <a:graphic xmlns:a="http://schemas.openxmlformats.org/drawingml/2006/main">
                        <a:graphicData uri="http://schemas.microsoft.com/office/word/2010/wordprocessingShape">
                          <wps:wsp>
                            <wps:cNvSpPr/>
                            <wps:spPr>
                              <a:xfrm rot="16200000">
                                <a:off x="0" y="0"/>
                                <a:ext cx="115851"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977B97B" id="Стрелка вправо 38" o:spid="_x0000_s1026" type="#_x0000_t13" style="position:absolute;margin-left:-5.5pt;margin-top:-1.8pt;width:9.1pt;height:9.9pt;rotation:-9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" adj="10800"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291,43</w:t>
            </w:r>
          </w:p>
        </w:tc>
        <w:tc>
          <w:tcPr>
            <w:tcW w:w="1124" w:type="dxa"/>
            <w:tcBorders>
              <w:top w:val="single" w:sz="4" w:space="0" w:color="auto"/>
              <w:left w:val="single" w:sz="4" w:space="0" w:color="auto"/>
              <w:bottom w:val="single" w:sz="4" w:space="0" w:color="auto"/>
              <w:right w:val="single" w:sz="4" w:space="0" w:color="auto"/>
            </w:tcBorders>
            <w:shd w:val="clear" w:color="000000" w:fill="FFE699"/>
            <w:vAlign w:val="center"/>
            <w:hideMark/>
          </w:tcPr>
          <w:p w14:paraId="61A5427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9440" behindDoc="0" locked="0" layoutInCell="1" allowOverlap="1" wp14:anchorId="3B6E11C7" wp14:editId="08ACE426">
                      <wp:simplePos x="0" y="0"/>
                      <wp:positionH relativeFrom="column">
                        <wp:posOffset>-67310</wp:posOffset>
                      </wp:positionH>
                      <wp:positionV relativeFrom="margin">
                        <wp:posOffset>19050</wp:posOffset>
                      </wp:positionV>
                      <wp:extent cx="114935" cy="123190"/>
                      <wp:effectExtent l="0" t="19050" r="37465" b="29210"/>
                      <wp:wrapNone/>
                      <wp:docPr id="44" name="Стрелка вправо 44"/>
                      <wp:cNvGraphicFramePr/>
                      <a:graphic xmlns:a="http://schemas.openxmlformats.org/drawingml/2006/main">
                        <a:graphicData uri="http://schemas.microsoft.com/office/word/2010/wordprocessingShape">
                          <wps:wsp>
                            <wps:cNvSpPr/>
                            <wps:spPr>
                              <a:xfrm>
                                <a:off x="0" y="0"/>
                                <a:ext cx="114935" cy="12319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F10FD2F" id="Стрелка вправо 44" o:spid="_x0000_s1026" type="#_x0000_t13" style="position:absolute;margin-left:-5.3pt;margin-top:1.5pt;width:9.05pt;height:9.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" adj="10800"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0,66</w:t>
            </w:r>
          </w:p>
        </w:tc>
        <w:tc>
          <w:tcPr>
            <w:tcW w:w="979"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1BF3F353"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4320" behindDoc="0" locked="0" layoutInCell="1" allowOverlap="1" wp14:anchorId="6BB94C03" wp14:editId="3EA5F07F">
                      <wp:simplePos x="0" y="0"/>
                      <wp:positionH relativeFrom="column">
                        <wp:posOffset>-53975</wp:posOffset>
                      </wp:positionH>
                      <wp:positionV relativeFrom="margin">
                        <wp:posOffset>-4445</wp:posOffset>
                      </wp:positionV>
                      <wp:extent cx="114935" cy="125730"/>
                      <wp:effectExtent l="13653" t="24447" r="32067" b="13018"/>
                      <wp:wrapNone/>
                      <wp:docPr id="39" name="Стрелка вправо 39"/>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631F73D" id="Стрелка вправо 39" o:spid="_x0000_s1026" type="#_x0000_t13" style="position:absolute;margin-left:-4.25pt;margin-top:-.35pt;width:9.05pt;height:9.9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sAlnQ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" adj="10800"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6,80</w:t>
            </w:r>
          </w:p>
        </w:tc>
        <w:tc>
          <w:tcPr>
            <w:tcW w:w="1182"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78CA890C"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705344" behindDoc="0" locked="0" layoutInCell="1" allowOverlap="1" wp14:anchorId="7F081711" wp14:editId="7469ECB2">
                      <wp:simplePos x="0" y="0"/>
                      <wp:positionH relativeFrom="column">
                        <wp:posOffset>-54610</wp:posOffset>
                      </wp:positionH>
                      <wp:positionV relativeFrom="margin">
                        <wp:posOffset>-13335</wp:posOffset>
                      </wp:positionV>
                      <wp:extent cx="114935" cy="125730"/>
                      <wp:effectExtent l="13653" t="24447" r="32067" b="13018"/>
                      <wp:wrapNone/>
                      <wp:docPr id="40" name="Стрелка вправо 40"/>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73EF7E6" id="Стрелка вправо 40" o:spid="_x0000_s1026" type="#_x0000_t13" style="position:absolute;margin-left:-4.3pt;margin-top:-1.05pt;width:9.05pt;height:9.9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iRjnQ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" adj="10800"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1,10</w:t>
            </w:r>
          </w:p>
        </w:tc>
        <w:tc>
          <w:tcPr>
            <w:tcW w:w="109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0CF87FA8"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16,31</w:t>
            </w:r>
          </w:p>
        </w:tc>
        <w:tc>
          <w:tcPr>
            <w:tcW w:w="994" w:type="dxa"/>
            <w:tcBorders>
              <w:top w:val="single" w:sz="4" w:space="0" w:color="auto"/>
              <w:left w:val="single" w:sz="4" w:space="0" w:color="auto"/>
              <w:bottom w:val="single" w:sz="4" w:space="0" w:color="auto"/>
              <w:right w:val="single" w:sz="4" w:space="0" w:color="auto"/>
            </w:tcBorders>
            <w:shd w:val="clear" w:color="000000" w:fill="FF9999"/>
            <w:vAlign w:val="center"/>
            <w:hideMark/>
          </w:tcPr>
          <w:p w14:paraId="344611E5" w14:textId="77777777" w:rsidR="00286592" w:rsidRPr="00522104" w:rsidRDefault="00286592" w:rsidP="004B2A92">
            <w:pPr>
              <w:spacing w:after="0" w:line="240" w:lineRule="auto"/>
              <w:jc w:val="center"/>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76672" behindDoc="0" locked="0" layoutInCell="1" allowOverlap="1" wp14:anchorId="1EAA5CE1" wp14:editId="08B9F317">
                      <wp:simplePos x="0" y="0"/>
                      <wp:positionH relativeFrom="column">
                        <wp:posOffset>-69215</wp:posOffset>
                      </wp:positionH>
                      <wp:positionV relativeFrom="margin">
                        <wp:posOffset>-16510</wp:posOffset>
                      </wp:positionV>
                      <wp:extent cx="120015" cy="116205"/>
                      <wp:effectExtent l="20955" t="0" r="34290" b="34290"/>
                      <wp:wrapNone/>
                      <wp:docPr id="68" name="Стрелка вправо 68"/>
                      <wp:cNvGraphicFramePr/>
                      <a:graphic xmlns:a="http://schemas.openxmlformats.org/drawingml/2006/main">
                        <a:graphicData uri="http://schemas.microsoft.com/office/word/2010/wordprocessingShape">
                          <wps:wsp>
                            <wps:cNvSpPr/>
                            <wps:spPr>
                              <a:xfrm rot="5400000">
                                <a:off x="0" y="0"/>
                                <a:ext cx="120649"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EE46E8D" id="Стрелка вправо 68" o:spid="_x0000_s1026" type="#_x0000_t13" style="position:absolute;margin-left:-5.45pt;margin-top:-1.3pt;width:9.45pt;height:9.1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" adj="11198" filled="f" strokecolor="windowText" strokeweight=".25pt">
                      <w10:wrap anchory="margin"/>
                    </v:shape>
                  </w:pict>
                </mc:Fallback>
              </mc:AlternateContent>
            </w:r>
            <w:r w:rsidRPr="00522104">
              <w:rPr>
                <w:rFonts w:ascii="Times New Roman" w:eastAsia="Times New Roman" w:hAnsi="Times New Roman" w:cs="Times New Roman"/>
                <w:b/>
                <w:bCs/>
                <w:i/>
                <w:iCs/>
                <w:sz w:val="18"/>
                <w:szCs w:val="18"/>
                <w:lang w:eastAsia="ru-RU"/>
              </w:rPr>
              <w:t>-6,10</w:t>
            </w:r>
          </w:p>
        </w:tc>
      </w:tr>
      <w:tr w:rsidR="00286592" w:rsidRPr="00522104" w14:paraId="72864F69" w14:textId="77777777" w:rsidTr="004B2A92">
        <w:trPr>
          <w:trHeight w:val="1050"/>
        </w:trPr>
        <w:tc>
          <w:tcPr>
            <w:tcW w:w="1413" w:type="dxa"/>
            <w:gridSpan w:val="2"/>
            <w:tcBorders>
              <w:top w:val="nil"/>
              <w:left w:val="single" w:sz="4" w:space="0" w:color="auto"/>
              <w:bottom w:val="single" w:sz="4" w:space="0" w:color="auto"/>
              <w:right w:val="single" w:sz="4" w:space="0" w:color="auto"/>
            </w:tcBorders>
            <w:shd w:val="clear" w:color="auto" w:fill="auto"/>
            <w:vAlign w:val="center"/>
            <w:hideMark/>
          </w:tcPr>
          <w:p w14:paraId="6E31B2F3"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2024 год (консервативный вариант)</w:t>
            </w:r>
          </w:p>
        </w:tc>
        <w:tc>
          <w:tcPr>
            <w:tcW w:w="1292" w:type="dxa"/>
            <w:tcBorders>
              <w:top w:val="nil"/>
              <w:left w:val="nil"/>
              <w:bottom w:val="single" w:sz="4" w:space="0" w:color="auto"/>
              <w:right w:val="single" w:sz="4" w:space="0" w:color="auto"/>
            </w:tcBorders>
            <w:shd w:val="clear" w:color="auto" w:fill="auto"/>
            <w:vAlign w:val="center"/>
            <w:hideMark/>
          </w:tcPr>
          <w:p w14:paraId="03AB0426"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2021</w:t>
            </w:r>
          </w:p>
        </w:tc>
        <w:tc>
          <w:tcPr>
            <w:tcW w:w="1271" w:type="dxa"/>
            <w:tcBorders>
              <w:top w:val="nil"/>
              <w:left w:val="nil"/>
              <w:bottom w:val="single" w:sz="4" w:space="0" w:color="auto"/>
              <w:right w:val="single" w:sz="4" w:space="0" w:color="auto"/>
            </w:tcBorders>
            <w:shd w:val="clear" w:color="000000" w:fill="FFFFFF"/>
            <w:vAlign w:val="center"/>
            <w:hideMark/>
          </w:tcPr>
          <w:p w14:paraId="52CAE09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1431,77</w:t>
            </w:r>
          </w:p>
        </w:tc>
        <w:tc>
          <w:tcPr>
            <w:tcW w:w="1124" w:type="dxa"/>
            <w:tcBorders>
              <w:top w:val="nil"/>
              <w:left w:val="nil"/>
              <w:bottom w:val="single" w:sz="4" w:space="0" w:color="auto"/>
              <w:right w:val="single" w:sz="4" w:space="0" w:color="auto"/>
            </w:tcBorders>
            <w:shd w:val="clear" w:color="000000" w:fill="FFFFFF"/>
            <w:vAlign w:val="center"/>
            <w:hideMark/>
          </w:tcPr>
          <w:p w14:paraId="4C18242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102,40</w:t>
            </w:r>
          </w:p>
        </w:tc>
        <w:tc>
          <w:tcPr>
            <w:tcW w:w="979" w:type="dxa"/>
            <w:gridSpan w:val="2"/>
            <w:tcBorders>
              <w:top w:val="nil"/>
              <w:left w:val="nil"/>
              <w:bottom w:val="single" w:sz="4" w:space="0" w:color="auto"/>
              <w:right w:val="single" w:sz="4" w:space="0" w:color="auto"/>
            </w:tcBorders>
            <w:shd w:val="clear" w:color="000000" w:fill="FFFFFF"/>
            <w:vAlign w:val="center"/>
            <w:hideMark/>
          </w:tcPr>
          <w:p w14:paraId="552FD7B0"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588,37</w:t>
            </w:r>
          </w:p>
        </w:tc>
        <w:tc>
          <w:tcPr>
            <w:tcW w:w="1182" w:type="dxa"/>
            <w:tcBorders>
              <w:top w:val="nil"/>
              <w:left w:val="nil"/>
              <w:bottom w:val="single" w:sz="4" w:space="0" w:color="auto"/>
              <w:right w:val="single" w:sz="4" w:space="0" w:color="auto"/>
            </w:tcBorders>
            <w:shd w:val="clear" w:color="000000" w:fill="FFFFFF"/>
            <w:vAlign w:val="center"/>
            <w:hideMark/>
          </w:tcPr>
          <w:p w14:paraId="27726DE1"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103,60</w:t>
            </w:r>
          </w:p>
        </w:tc>
        <w:tc>
          <w:tcPr>
            <w:tcW w:w="1090" w:type="dxa"/>
            <w:tcBorders>
              <w:top w:val="nil"/>
              <w:left w:val="nil"/>
              <w:bottom w:val="single" w:sz="4" w:space="0" w:color="auto"/>
              <w:right w:val="single" w:sz="4" w:space="0" w:color="auto"/>
            </w:tcBorders>
            <w:shd w:val="clear" w:color="000000" w:fill="FFFFFF"/>
            <w:vAlign w:val="center"/>
            <w:hideMark/>
          </w:tcPr>
          <w:p w14:paraId="6BEE1CA3"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290,73</w:t>
            </w:r>
          </w:p>
        </w:tc>
        <w:tc>
          <w:tcPr>
            <w:tcW w:w="994" w:type="dxa"/>
            <w:tcBorders>
              <w:top w:val="nil"/>
              <w:left w:val="nil"/>
              <w:bottom w:val="single" w:sz="4" w:space="0" w:color="auto"/>
              <w:right w:val="single" w:sz="4" w:space="0" w:color="auto"/>
            </w:tcBorders>
            <w:shd w:val="clear" w:color="000000" w:fill="FFFFFF"/>
            <w:vAlign w:val="center"/>
            <w:hideMark/>
          </w:tcPr>
          <w:p w14:paraId="28CD997E"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183,27</w:t>
            </w:r>
          </w:p>
        </w:tc>
      </w:tr>
      <w:tr w:rsidR="00286592" w:rsidRPr="00522104" w14:paraId="13727B94" w14:textId="77777777" w:rsidTr="004B2A92">
        <w:trPr>
          <w:trHeight w:val="703"/>
        </w:trPr>
        <w:tc>
          <w:tcPr>
            <w:tcW w:w="141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A16AC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2024 год (базовый вариант)</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14:paraId="3C8A230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прогноз в 2021</w:t>
            </w:r>
          </w:p>
        </w:tc>
        <w:tc>
          <w:tcPr>
            <w:tcW w:w="1271" w:type="dxa"/>
            <w:tcBorders>
              <w:top w:val="single" w:sz="4" w:space="0" w:color="auto"/>
              <w:left w:val="nil"/>
              <w:bottom w:val="single" w:sz="4" w:space="0" w:color="auto"/>
              <w:right w:val="single" w:sz="4" w:space="0" w:color="auto"/>
            </w:tcBorders>
            <w:shd w:val="clear" w:color="000000" w:fill="FFFFFF"/>
            <w:vAlign w:val="center"/>
            <w:hideMark/>
          </w:tcPr>
          <w:p w14:paraId="1A6F332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1505,85</w:t>
            </w:r>
          </w:p>
        </w:tc>
        <w:tc>
          <w:tcPr>
            <w:tcW w:w="1124" w:type="dxa"/>
            <w:tcBorders>
              <w:top w:val="single" w:sz="4" w:space="0" w:color="auto"/>
              <w:left w:val="nil"/>
              <w:bottom w:val="single" w:sz="4" w:space="0" w:color="auto"/>
              <w:right w:val="single" w:sz="4" w:space="0" w:color="auto"/>
            </w:tcBorders>
            <w:shd w:val="clear" w:color="000000" w:fill="FFFFFF"/>
            <w:vAlign w:val="center"/>
            <w:hideMark/>
          </w:tcPr>
          <w:p w14:paraId="370AA7C0"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104,50</w:t>
            </w:r>
          </w:p>
        </w:tc>
        <w:tc>
          <w:tcPr>
            <w:tcW w:w="979" w:type="dxa"/>
            <w:gridSpan w:val="2"/>
            <w:tcBorders>
              <w:top w:val="single" w:sz="4" w:space="0" w:color="auto"/>
              <w:left w:val="nil"/>
              <w:bottom w:val="single" w:sz="4" w:space="0" w:color="auto"/>
              <w:right w:val="single" w:sz="4" w:space="0" w:color="auto"/>
            </w:tcBorders>
            <w:shd w:val="clear" w:color="000000" w:fill="FFFFFF"/>
            <w:vAlign w:val="center"/>
            <w:hideMark/>
          </w:tcPr>
          <w:p w14:paraId="2ED25442"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593,55</w:t>
            </w:r>
          </w:p>
        </w:tc>
        <w:tc>
          <w:tcPr>
            <w:tcW w:w="1182" w:type="dxa"/>
            <w:tcBorders>
              <w:top w:val="single" w:sz="4" w:space="0" w:color="auto"/>
              <w:left w:val="nil"/>
              <w:bottom w:val="single" w:sz="4" w:space="0" w:color="auto"/>
              <w:right w:val="single" w:sz="4" w:space="0" w:color="auto"/>
            </w:tcBorders>
            <w:shd w:val="clear" w:color="000000" w:fill="FFFFFF"/>
            <w:vAlign w:val="center"/>
            <w:hideMark/>
          </w:tcPr>
          <w:p w14:paraId="55F723D8"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105,20</w:t>
            </w:r>
          </w:p>
        </w:tc>
        <w:tc>
          <w:tcPr>
            <w:tcW w:w="1090" w:type="dxa"/>
            <w:tcBorders>
              <w:top w:val="single" w:sz="4" w:space="0" w:color="auto"/>
              <w:left w:val="nil"/>
              <w:bottom w:val="single" w:sz="4" w:space="0" w:color="auto"/>
              <w:right w:val="single" w:sz="4" w:space="0" w:color="auto"/>
            </w:tcBorders>
            <w:shd w:val="clear" w:color="000000" w:fill="FFFFFF"/>
            <w:vAlign w:val="center"/>
            <w:hideMark/>
          </w:tcPr>
          <w:p w14:paraId="0526F455"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296,35</w:t>
            </w:r>
          </w:p>
        </w:tc>
        <w:tc>
          <w:tcPr>
            <w:tcW w:w="994" w:type="dxa"/>
            <w:tcBorders>
              <w:top w:val="single" w:sz="4" w:space="0" w:color="auto"/>
              <w:left w:val="nil"/>
              <w:bottom w:val="single" w:sz="4" w:space="0" w:color="auto"/>
              <w:right w:val="single" w:sz="4" w:space="0" w:color="auto"/>
            </w:tcBorders>
            <w:shd w:val="clear" w:color="000000" w:fill="FFFFFF"/>
            <w:vAlign w:val="center"/>
            <w:hideMark/>
          </w:tcPr>
          <w:p w14:paraId="427812B5"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189,33</w:t>
            </w:r>
          </w:p>
        </w:tc>
      </w:tr>
      <w:tr w:rsidR="00286592" w:rsidRPr="00522104" w14:paraId="5FD45F06" w14:textId="77777777" w:rsidTr="004B2A92">
        <w:trPr>
          <w:trHeight w:val="132"/>
        </w:trPr>
        <w:tc>
          <w:tcPr>
            <w:tcW w:w="1413" w:type="dxa"/>
            <w:gridSpan w:val="2"/>
            <w:tcBorders>
              <w:top w:val="single" w:sz="4" w:space="0" w:color="auto"/>
            </w:tcBorders>
            <w:shd w:val="clear" w:color="auto" w:fill="auto"/>
            <w:vAlign w:val="center"/>
          </w:tcPr>
          <w:p w14:paraId="29FB9DB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c>
          <w:tcPr>
            <w:tcW w:w="1292" w:type="dxa"/>
            <w:tcBorders>
              <w:top w:val="single" w:sz="4" w:space="0" w:color="auto"/>
            </w:tcBorders>
            <w:shd w:val="clear" w:color="auto" w:fill="auto"/>
            <w:vAlign w:val="center"/>
          </w:tcPr>
          <w:p w14:paraId="34DED4E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c>
          <w:tcPr>
            <w:tcW w:w="1271" w:type="dxa"/>
            <w:tcBorders>
              <w:top w:val="single" w:sz="4" w:space="0" w:color="auto"/>
            </w:tcBorders>
            <w:shd w:val="clear" w:color="000000" w:fill="FFFFFF"/>
            <w:vAlign w:val="center"/>
          </w:tcPr>
          <w:p w14:paraId="639B07D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c>
          <w:tcPr>
            <w:tcW w:w="1124" w:type="dxa"/>
            <w:tcBorders>
              <w:top w:val="single" w:sz="4" w:space="0" w:color="auto"/>
            </w:tcBorders>
            <w:shd w:val="clear" w:color="000000" w:fill="FFFFFF"/>
            <w:vAlign w:val="center"/>
          </w:tcPr>
          <w:p w14:paraId="4D89E14F"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c>
          <w:tcPr>
            <w:tcW w:w="979" w:type="dxa"/>
            <w:gridSpan w:val="2"/>
            <w:tcBorders>
              <w:top w:val="single" w:sz="4" w:space="0" w:color="auto"/>
            </w:tcBorders>
            <w:shd w:val="clear" w:color="000000" w:fill="FFFFFF"/>
            <w:vAlign w:val="center"/>
          </w:tcPr>
          <w:p w14:paraId="3D9571BC"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c>
          <w:tcPr>
            <w:tcW w:w="1182" w:type="dxa"/>
            <w:tcBorders>
              <w:top w:val="single" w:sz="4" w:space="0" w:color="auto"/>
            </w:tcBorders>
            <w:shd w:val="clear" w:color="000000" w:fill="FFFFFF"/>
            <w:vAlign w:val="center"/>
          </w:tcPr>
          <w:p w14:paraId="29391190"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c>
          <w:tcPr>
            <w:tcW w:w="1090" w:type="dxa"/>
            <w:tcBorders>
              <w:top w:val="single" w:sz="4" w:space="0" w:color="auto"/>
            </w:tcBorders>
            <w:shd w:val="clear" w:color="000000" w:fill="FFFFFF"/>
            <w:vAlign w:val="center"/>
          </w:tcPr>
          <w:p w14:paraId="0D639A1B"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c>
          <w:tcPr>
            <w:tcW w:w="994" w:type="dxa"/>
            <w:tcBorders>
              <w:top w:val="single" w:sz="4" w:space="0" w:color="auto"/>
            </w:tcBorders>
            <w:shd w:val="clear" w:color="000000" w:fill="FFFFFF"/>
            <w:vAlign w:val="center"/>
          </w:tcPr>
          <w:p w14:paraId="411BBAA7" w14:textId="77777777" w:rsidR="00286592" w:rsidRPr="00522104" w:rsidRDefault="00286592" w:rsidP="004B2A92">
            <w:pPr>
              <w:spacing w:after="0" w:line="240" w:lineRule="auto"/>
              <w:jc w:val="center"/>
              <w:rPr>
                <w:rFonts w:ascii="Times New Roman" w:eastAsia="Times New Roman" w:hAnsi="Times New Roman" w:cs="Times New Roman"/>
                <w:sz w:val="18"/>
                <w:szCs w:val="18"/>
                <w:lang w:eastAsia="ru-RU"/>
              </w:rPr>
            </w:pPr>
          </w:p>
        </w:tc>
      </w:tr>
      <w:tr w:rsidR="00286592" w:rsidRPr="00522104" w14:paraId="4E6D937F" w14:textId="77777777" w:rsidTr="004B2A92">
        <w:trPr>
          <w:gridAfter w:val="4"/>
          <w:wAfter w:w="3710" w:type="dxa"/>
          <w:trHeight w:val="300"/>
        </w:trPr>
        <w:tc>
          <w:tcPr>
            <w:tcW w:w="940" w:type="dxa"/>
            <w:tcBorders>
              <w:top w:val="nil"/>
              <w:left w:val="nil"/>
              <w:bottom w:val="nil"/>
              <w:right w:val="nil"/>
            </w:tcBorders>
            <w:shd w:val="clear" w:color="000000" w:fill="92D050"/>
            <w:vAlign w:val="center"/>
            <w:hideMark/>
          </w:tcPr>
          <w:p w14:paraId="714E5885" w14:textId="77777777" w:rsidR="00286592" w:rsidRPr="00522104" w:rsidRDefault="00286592" w:rsidP="004B2A92">
            <w:pPr>
              <w:spacing w:after="0" w:line="240" w:lineRule="auto"/>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66432" behindDoc="0" locked="0" layoutInCell="1" allowOverlap="1" wp14:anchorId="60AF7A8B" wp14:editId="46FD0162">
                      <wp:simplePos x="0" y="0"/>
                      <wp:positionH relativeFrom="column">
                        <wp:posOffset>-33020</wp:posOffset>
                      </wp:positionH>
                      <wp:positionV relativeFrom="paragraph">
                        <wp:posOffset>3175</wp:posOffset>
                      </wp:positionV>
                      <wp:extent cx="114935" cy="125730"/>
                      <wp:effectExtent l="13653" t="24447" r="32067" b="13018"/>
                      <wp:wrapNone/>
                      <wp:docPr id="46" name="Стрелка вправо 46"/>
                      <wp:cNvGraphicFramePr/>
                      <a:graphic xmlns:a="http://schemas.openxmlformats.org/drawingml/2006/main">
                        <a:graphicData uri="http://schemas.microsoft.com/office/word/2010/wordprocessingShape">
                          <wps:wsp>
                            <wps:cNvSpPr/>
                            <wps:spPr>
                              <a:xfrm rot="16200000">
                                <a:off x="0" y="0"/>
                                <a:ext cx="114935" cy="12573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82B9716" id="Стрелка вправо 46" o:spid="_x0000_s1026" type="#_x0000_t13" style="position:absolute;margin-left:-2.6pt;margin-top:.25pt;width:9.05pt;height:9.9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" adj="10800" filled="f" strokecolor="windowText" strokeweight=".25pt"/>
                  </w:pict>
                </mc:Fallback>
              </mc:AlternateContent>
            </w:r>
          </w:p>
        </w:tc>
        <w:tc>
          <w:tcPr>
            <w:tcW w:w="4700" w:type="dxa"/>
            <w:gridSpan w:val="5"/>
            <w:tcBorders>
              <w:top w:val="nil"/>
              <w:left w:val="nil"/>
              <w:bottom w:val="nil"/>
              <w:right w:val="nil"/>
            </w:tcBorders>
            <w:shd w:val="clear" w:color="auto" w:fill="auto"/>
            <w:noWrap/>
            <w:vAlign w:val="bottom"/>
            <w:hideMark/>
          </w:tcPr>
          <w:p w14:paraId="65A6E35F"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значение отклонение показателя выше 1,00</w:t>
            </w:r>
          </w:p>
        </w:tc>
      </w:tr>
      <w:tr w:rsidR="00286592" w:rsidRPr="00522104" w14:paraId="3C5EFEFC" w14:textId="77777777" w:rsidTr="004B2A92">
        <w:trPr>
          <w:gridAfter w:val="4"/>
          <w:wAfter w:w="3710" w:type="dxa"/>
          <w:trHeight w:val="300"/>
        </w:trPr>
        <w:tc>
          <w:tcPr>
            <w:tcW w:w="940" w:type="dxa"/>
            <w:tcBorders>
              <w:top w:val="nil"/>
              <w:left w:val="nil"/>
              <w:bottom w:val="nil"/>
              <w:right w:val="nil"/>
            </w:tcBorders>
            <w:shd w:val="clear" w:color="000000" w:fill="FFE699"/>
            <w:vAlign w:val="center"/>
            <w:hideMark/>
          </w:tcPr>
          <w:p w14:paraId="5CC03CC3" w14:textId="77777777" w:rsidR="00286592" w:rsidRPr="00522104" w:rsidRDefault="00286592" w:rsidP="004B2A92">
            <w:pPr>
              <w:spacing w:after="0" w:line="240" w:lineRule="auto"/>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65408" behindDoc="0" locked="0" layoutInCell="1" allowOverlap="1" wp14:anchorId="732AF31A" wp14:editId="51BD18DE">
                      <wp:simplePos x="0" y="0"/>
                      <wp:positionH relativeFrom="column">
                        <wp:posOffset>-29210</wp:posOffset>
                      </wp:positionH>
                      <wp:positionV relativeFrom="paragraph">
                        <wp:posOffset>48895</wp:posOffset>
                      </wp:positionV>
                      <wp:extent cx="114935" cy="123190"/>
                      <wp:effectExtent l="0" t="19050" r="37465" b="29210"/>
                      <wp:wrapNone/>
                      <wp:docPr id="45" name="Стрелка вправо 45"/>
                      <wp:cNvGraphicFramePr/>
                      <a:graphic xmlns:a="http://schemas.openxmlformats.org/drawingml/2006/main">
                        <a:graphicData uri="http://schemas.microsoft.com/office/word/2010/wordprocessingShape">
                          <wps:wsp>
                            <wps:cNvSpPr/>
                            <wps:spPr>
                              <a:xfrm>
                                <a:off x="0" y="0"/>
                                <a:ext cx="114935" cy="123190"/>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BC66E22" id="Стрелка вправо 45" o:spid="_x0000_s1026" type="#_x0000_t13" style="position:absolute;margin-left:-2.3pt;margin-top:3.85pt;width:9.05pt;height: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" adj="10800" filled="f" strokecolor="windowText" strokeweight=".25pt"/>
                  </w:pict>
                </mc:Fallback>
              </mc:AlternateContent>
            </w:r>
          </w:p>
        </w:tc>
        <w:tc>
          <w:tcPr>
            <w:tcW w:w="4700" w:type="dxa"/>
            <w:gridSpan w:val="5"/>
            <w:tcBorders>
              <w:top w:val="nil"/>
              <w:left w:val="nil"/>
              <w:bottom w:val="nil"/>
              <w:right w:val="nil"/>
            </w:tcBorders>
            <w:shd w:val="clear" w:color="auto" w:fill="auto"/>
            <w:noWrap/>
            <w:vAlign w:val="bottom"/>
            <w:hideMark/>
          </w:tcPr>
          <w:p w14:paraId="55E7E592"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значение отклонения показателя от 0,01 до 1,00</w:t>
            </w:r>
          </w:p>
        </w:tc>
      </w:tr>
      <w:tr w:rsidR="00286592" w:rsidRPr="00522104" w14:paraId="6BC682B3" w14:textId="77777777" w:rsidTr="004B2A92">
        <w:trPr>
          <w:gridAfter w:val="4"/>
          <w:wAfter w:w="3710" w:type="dxa"/>
          <w:trHeight w:val="300"/>
        </w:trPr>
        <w:tc>
          <w:tcPr>
            <w:tcW w:w="940" w:type="dxa"/>
            <w:tcBorders>
              <w:top w:val="nil"/>
              <w:left w:val="nil"/>
              <w:bottom w:val="nil"/>
              <w:right w:val="nil"/>
            </w:tcBorders>
            <w:shd w:val="clear" w:color="000000" w:fill="FF9999"/>
            <w:vAlign w:val="center"/>
            <w:hideMark/>
          </w:tcPr>
          <w:p w14:paraId="2368E76F" w14:textId="77777777" w:rsidR="00286592" w:rsidRPr="00522104" w:rsidRDefault="00286592" w:rsidP="004B2A92">
            <w:pPr>
              <w:spacing w:after="0" w:line="240" w:lineRule="auto"/>
              <w:rPr>
                <w:rFonts w:ascii="Times New Roman" w:eastAsia="Times New Roman" w:hAnsi="Times New Roman" w:cs="Times New Roman"/>
                <w:b/>
                <w:bCs/>
                <w:i/>
                <w:iCs/>
                <w:sz w:val="18"/>
                <w:szCs w:val="18"/>
                <w:lang w:eastAsia="ru-RU"/>
              </w:rPr>
            </w:pPr>
            <w:r w:rsidRPr="00522104">
              <w:rPr>
                <w:rFonts w:ascii="Times New Roman" w:hAnsi="Times New Roman" w:cs="Times New Roman"/>
                <w:noProof/>
                <w:sz w:val="18"/>
                <w:szCs w:val="18"/>
                <w:lang w:eastAsia="ru-RU"/>
              </w:rPr>
              <mc:AlternateContent>
                <mc:Choice Requires="wps">
                  <w:drawing>
                    <wp:anchor distT="0" distB="0" distL="114300" distR="114300" simplePos="0" relativeHeight="251664384" behindDoc="0" locked="0" layoutInCell="1" allowOverlap="1" wp14:anchorId="5E6FD031" wp14:editId="0292D5F3">
                      <wp:simplePos x="0" y="0"/>
                      <wp:positionH relativeFrom="column">
                        <wp:posOffset>-34290</wp:posOffset>
                      </wp:positionH>
                      <wp:positionV relativeFrom="paragraph">
                        <wp:posOffset>50800</wp:posOffset>
                      </wp:positionV>
                      <wp:extent cx="120650" cy="116205"/>
                      <wp:effectExtent l="21272" t="0" r="33973" b="33972"/>
                      <wp:wrapNone/>
                      <wp:docPr id="69" name="Стрелка вправо 69"/>
                      <wp:cNvGraphicFramePr/>
                      <a:graphic xmlns:a="http://schemas.openxmlformats.org/drawingml/2006/main">
                        <a:graphicData uri="http://schemas.microsoft.com/office/word/2010/wordprocessingShape">
                          <wps:wsp>
                            <wps:cNvSpPr/>
                            <wps:spPr>
                              <a:xfrm rot="5400000">
                                <a:off x="0" y="0"/>
                                <a:ext cx="120650" cy="116205"/>
                              </a:xfrm>
                              <a:prstGeom prst="rightArrow">
                                <a:avLst/>
                              </a:prstGeom>
                              <a:no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5D69BE4" id="Стрелка вправо 69" o:spid="_x0000_s1026" type="#_x0000_t13" style="position:absolute;margin-left:-2.7pt;margin-top:4pt;width:9.5pt;height:9.15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" adj="11198" filled="f" strokecolor="windowText" strokeweight=".25pt"/>
                  </w:pict>
                </mc:Fallback>
              </mc:AlternateContent>
            </w:r>
          </w:p>
        </w:tc>
        <w:tc>
          <w:tcPr>
            <w:tcW w:w="4700" w:type="dxa"/>
            <w:gridSpan w:val="5"/>
            <w:tcBorders>
              <w:top w:val="nil"/>
              <w:left w:val="nil"/>
              <w:bottom w:val="nil"/>
              <w:right w:val="nil"/>
            </w:tcBorders>
            <w:shd w:val="clear" w:color="auto" w:fill="auto"/>
            <w:noWrap/>
            <w:vAlign w:val="bottom"/>
            <w:hideMark/>
          </w:tcPr>
          <w:p w14:paraId="0A8357A8" w14:textId="77777777" w:rsidR="00286592" w:rsidRPr="00522104" w:rsidRDefault="00286592" w:rsidP="004B2A92">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значение отклонения показателя ниже 0,00</w:t>
            </w:r>
          </w:p>
        </w:tc>
      </w:tr>
    </w:tbl>
    <w:p w14:paraId="3990EF7C" w14:textId="77777777" w:rsidR="00286592" w:rsidRPr="00522104" w:rsidRDefault="00286592" w:rsidP="00286592">
      <w:pPr>
        <w:spacing w:after="0" w:line="240" w:lineRule="auto"/>
        <w:ind w:firstLine="709"/>
        <w:jc w:val="both"/>
        <w:rPr>
          <w:rFonts w:ascii="Times New Roman" w:hAnsi="Times New Roman" w:cs="Times New Roman"/>
          <w:sz w:val="28"/>
          <w:szCs w:val="28"/>
        </w:rPr>
      </w:pPr>
    </w:p>
    <w:p w14:paraId="0840359A" w14:textId="42264DDD" w:rsidR="00286592" w:rsidRPr="00522104" w:rsidRDefault="00286592" w:rsidP="00286592">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В Прогнозе-2022 скорректированы значения ряда основных макроэкономических показателей по сравнению с их значениями, приведенными в Прогнозе-2021. </w:t>
      </w:r>
    </w:p>
    <w:p w14:paraId="22550859" w14:textId="237D1AA1" w:rsidR="00286592" w:rsidRPr="00522104" w:rsidRDefault="00286592" w:rsidP="00286592">
      <w:pPr>
        <w:autoSpaceDE w:val="0"/>
        <w:autoSpaceDN w:val="0"/>
        <w:adjustRightInd w:val="0"/>
        <w:spacing w:after="0" w:line="240" w:lineRule="auto"/>
        <w:ind w:firstLine="708"/>
        <w:jc w:val="both"/>
        <w:rPr>
          <w:rFonts w:ascii="Times New Roman" w:hAnsi="Times New Roman" w:cs="Times New Roman"/>
          <w:sz w:val="28"/>
          <w:szCs w:val="28"/>
        </w:rPr>
      </w:pPr>
      <w:bookmarkStart w:id="4" w:name="_Hlk57801403"/>
      <w:r w:rsidRPr="00522104">
        <w:rPr>
          <w:rFonts w:ascii="Times New Roman" w:hAnsi="Times New Roman" w:cs="Times New Roman"/>
          <w:sz w:val="28"/>
          <w:szCs w:val="28"/>
        </w:rPr>
        <w:t>Анализ отдельных основных макроэкономических показателей показывает, что утвержденные Прогнозом-2021 оценочные показатели за 2020 год достигнуты по таким показателям, как объем ВРП и инвестиции в основной капитал. Остальные анализируемые оценочные показатели, такие как: индекс физического объема ВРП, оборот розничной торговли, индекс промышленного производства, объем платных услуг населению за 2020 год не достигли фактического уровня.</w:t>
      </w:r>
    </w:p>
    <w:p w14:paraId="332E0909" w14:textId="77777777" w:rsidR="00286592" w:rsidRPr="00522104" w:rsidRDefault="00286592" w:rsidP="00286592">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В свою очередь, Прогнозом-2021 практически все основные показатели текущего года (по консервативному и базовому вариантам развития), за исключением показателя объема платных услуг населению, планировались ниже оценочных показателей 2021 года Прогноза-2022, что указывает на то, что восстановление объема платных услуг на докризисный уровень будет происходить более сдержанными темпами. </w:t>
      </w:r>
    </w:p>
    <w:p w14:paraId="081D7BC9" w14:textId="77777777" w:rsidR="00286592" w:rsidRPr="00522104" w:rsidRDefault="00286592" w:rsidP="00286592">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 Прогнозе-2022 основные показатели на 2022-2023 годы (по консервативному и базовому вариантам развития) запланированы выше показателей Прогноза-2021, кроме показателя объема платных услуг населению.</w:t>
      </w:r>
    </w:p>
    <w:bookmarkEnd w:id="4"/>
    <w:p w14:paraId="6E227581" w14:textId="1CE9B7D8" w:rsidR="00286592" w:rsidRPr="00522104" w:rsidRDefault="00286592" w:rsidP="00286592">
      <w:pPr>
        <w:widowControl w:val="0"/>
        <w:spacing w:after="0" w:line="240" w:lineRule="auto"/>
        <w:ind w:firstLine="708"/>
        <w:jc w:val="both"/>
        <w:rPr>
          <w:rFonts w:ascii="Times New Roman" w:hAnsi="Times New Roman" w:cs="Times New Roman"/>
          <w:b/>
          <w:sz w:val="28"/>
          <w:szCs w:val="28"/>
        </w:rPr>
      </w:pPr>
      <w:r w:rsidRPr="00522104">
        <w:rPr>
          <w:rFonts w:ascii="Times New Roman" w:hAnsi="Times New Roman" w:cs="Times New Roman"/>
          <w:b/>
          <w:sz w:val="28"/>
          <w:szCs w:val="28"/>
        </w:rPr>
        <w:t>Общеэкономические тенденции</w:t>
      </w:r>
    </w:p>
    <w:p w14:paraId="3B02CB80" w14:textId="000B611E"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Согласно Прогнозу-2022 ситуация в экономике Приморского края в 2022-2024 годах прогнозируется постепенным восстановлением макроэкономических показателей до уровня 2018-2019 годов. По оценке</w:t>
      </w:r>
      <w:r w:rsidR="00757B7E" w:rsidRPr="00522104">
        <w:rPr>
          <w:rFonts w:ascii="Times New Roman" w:hAnsi="Times New Roman" w:cs="Times New Roman"/>
          <w:sz w:val="28"/>
          <w:szCs w:val="28"/>
        </w:rPr>
        <w:t>,</w:t>
      </w:r>
      <w:r w:rsidRPr="00522104">
        <w:rPr>
          <w:rFonts w:ascii="Times New Roman" w:hAnsi="Times New Roman" w:cs="Times New Roman"/>
          <w:sz w:val="28"/>
          <w:szCs w:val="28"/>
        </w:rPr>
        <w:t xml:space="preserve"> в </w:t>
      </w:r>
      <w:r w:rsidRPr="00522104">
        <w:rPr>
          <w:rFonts w:ascii="Times New Roman" w:hAnsi="Times New Roman" w:cs="Times New Roman"/>
          <w:sz w:val="28"/>
          <w:szCs w:val="28"/>
        </w:rPr>
        <w:lastRenderedPageBreak/>
        <w:t>2021 году прогнозируется рост по всем анализируемым макроэкономическим показателям. Согласно консервативному варианту развития экономики края на 2022 год и плановый период до 2024 года прогнозируется более сдержанный восстановительный рост отдельных макроэкономических показателей до уровня 2019 года. По базовому варианту развития экономики края в 2022-2024 годах планируется более высокий рост отдельных макроэкономических показателей</w:t>
      </w:r>
      <w:r w:rsidR="006E382B" w:rsidRPr="00522104">
        <w:rPr>
          <w:rFonts w:ascii="Times New Roman" w:hAnsi="Times New Roman" w:cs="Times New Roman"/>
          <w:sz w:val="28"/>
          <w:szCs w:val="28"/>
        </w:rPr>
        <w:t>.</w:t>
      </w:r>
    </w:p>
    <w:p w14:paraId="7545CE3B"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ВРП является основным обобщающим показателем, характеризующим экономическое развитие Приморского края в целом.</w:t>
      </w:r>
    </w:p>
    <w:p w14:paraId="12059A62"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Динамика изменения ВРП за 2019-2024 годы представлена диаграммой.</w:t>
      </w:r>
    </w:p>
    <w:p w14:paraId="578D0212" w14:textId="77777777" w:rsidR="006D7B38" w:rsidRPr="00522104" w:rsidRDefault="006D7B38" w:rsidP="00286592">
      <w:pPr>
        <w:spacing w:after="0" w:line="240" w:lineRule="auto"/>
        <w:ind w:firstLine="708"/>
        <w:jc w:val="both"/>
        <w:rPr>
          <w:rFonts w:ascii="Times New Roman" w:hAnsi="Times New Roman" w:cs="Times New Roman"/>
          <w:sz w:val="28"/>
          <w:szCs w:val="28"/>
        </w:rPr>
      </w:pPr>
    </w:p>
    <w:p w14:paraId="7C005945" w14:textId="77777777" w:rsidR="00286592" w:rsidRPr="00522104" w:rsidRDefault="00286592" w:rsidP="00286592">
      <w:pPr>
        <w:spacing w:after="0" w:line="240" w:lineRule="auto"/>
        <w:ind w:hanging="142"/>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56267F34" wp14:editId="1DEAC304">
            <wp:extent cx="6052820" cy="3786809"/>
            <wp:effectExtent l="0" t="0" r="5080" b="4445"/>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6DAAB2" w14:textId="77777777" w:rsidR="00286592" w:rsidRPr="00522104" w:rsidRDefault="00286592" w:rsidP="00286592">
      <w:pPr>
        <w:spacing w:after="0" w:line="240" w:lineRule="auto"/>
        <w:ind w:hanging="142"/>
        <w:jc w:val="both"/>
        <w:rPr>
          <w:rFonts w:ascii="Times New Roman" w:hAnsi="Times New Roman" w:cs="Times New Roman"/>
          <w:sz w:val="28"/>
          <w:szCs w:val="28"/>
        </w:rPr>
      </w:pPr>
    </w:p>
    <w:p w14:paraId="6E3A479A"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Согласно Прогнозу-2022 объем ВРП в номинальном выражении в 2020 году (отчет) составил 1078994,6 млн рублей, что выше оценочного показателя в 2020 году на 196157,23 млн рублей, или на 22,22 % (оценка в 2020 году 882837,37 млн рублей).</w:t>
      </w:r>
    </w:p>
    <w:p w14:paraId="4CD9D016" w14:textId="0C8C4456"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оценке 2021 года</w:t>
      </w:r>
      <w:r w:rsidR="00AB6BD1" w:rsidRPr="00522104">
        <w:rPr>
          <w:rFonts w:ascii="Times New Roman" w:hAnsi="Times New Roman" w:cs="Times New Roman"/>
          <w:sz w:val="28"/>
          <w:szCs w:val="28"/>
        </w:rPr>
        <w:t>,</w:t>
      </w:r>
      <w:r w:rsidRPr="00522104">
        <w:rPr>
          <w:rFonts w:ascii="Times New Roman" w:hAnsi="Times New Roman" w:cs="Times New Roman"/>
          <w:sz w:val="28"/>
          <w:szCs w:val="28"/>
        </w:rPr>
        <w:t xml:space="preserve"> объем ВРП составит 1177869,5 млн рублей против прогнозируемого в 2020 году объема по консервативному варианту 935393,99 млн рублей, по базовому варианту – 947407,53 млн рублей.  </w:t>
      </w:r>
    </w:p>
    <w:p w14:paraId="5B10C09F" w14:textId="15CB43B4"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оценке</w:t>
      </w:r>
      <w:r w:rsidR="0025545C" w:rsidRPr="00522104">
        <w:rPr>
          <w:rFonts w:ascii="Times New Roman" w:hAnsi="Times New Roman" w:cs="Times New Roman"/>
          <w:sz w:val="28"/>
          <w:szCs w:val="28"/>
        </w:rPr>
        <w:t>,</w:t>
      </w:r>
      <w:r w:rsidRPr="00522104">
        <w:rPr>
          <w:rFonts w:ascii="Times New Roman" w:hAnsi="Times New Roman" w:cs="Times New Roman"/>
          <w:sz w:val="28"/>
          <w:szCs w:val="28"/>
        </w:rPr>
        <w:t xml:space="preserve"> в 2021 году объем ВРП увеличится по сравнению с отчетными данными 2020 года на 98874,9 млн рублей, или на 9,16 %. В 2022 году и плановом периоде 2023 и 2024 годов прогнозируется рост объема ВРП в номинальном выражени</w:t>
      </w:r>
      <w:r w:rsidR="0025545C" w:rsidRPr="00522104">
        <w:rPr>
          <w:rFonts w:ascii="Times New Roman" w:hAnsi="Times New Roman" w:cs="Times New Roman"/>
          <w:sz w:val="28"/>
          <w:szCs w:val="28"/>
        </w:rPr>
        <w:t>и: по консервативному варианту –</w:t>
      </w:r>
      <w:r w:rsidRPr="00522104">
        <w:rPr>
          <w:rFonts w:ascii="Times New Roman" w:hAnsi="Times New Roman" w:cs="Times New Roman"/>
          <w:sz w:val="28"/>
          <w:szCs w:val="28"/>
        </w:rPr>
        <w:t xml:space="preserve"> соответственно по годам 1258201,3 млн рублей, 1342859,1 млн рублей и 1431767,9 млн рублей; по базовому варианту – соответственно по годам 1279689,1 млн рублей, 1386982,2 млн рублей, 1505854,3 млн рублей.</w:t>
      </w:r>
    </w:p>
    <w:p w14:paraId="2CBA6B6E" w14:textId="118F459D"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Индекс физического объема ВРП в 2020 году составил 95,70 % против оценочного 95,83 %. По информации министерства экономического развития </w:t>
      </w:r>
      <w:r w:rsidRPr="00522104">
        <w:rPr>
          <w:rFonts w:ascii="Times New Roman" w:hAnsi="Times New Roman" w:cs="Times New Roman"/>
          <w:sz w:val="28"/>
          <w:szCs w:val="28"/>
        </w:rPr>
        <w:lastRenderedPageBreak/>
        <w:t xml:space="preserve">Приморского края </w:t>
      </w:r>
      <w:r w:rsidRPr="00522104">
        <w:rPr>
          <w:rFonts w:ascii="Times New Roman" w:hAnsi="Times New Roman" w:cs="Times New Roman"/>
          <w:bCs/>
          <w:sz w:val="28"/>
          <w:szCs w:val="28"/>
        </w:rPr>
        <w:t>(далее – Минэкономразвития ПК)</w:t>
      </w:r>
      <w:r w:rsidR="00B4107A" w:rsidRPr="00522104">
        <w:rPr>
          <w:rFonts w:ascii="Times New Roman" w:hAnsi="Times New Roman" w:cs="Times New Roman"/>
          <w:bCs/>
          <w:sz w:val="28"/>
          <w:szCs w:val="28"/>
        </w:rPr>
        <w:t>,</w:t>
      </w:r>
      <w:r w:rsidRPr="00522104">
        <w:rPr>
          <w:rFonts w:ascii="Times New Roman" w:hAnsi="Times New Roman" w:cs="Times New Roman"/>
          <w:bCs/>
          <w:sz w:val="28"/>
          <w:szCs w:val="28"/>
        </w:rPr>
        <w:t xml:space="preserve"> оценка индекса физического объема ВРП Приморского края в 2020 году – 95,70 % основывается на текущих значениях показателей, характеризующих социально-экономическое развитие региона и связано, в первую очередь, со снижением объема транспортных услуг, оборота розничной торговли, лесозаготовок.</w:t>
      </w:r>
    </w:p>
    <w:p w14:paraId="06B8225F" w14:textId="1D8A6259"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оценке</w:t>
      </w:r>
      <w:r w:rsidR="00D4338F" w:rsidRPr="00522104">
        <w:rPr>
          <w:rFonts w:ascii="Times New Roman" w:hAnsi="Times New Roman" w:cs="Times New Roman"/>
          <w:sz w:val="28"/>
          <w:szCs w:val="28"/>
        </w:rPr>
        <w:t>,</w:t>
      </w:r>
      <w:r w:rsidRPr="00522104">
        <w:rPr>
          <w:rFonts w:ascii="Times New Roman" w:hAnsi="Times New Roman" w:cs="Times New Roman"/>
          <w:sz w:val="28"/>
          <w:szCs w:val="28"/>
        </w:rPr>
        <w:t xml:space="preserve"> в 2021 году индекс физического объема ВРП составит 104,40 % против прогнозируемого в 2020 году по консервативному варианту</w:t>
      </w:r>
      <w:r w:rsidR="00D4338F" w:rsidRPr="00522104">
        <w:rPr>
          <w:rFonts w:ascii="Times New Roman" w:hAnsi="Times New Roman" w:cs="Times New Roman"/>
          <w:sz w:val="28"/>
          <w:szCs w:val="28"/>
        </w:rPr>
        <w:t> </w:t>
      </w:r>
      <w:r w:rsidRPr="00522104">
        <w:rPr>
          <w:rFonts w:ascii="Times New Roman" w:hAnsi="Times New Roman" w:cs="Times New Roman"/>
          <w:sz w:val="28"/>
          <w:szCs w:val="28"/>
        </w:rPr>
        <w:t>– 101,79 % и базовому варианту – 103,37 %.</w:t>
      </w:r>
    </w:p>
    <w:p w14:paraId="610B4DF5" w14:textId="4AC73012" w:rsidR="00286592" w:rsidRPr="00522104" w:rsidRDefault="00286592" w:rsidP="00286592">
      <w:pPr>
        <w:spacing w:after="0" w:line="240" w:lineRule="auto"/>
        <w:ind w:firstLine="708"/>
        <w:jc w:val="both"/>
        <w:rPr>
          <w:rFonts w:ascii="Times New Roman" w:hAnsi="Times New Roman" w:cs="Times New Roman"/>
          <w:i/>
          <w:sz w:val="28"/>
          <w:szCs w:val="28"/>
        </w:rPr>
      </w:pPr>
      <w:r w:rsidRPr="00522104">
        <w:rPr>
          <w:rFonts w:ascii="Times New Roman" w:hAnsi="Times New Roman" w:cs="Times New Roman"/>
          <w:sz w:val="28"/>
          <w:szCs w:val="28"/>
        </w:rPr>
        <w:t xml:space="preserve">В Прогнозе-2022 планируется индекс физического объема ВРП по консервативному варианту развития в 2022, 2023 и 2024 годах </w:t>
      </w:r>
      <w:r w:rsidR="00D4338F" w:rsidRPr="00522104">
        <w:rPr>
          <w:rFonts w:ascii="Times New Roman" w:hAnsi="Times New Roman" w:cs="Times New Roman"/>
          <w:sz w:val="28"/>
          <w:szCs w:val="28"/>
        </w:rPr>
        <w:t>–</w:t>
      </w:r>
      <w:r w:rsidRPr="00522104">
        <w:rPr>
          <w:rFonts w:ascii="Times New Roman" w:hAnsi="Times New Roman" w:cs="Times New Roman"/>
          <w:sz w:val="28"/>
          <w:szCs w:val="28"/>
        </w:rPr>
        <w:t xml:space="preserve"> 102,40 %, 102,50 % и 102,40 % соответственно, по базовому варианту – 104,40 %, 104,40 %, 104,50 % соответственно. </w:t>
      </w:r>
    </w:p>
    <w:p w14:paraId="09BA99BB" w14:textId="524CD332"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Индекс промышленного производства в 2020 году составил 79,40 % против оценочного в Прогнозе-2020 </w:t>
      </w:r>
      <w:r w:rsidR="00D4338F" w:rsidRPr="00522104">
        <w:rPr>
          <w:rFonts w:ascii="Times New Roman" w:hAnsi="Times New Roman" w:cs="Times New Roman"/>
          <w:sz w:val="28"/>
          <w:szCs w:val="28"/>
        </w:rPr>
        <w:t>–</w:t>
      </w:r>
      <w:r w:rsidRPr="00522104">
        <w:rPr>
          <w:rFonts w:ascii="Times New Roman" w:hAnsi="Times New Roman" w:cs="Times New Roman"/>
          <w:sz w:val="28"/>
          <w:szCs w:val="28"/>
        </w:rPr>
        <w:t xml:space="preserve"> 100,51 %.</w:t>
      </w:r>
    </w:p>
    <w:p w14:paraId="56A859B9" w14:textId="3AB62E3C" w:rsidR="00286592" w:rsidRPr="00522104" w:rsidRDefault="00286592" w:rsidP="00286592">
      <w:pPr>
        <w:spacing w:after="0" w:line="240" w:lineRule="auto"/>
        <w:ind w:firstLine="708"/>
        <w:jc w:val="both"/>
        <w:rPr>
          <w:rFonts w:ascii="Times New Roman" w:hAnsi="Times New Roman" w:cs="Times New Roman"/>
          <w:bCs/>
          <w:sz w:val="28"/>
          <w:szCs w:val="28"/>
        </w:rPr>
      </w:pPr>
      <w:r w:rsidRPr="00522104">
        <w:rPr>
          <w:rFonts w:ascii="Times New Roman" w:hAnsi="Times New Roman" w:cs="Times New Roman"/>
          <w:bCs/>
          <w:sz w:val="28"/>
          <w:szCs w:val="28"/>
        </w:rPr>
        <w:t xml:space="preserve">По оценке, в 2021 году индекс промышленного производства ожидается 107,10 %, что выше прогнозного значения, рассчитанного в Прогнозе-2020 на 5,97 % по консервативному варианту, и на 3,79 % </w:t>
      </w:r>
      <w:r w:rsidR="00D4338F" w:rsidRPr="00522104">
        <w:rPr>
          <w:rFonts w:ascii="Times New Roman" w:hAnsi="Times New Roman" w:cs="Times New Roman"/>
          <w:bCs/>
          <w:sz w:val="28"/>
          <w:szCs w:val="28"/>
        </w:rPr>
        <w:t>–</w:t>
      </w:r>
      <w:r w:rsidRPr="00522104">
        <w:rPr>
          <w:rFonts w:ascii="Times New Roman" w:hAnsi="Times New Roman" w:cs="Times New Roman"/>
          <w:bCs/>
          <w:sz w:val="28"/>
          <w:szCs w:val="28"/>
        </w:rPr>
        <w:t xml:space="preserve"> по базовому варианту развития экономики. </w:t>
      </w:r>
    </w:p>
    <w:p w14:paraId="1386F04B" w14:textId="174702B2" w:rsidR="00286592" w:rsidRPr="00522104" w:rsidRDefault="00286592" w:rsidP="00286592">
      <w:pPr>
        <w:spacing w:after="0" w:line="240" w:lineRule="auto"/>
        <w:ind w:firstLine="708"/>
        <w:jc w:val="both"/>
        <w:rPr>
          <w:rFonts w:ascii="Times New Roman" w:hAnsi="Times New Roman" w:cs="Times New Roman"/>
          <w:bCs/>
          <w:sz w:val="28"/>
          <w:szCs w:val="28"/>
        </w:rPr>
      </w:pPr>
      <w:r w:rsidRPr="00522104">
        <w:rPr>
          <w:rFonts w:ascii="Times New Roman" w:hAnsi="Times New Roman" w:cs="Times New Roman"/>
          <w:bCs/>
          <w:sz w:val="28"/>
          <w:szCs w:val="28"/>
        </w:rPr>
        <w:t xml:space="preserve">Согласно Прогнозу-2022 прогнозная траектория роста индекса промышленного производства в среднесрочном периоде по-прежнему планируется ниже уровня 2019 года (113,90 %). Так, индекс промышленного производства в 2022-2024 годах по консервативному варианту развития планируется на уровне 103,00 %, 103,60 % и 103,60 % соответственно, по базовому варианту </w:t>
      </w:r>
      <w:r w:rsidR="00D4338F" w:rsidRPr="00522104">
        <w:rPr>
          <w:rFonts w:ascii="Times New Roman" w:hAnsi="Times New Roman" w:cs="Times New Roman"/>
          <w:bCs/>
          <w:sz w:val="28"/>
          <w:szCs w:val="28"/>
        </w:rPr>
        <w:t>–</w:t>
      </w:r>
      <w:r w:rsidRPr="00522104">
        <w:rPr>
          <w:rFonts w:ascii="Times New Roman" w:hAnsi="Times New Roman" w:cs="Times New Roman"/>
          <w:bCs/>
          <w:sz w:val="28"/>
          <w:szCs w:val="28"/>
        </w:rPr>
        <w:t xml:space="preserve"> 105,20 %, 105,10 % и 105,20 % соответственно. </w:t>
      </w:r>
    </w:p>
    <w:p w14:paraId="3ABD17CE" w14:textId="77777777" w:rsidR="00286592" w:rsidRPr="00522104" w:rsidRDefault="00286592" w:rsidP="00286592">
      <w:pPr>
        <w:spacing w:after="0" w:line="240" w:lineRule="auto"/>
        <w:ind w:firstLine="708"/>
        <w:jc w:val="both"/>
        <w:rPr>
          <w:rFonts w:ascii="Times New Roman" w:hAnsi="Times New Roman" w:cs="Times New Roman"/>
          <w:bCs/>
          <w:sz w:val="28"/>
          <w:szCs w:val="28"/>
        </w:rPr>
      </w:pPr>
    </w:p>
    <w:p w14:paraId="03471A46" w14:textId="77777777" w:rsidR="00286592" w:rsidRPr="00522104" w:rsidRDefault="00286592" w:rsidP="00286592">
      <w:pPr>
        <w:spacing w:after="0" w:line="240" w:lineRule="auto"/>
        <w:ind w:firstLine="426"/>
        <w:jc w:val="both"/>
        <w:rPr>
          <w:rFonts w:ascii="Times New Roman" w:hAnsi="Times New Roman" w:cs="Times New Roman"/>
          <w:bCs/>
          <w:sz w:val="28"/>
          <w:szCs w:val="28"/>
        </w:rPr>
      </w:pPr>
      <w:r w:rsidRPr="00522104">
        <w:rPr>
          <w:rFonts w:ascii="Times New Roman" w:hAnsi="Times New Roman" w:cs="Times New Roman"/>
          <w:noProof/>
          <w:sz w:val="28"/>
          <w:szCs w:val="28"/>
          <w:lang w:eastAsia="ru-RU"/>
        </w:rPr>
        <w:drawing>
          <wp:inline distT="0" distB="0" distL="0" distR="0" wp14:anchorId="524821C1" wp14:editId="3443D6E2">
            <wp:extent cx="5219700" cy="2337289"/>
            <wp:effectExtent l="0" t="0" r="0" b="6350"/>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9C79A23" w14:textId="77777777" w:rsidR="00286592" w:rsidRPr="00522104" w:rsidRDefault="00286592" w:rsidP="00286592">
      <w:pPr>
        <w:spacing w:after="0" w:line="240" w:lineRule="auto"/>
        <w:ind w:firstLine="708"/>
        <w:jc w:val="both"/>
        <w:rPr>
          <w:rFonts w:ascii="Times New Roman" w:hAnsi="Times New Roman" w:cs="Times New Roman"/>
          <w:bCs/>
          <w:sz w:val="28"/>
          <w:szCs w:val="28"/>
        </w:rPr>
      </w:pPr>
    </w:p>
    <w:p w14:paraId="59711F16" w14:textId="77777777" w:rsidR="00286592" w:rsidRPr="00522104" w:rsidRDefault="00286592" w:rsidP="00286592">
      <w:pPr>
        <w:spacing w:after="0" w:line="240" w:lineRule="auto"/>
        <w:ind w:firstLine="708"/>
        <w:jc w:val="both"/>
        <w:rPr>
          <w:rFonts w:ascii="Times New Roman" w:hAnsi="Times New Roman" w:cs="Times New Roman"/>
          <w:bCs/>
          <w:sz w:val="28"/>
          <w:szCs w:val="28"/>
        </w:rPr>
      </w:pPr>
      <w:r w:rsidRPr="00522104">
        <w:rPr>
          <w:rFonts w:ascii="Times New Roman" w:hAnsi="Times New Roman" w:cs="Times New Roman"/>
          <w:bCs/>
          <w:sz w:val="28"/>
          <w:szCs w:val="28"/>
        </w:rPr>
        <w:t xml:space="preserve">По данным Минэкономразвития ПК, индекс промышленного производства по состоянию на 01.09.2021 составил 133,40 %. </w:t>
      </w:r>
    </w:p>
    <w:p w14:paraId="63C26ED3"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Согласно статистическим сведениям территориального органа Федеральной службы государственной статистики по Приморскому краю (далее – Приморскстат) индекс промышленного производства в августе 2021 года к августу 2020 года выше в 1,5 раза, (за период январь-август 2021 года к уровню января-августа 2020 года составил 133,40 %), из них по таким отраслям промышленности, как добыча полезных ископаемых в августе 2021 </w:t>
      </w:r>
      <w:r w:rsidRPr="00522104">
        <w:rPr>
          <w:rFonts w:ascii="Times New Roman" w:hAnsi="Times New Roman" w:cs="Times New Roman"/>
          <w:sz w:val="28"/>
          <w:szCs w:val="28"/>
        </w:rPr>
        <w:lastRenderedPageBreak/>
        <w:t>года к августу 2020 года – 125,1 % (за период январь-август 2021 года к январю-августу 2020 года – 98,1 %); обрабатывающие производства – в 1,7 раз (146,8 %); обеспечение электрической энергией, газом и паром; кондиционирование воздухом – 98,5 % (100,9 %); водоснабжение; водоотведение, организация сбора и утилизация отходов, деятельность по ликвидации загрязнений – 115,4 % (100,8 %).</w:t>
      </w:r>
    </w:p>
    <w:p w14:paraId="35227AB5"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Объем инвестиций в основной капитал в 2020 году составил 184745,2 млн рублей против оценочного в Прогнозе-2020 183659,02 млн рублей, что выше на 1086,18 млн рублей.</w:t>
      </w:r>
    </w:p>
    <w:p w14:paraId="06CA345E" w14:textId="7AF3881C" w:rsidR="00286592" w:rsidRPr="00522104" w:rsidRDefault="00286592" w:rsidP="00286592">
      <w:pPr>
        <w:widowControl w:val="0"/>
        <w:spacing w:after="0" w:line="240" w:lineRule="auto"/>
        <w:ind w:firstLine="708"/>
        <w:jc w:val="both"/>
        <w:rPr>
          <w:rFonts w:ascii="Times New Roman" w:hAnsi="Times New Roman" w:cs="Times New Roman"/>
          <w:noProof/>
          <w:sz w:val="28"/>
          <w:szCs w:val="28"/>
          <w:lang w:eastAsia="ru-RU"/>
        </w:rPr>
      </w:pPr>
      <w:r w:rsidRPr="00522104">
        <w:rPr>
          <w:rFonts w:ascii="Times New Roman" w:hAnsi="Times New Roman" w:cs="Times New Roman"/>
          <w:sz w:val="28"/>
          <w:szCs w:val="28"/>
        </w:rPr>
        <w:t>По Прогнозу-2022, объем инвестиций в 2021 году оценивается выше на 21984,7 млн рублей к 2020 году, или на 11,90 %</w:t>
      </w:r>
      <w:r w:rsidR="00583CF0" w:rsidRPr="00522104">
        <w:rPr>
          <w:rFonts w:ascii="Times New Roman" w:hAnsi="Times New Roman" w:cs="Times New Roman"/>
          <w:sz w:val="28"/>
          <w:szCs w:val="28"/>
        </w:rPr>
        <w:t>,</w:t>
      </w:r>
      <w:r w:rsidRPr="00522104">
        <w:rPr>
          <w:rFonts w:ascii="Times New Roman" w:hAnsi="Times New Roman" w:cs="Times New Roman"/>
          <w:sz w:val="28"/>
          <w:szCs w:val="28"/>
        </w:rPr>
        <w:t xml:space="preserve"> и составит 206729,9 млн рублей</w:t>
      </w:r>
      <w:r w:rsidRPr="00522104">
        <w:rPr>
          <w:rFonts w:ascii="Times New Roman" w:hAnsi="Times New Roman" w:cs="Times New Roman"/>
          <w:sz w:val="28"/>
          <w:szCs w:val="28"/>
          <w:shd w:val="clear" w:color="auto" w:fill="FFFFFF" w:themeFill="background1"/>
        </w:rPr>
        <w:t xml:space="preserve">. В </w:t>
      </w:r>
      <w:r w:rsidRPr="00522104">
        <w:rPr>
          <w:rFonts w:ascii="Times New Roman" w:hAnsi="Times New Roman" w:cs="Times New Roman"/>
          <w:sz w:val="28"/>
          <w:szCs w:val="28"/>
        </w:rPr>
        <w:t xml:space="preserve">2022 году по консервативному варианту также планируется рост объема инвестиций на 10,30 %, что составит 228026,4 млн рублей, в плановом 2023 году и 2024 году </w:t>
      </w:r>
      <w:r w:rsidR="00796336" w:rsidRPr="00522104">
        <w:rPr>
          <w:rFonts w:ascii="Times New Roman" w:hAnsi="Times New Roman" w:cs="Times New Roman"/>
          <w:sz w:val="28"/>
          <w:szCs w:val="28"/>
        </w:rPr>
        <w:t>–</w:t>
      </w:r>
      <w:r w:rsidRPr="00522104">
        <w:rPr>
          <w:rFonts w:ascii="Times New Roman" w:hAnsi="Times New Roman" w:cs="Times New Roman"/>
          <w:sz w:val="28"/>
          <w:szCs w:val="28"/>
        </w:rPr>
        <w:t xml:space="preserve"> рост на 11,25 % и на 14,60 %, что составит 253679,2 млн рублей и 290725,2 млн рублей соответственно.</w:t>
      </w:r>
      <w:r w:rsidRPr="00522104">
        <w:rPr>
          <w:rFonts w:ascii="Times New Roman" w:hAnsi="Times New Roman" w:cs="Times New Roman"/>
          <w:noProof/>
          <w:sz w:val="28"/>
          <w:szCs w:val="28"/>
          <w:lang w:eastAsia="ru-RU"/>
        </w:rPr>
        <w:t xml:space="preserve"> По базовому сценарию развития экономики объем инвестиций в основной капитал прогнозируется в 2022 году, 2023 году и 2024 году в сумме 229515,1 млн рублей, 256965,4 млн рублей и 296354,6 млн рублей соответственно. </w:t>
      </w:r>
    </w:p>
    <w:p w14:paraId="3D97498B" w14:textId="77777777" w:rsidR="00BE7055" w:rsidRPr="00522104" w:rsidRDefault="00BE7055" w:rsidP="00286592">
      <w:pPr>
        <w:widowControl w:val="0"/>
        <w:spacing w:after="0" w:line="240" w:lineRule="auto"/>
        <w:ind w:firstLine="708"/>
        <w:jc w:val="both"/>
        <w:rPr>
          <w:rFonts w:ascii="Times New Roman" w:hAnsi="Times New Roman" w:cs="Times New Roman"/>
          <w:noProof/>
          <w:sz w:val="28"/>
          <w:szCs w:val="28"/>
          <w:lang w:eastAsia="ru-RU"/>
        </w:rPr>
      </w:pPr>
    </w:p>
    <w:p w14:paraId="1647BFFC" w14:textId="77777777" w:rsidR="00286592" w:rsidRPr="00522104" w:rsidRDefault="00286592" w:rsidP="00286592">
      <w:pPr>
        <w:widowControl w:val="0"/>
        <w:spacing w:after="0" w:line="240" w:lineRule="auto"/>
        <w:ind w:firstLine="708"/>
        <w:jc w:val="center"/>
        <w:rPr>
          <w:rFonts w:ascii="Times New Roman" w:hAnsi="Times New Roman" w:cs="Times New Roman"/>
          <w:b/>
          <w:noProof/>
          <w:sz w:val="28"/>
          <w:szCs w:val="28"/>
          <w:lang w:eastAsia="ru-RU"/>
        </w:rPr>
      </w:pPr>
    </w:p>
    <w:p w14:paraId="599CE51C" w14:textId="77777777" w:rsidR="00286592" w:rsidRPr="00522104" w:rsidRDefault="00286592" w:rsidP="00286592">
      <w:pPr>
        <w:widowControl w:val="0"/>
        <w:spacing w:after="0" w:line="240" w:lineRule="auto"/>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299779EA" wp14:editId="332CC95F">
            <wp:extent cx="5943600" cy="2849880"/>
            <wp:effectExtent l="0" t="0" r="0" b="7620"/>
            <wp:docPr id="50" name="Диаграмма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30E56B5" w14:textId="77777777" w:rsidR="00286592" w:rsidRPr="00522104" w:rsidRDefault="00286592" w:rsidP="00286592">
      <w:pPr>
        <w:widowControl w:val="0"/>
        <w:spacing w:after="0" w:line="240" w:lineRule="auto"/>
        <w:ind w:firstLine="708"/>
        <w:jc w:val="both"/>
        <w:rPr>
          <w:rFonts w:ascii="Times New Roman" w:hAnsi="Times New Roman" w:cs="Times New Roman"/>
          <w:sz w:val="28"/>
          <w:szCs w:val="28"/>
        </w:rPr>
      </w:pPr>
    </w:p>
    <w:p w14:paraId="08216168" w14:textId="05F591CB" w:rsidR="00286592" w:rsidRPr="00522104" w:rsidRDefault="00286592" w:rsidP="00286592">
      <w:pPr>
        <w:widowControl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Согласно пояснительной записке к Прогнозу-2022 наиболее крупны</w:t>
      </w:r>
      <w:r w:rsidR="00882C1D" w:rsidRPr="00522104">
        <w:rPr>
          <w:rFonts w:ascii="Times New Roman" w:hAnsi="Times New Roman" w:cs="Times New Roman"/>
          <w:sz w:val="28"/>
          <w:szCs w:val="28"/>
        </w:rPr>
        <w:t>ми</w:t>
      </w:r>
      <w:r w:rsidRPr="00522104">
        <w:rPr>
          <w:rFonts w:ascii="Times New Roman" w:hAnsi="Times New Roman" w:cs="Times New Roman"/>
          <w:sz w:val="28"/>
          <w:szCs w:val="28"/>
        </w:rPr>
        <w:t xml:space="preserve"> направления</w:t>
      </w:r>
      <w:r w:rsidR="00882C1D" w:rsidRPr="00522104">
        <w:rPr>
          <w:rFonts w:ascii="Times New Roman" w:hAnsi="Times New Roman" w:cs="Times New Roman"/>
          <w:sz w:val="28"/>
          <w:szCs w:val="28"/>
        </w:rPr>
        <w:t>ми</w:t>
      </w:r>
      <w:r w:rsidRPr="00522104">
        <w:rPr>
          <w:rFonts w:ascii="Times New Roman" w:hAnsi="Times New Roman" w:cs="Times New Roman"/>
          <w:sz w:val="28"/>
          <w:szCs w:val="28"/>
        </w:rPr>
        <w:t xml:space="preserve"> развития инвестиционной деятельности в Приморском крае, обеспечивающи</w:t>
      </w:r>
      <w:r w:rsidR="00882C1D" w:rsidRPr="00522104">
        <w:rPr>
          <w:rFonts w:ascii="Times New Roman" w:hAnsi="Times New Roman" w:cs="Times New Roman"/>
          <w:sz w:val="28"/>
          <w:szCs w:val="28"/>
        </w:rPr>
        <w:t>ми</w:t>
      </w:r>
      <w:r w:rsidRPr="00522104">
        <w:rPr>
          <w:rFonts w:ascii="Times New Roman" w:hAnsi="Times New Roman" w:cs="Times New Roman"/>
          <w:sz w:val="28"/>
          <w:szCs w:val="28"/>
        </w:rPr>
        <w:t xml:space="preserve"> достижение показателей инвестиций в основной капитал, являются развитие территорий опережающего социально-экономич</w:t>
      </w:r>
      <w:r w:rsidR="00882C1D" w:rsidRPr="00522104">
        <w:rPr>
          <w:rFonts w:ascii="Times New Roman" w:hAnsi="Times New Roman" w:cs="Times New Roman"/>
          <w:sz w:val="28"/>
          <w:szCs w:val="28"/>
        </w:rPr>
        <w:t>еского развития (далее – ТОСЭР) и</w:t>
      </w:r>
      <w:r w:rsidRPr="00522104">
        <w:rPr>
          <w:rFonts w:ascii="Times New Roman" w:hAnsi="Times New Roman" w:cs="Times New Roman"/>
          <w:sz w:val="28"/>
          <w:szCs w:val="28"/>
        </w:rPr>
        <w:t xml:space="preserve"> реализация режима свободного порта Владивосток (далее – СПВ) на территории муниципальных образований Приморского края.</w:t>
      </w:r>
    </w:p>
    <w:p w14:paraId="03A28BCE" w14:textId="77777777" w:rsidR="00286592" w:rsidRPr="00522104" w:rsidRDefault="00286592" w:rsidP="00286592">
      <w:pPr>
        <w:widowControl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В Приморье функционируют 4 территории опережающего развития: "Надеждинская", "Михайловский", "Большой Камень", "Нефтехимический". Каждая из них имеет свою специализацию, которая важна как с точки зрения </w:t>
      </w:r>
      <w:r w:rsidRPr="00522104">
        <w:rPr>
          <w:rFonts w:ascii="Times New Roman" w:hAnsi="Times New Roman" w:cs="Times New Roman"/>
          <w:sz w:val="28"/>
          <w:szCs w:val="28"/>
        </w:rPr>
        <w:lastRenderedPageBreak/>
        <w:t xml:space="preserve">текущего развития, так и с точки зрения создания "новой экономики" региона. </w:t>
      </w:r>
    </w:p>
    <w:p w14:paraId="0DDA1A15" w14:textId="77777777" w:rsidR="00286592" w:rsidRPr="00522104" w:rsidRDefault="00286592" w:rsidP="00286592">
      <w:pPr>
        <w:widowControl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оценке, доля инвестиций, осуществляемых в преференциальных режимах ведения хозяйственной деятельности (</w:t>
      </w:r>
      <w:r w:rsidRPr="00522104">
        <w:rPr>
          <w:rFonts w:ascii="Times New Roman" w:hAnsi="Times New Roman" w:cs="Times New Roman"/>
          <w:sz w:val="28"/>
          <w:szCs w:val="28"/>
          <w:shd w:val="clear" w:color="auto" w:fill="FFFFFF" w:themeFill="background1"/>
        </w:rPr>
        <w:t>ТОСЭР</w:t>
      </w:r>
      <w:r w:rsidRPr="00522104">
        <w:rPr>
          <w:rFonts w:ascii="Times New Roman" w:hAnsi="Times New Roman" w:cs="Times New Roman"/>
          <w:sz w:val="28"/>
          <w:szCs w:val="28"/>
        </w:rPr>
        <w:t>, СПВ) в общем объеме инвестиций в основной капитал будет иметь устойчивую тенденцию к увеличению. Данная тенденция является следствием увеличения числа компаний-резидентов, а также выходом к 2022 году большей части инвестиционных проектов на этап строительно-монтажных работ и приобретения оборудования.</w:t>
      </w:r>
    </w:p>
    <w:p w14:paraId="03274C9B" w14:textId="38E6CD46" w:rsidR="00286592" w:rsidRPr="00522104" w:rsidRDefault="00286592" w:rsidP="00286592">
      <w:pPr>
        <w:widowControl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информации Минэкономразвития ПК</w:t>
      </w:r>
      <w:r w:rsidR="00882C1D"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наиболее крупными проектами резидентов ТОР И СПВ, осуществляющих свою деятельность за счет частных средств, являются:</w:t>
      </w:r>
    </w:p>
    <w:p w14:paraId="15B299E6" w14:textId="60188A2D" w:rsidR="00286592" w:rsidRPr="00522104" w:rsidRDefault="00286592" w:rsidP="00286592">
      <w:pPr>
        <w:widowControl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строительство Находкинского завода минеральных удобрений (ЗАО "НЗМУ") в пос. Козьмино Находкинского городского округа. </w:t>
      </w:r>
      <w:r w:rsidR="00453797" w:rsidRPr="00522104">
        <w:rPr>
          <w:rFonts w:ascii="Times New Roman" w:hAnsi="Times New Roman" w:cs="Times New Roman"/>
          <w:sz w:val="28"/>
          <w:szCs w:val="28"/>
        </w:rPr>
        <w:t>Инвестор</w:t>
      </w:r>
      <w:r w:rsidRPr="00522104">
        <w:rPr>
          <w:rFonts w:ascii="Times New Roman" w:hAnsi="Times New Roman" w:cs="Times New Roman"/>
          <w:sz w:val="28"/>
          <w:szCs w:val="28"/>
        </w:rPr>
        <w:t>: ЗАО "Находкинский завод минеральных удобрений"</w:t>
      </w:r>
      <w:r w:rsidR="00453797" w:rsidRPr="00522104">
        <w:rPr>
          <w:rFonts w:ascii="Times New Roman" w:hAnsi="Times New Roman" w:cs="Times New Roman"/>
          <w:sz w:val="28"/>
          <w:szCs w:val="28"/>
        </w:rPr>
        <w:t>.</w:t>
      </w:r>
      <w:r w:rsidRPr="00522104">
        <w:rPr>
          <w:rFonts w:ascii="Times New Roman" w:hAnsi="Times New Roman" w:cs="Times New Roman"/>
          <w:sz w:val="28"/>
          <w:szCs w:val="28"/>
        </w:rPr>
        <w:t xml:space="preserve"> Срок реализации: 2019-2026 годы. Инвестиции по соглашению: 244,6 млрд рублей. Количество </w:t>
      </w:r>
      <w:r w:rsidR="00882C1D" w:rsidRPr="00522104">
        <w:rPr>
          <w:rFonts w:ascii="Times New Roman" w:hAnsi="Times New Roman" w:cs="Times New Roman"/>
          <w:sz w:val="28"/>
          <w:szCs w:val="28"/>
        </w:rPr>
        <w:t>создаваемых рабочих мест – 1505</w:t>
      </w:r>
      <w:r w:rsidRPr="00522104">
        <w:rPr>
          <w:rFonts w:ascii="Times New Roman" w:hAnsi="Times New Roman" w:cs="Times New Roman"/>
          <w:sz w:val="28"/>
          <w:szCs w:val="28"/>
        </w:rPr>
        <w:t>;</w:t>
      </w:r>
    </w:p>
    <w:p w14:paraId="7FC6B9E3" w14:textId="0D16E4FC" w:rsidR="00286592" w:rsidRPr="00522104" w:rsidRDefault="00286592" w:rsidP="00286592">
      <w:pPr>
        <w:widowControl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создание судостроительного комплекса "Звезда" в городском округе Большой Камень. Инвесторы: АО "РОСНЕФТЕГАЗ", ПАО "НК "Роснефть". Срок реализации: 2012-2024 годы. Инвестиции по соглашению: 202,5 млрд рублей. Количество </w:t>
      </w:r>
      <w:r w:rsidR="00882C1D" w:rsidRPr="00522104">
        <w:rPr>
          <w:rFonts w:ascii="Times New Roman" w:hAnsi="Times New Roman" w:cs="Times New Roman"/>
          <w:sz w:val="28"/>
          <w:szCs w:val="28"/>
        </w:rPr>
        <w:t>создаваемых рабочих мест – 7500</w:t>
      </w:r>
      <w:r w:rsidRPr="00522104">
        <w:rPr>
          <w:rFonts w:ascii="Times New Roman" w:hAnsi="Times New Roman" w:cs="Times New Roman"/>
          <w:sz w:val="28"/>
          <w:szCs w:val="28"/>
        </w:rPr>
        <w:t>.</w:t>
      </w:r>
    </w:p>
    <w:p w14:paraId="05D62631" w14:textId="425B45C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данным Приморскстата</w:t>
      </w:r>
      <w:r w:rsidR="00882C1D" w:rsidRPr="00522104">
        <w:rPr>
          <w:rFonts w:ascii="Times New Roman" w:hAnsi="Times New Roman" w:cs="Times New Roman"/>
          <w:sz w:val="28"/>
          <w:szCs w:val="28"/>
        </w:rPr>
        <w:t>,</w:t>
      </w:r>
      <w:r w:rsidRPr="00522104">
        <w:rPr>
          <w:rFonts w:ascii="Times New Roman" w:hAnsi="Times New Roman" w:cs="Times New Roman"/>
          <w:sz w:val="28"/>
          <w:szCs w:val="28"/>
        </w:rPr>
        <w:t xml:space="preserve"> объем инвестиций в основной капитал за 1 полугодие 2021 года составил 68734,0 млн рублей, или 33,25 % от оценочного показателя (206729,9 млн рублей). Указанный показатель свидетельствует о том, что вероятнее всего объем инвестиций за 2021 год не достигнет оценочного уровня.</w:t>
      </w:r>
    </w:p>
    <w:p w14:paraId="0383C87F"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i/>
          <w:sz w:val="28"/>
          <w:szCs w:val="28"/>
        </w:rPr>
        <w:t>Справочно: за 1 полугодие 2021 года инвестиции организаций (без субъектов малого предпринимательства и объема инвестиций, не наблюдаемых прямыми статистическими методами) составили 49448,9 млн рублей, или 71,9 % общего объема инвестиций в основной капитал.</w:t>
      </w:r>
    </w:p>
    <w:p w14:paraId="71AF676E"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 2020 году индекс физического объема инвестиций в основной капитал составил 90,50 % против оценочного в 2020 году 100,10 %.</w:t>
      </w:r>
    </w:p>
    <w:p w14:paraId="711FE91C" w14:textId="77777777" w:rsidR="00286592" w:rsidRPr="00522104" w:rsidRDefault="00286592" w:rsidP="00286592">
      <w:pPr>
        <w:spacing w:after="0" w:line="240" w:lineRule="auto"/>
        <w:ind w:firstLine="708"/>
        <w:jc w:val="both"/>
        <w:rPr>
          <w:rFonts w:ascii="Times New Roman" w:hAnsi="Times New Roman" w:cs="Times New Roman"/>
          <w:bCs/>
          <w:sz w:val="28"/>
          <w:szCs w:val="28"/>
        </w:rPr>
      </w:pPr>
      <w:r w:rsidRPr="00522104">
        <w:rPr>
          <w:rFonts w:ascii="Times New Roman" w:hAnsi="Times New Roman" w:cs="Times New Roman"/>
          <w:bCs/>
          <w:sz w:val="28"/>
          <w:szCs w:val="28"/>
        </w:rPr>
        <w:t xml:space="preserve">По оценке, в 2021 году индекс физического объема инвестиций в основной капитал ожидается с ростом и составит 104,50 %. </w:t>
      </w:r>
    </w:p>
    <w:p w14:paraId="703EC4A4" w14:textId="5494DB39" w:rsidR="00286592" w:rsidRPr="00522104" w:rsidRDefault="00286592" w:rsidP="00286592">
      <w:pPr>
        <w:spacing w:after="0" w:line="240" w:lineRule="auto"/>
        <w:ind w:firstLine="708"/>
        <w:jc w:val="both"/>
        <w:rPr>
          <w:rFonts w:ascii="Times New Roman" w:hAnsi="Times New Roman" w:cs="Times New Roman"/>
          <w:bCs/>
          <w:sz w:val="28"/>
          <w:szCs w:val="28"/>
        </w:rPr>
      </w:pPr>
      <w:r w:rsidRPr="00522104">
        <w:rPr>
          <w:rFonts w:ascii="Times New Roman" w:hAnsi="Times New Roman" w:cs="Times New Roman"/>
          <w:bCs/>
          <w:sz w:val="28"/>
          <w:szCs w:val="28"/>
        </w:rPr>
        <w:t>По Прогнозу-2022 р</w:t>
      </w:r>
      <w:r w:rsidRPr="00522104">
        <w:rPr>
          <w:rFonts w:ascii="Times New Roman" w:hAnsi="Times New Roman" w:cs="Times New Roman"/>
          <w:sz w:val="28"/>
          <w:szCs w:val="28"/>
        </w:rPr>
        <w:t>ост индекса физического объема инвестиций в основной капитал в среднесрочном периоде ожидается более низки</w:t>
      </w:r>
      <w:r w:rsidR="00E44E56" w:rsidRPr="00522104">
        <w:rPr>
          <w:rFonts w:ascii="Times New Roman" w:hAnsi="Times New Roman" w:cs="Times New Roman"/>
          <w:sz w:val="28"/>
          <w:szCs w:val="28"/>
        </w:rPr>
        <w:t>ми темпами, и согласно Прогнозу-</w:t>
      </w:r>
      <w:r w:rsidRPr="00522104">
        <w:rPr>
          <w:rFonts w:ascii="Times New Roman" w:hAnsi="Times New Roman" w:cs="Times New Roman"/>
          <w:sz w:val="28"/>
          <w:szCs w:val="28"/>
        </w:rPr>
        <w:t xml:space="preserve">2022 к 2024 году не достигнет докризисного уровня 2019 года (115,40 %): </w:t>
      </w:r>
      <w:r w:rsidRPr="00522104">
        <w:rPr>
          <w:rFonts w:ascii="Times New Roman" w:hAnsi="Times New Roman" w:cs="Times New Roman"/>
          <w:bCs/>
          <w:sz w:val="28"/>
          <w:szCs w:val="28"/>
        </w:rPr>
        <w:t xml:space="preserve">по консервативному варианту развития в 2022-2024 годах планируется на уровне 104,80 %, 104,90 % и 105,30 % соответственно, по базовому варианту развития </w:t>
      </w:r>
      <w:r w:rsidR="00882C1D" w:rsidRPr="00522104">
        <w:rPr>
          <w:rFonts w:ascii="Times New Roman" w:hAnsi="Times New Roman" w:cs="Times New Roman"/>
          <w:bCs/>
          <w:sz w:val="28"/>
          <w:szCs w:val="28"/>
        </w:rPr>
        <w:t>–</w:t>
      </w:r>
      <w:r w:rsidRPr="00522104">
        <w:rPr>
          <w:rFonts w:ascii="Times New Roman" w:hAnsi="Times New Roman" w:cs="Times New Roman"/>
          <w:bCs/>
          <w:sz w:val="28"/>
          <w:szCs w:val="28"/>
        </w:rPr>
        <w:t xml:space="preserve"> 105,80 %, 105,90 % и 106,40 % соответственно.</w:t>
      </w:r>
    </w:p>
    <w:p w14:paraId="330AAFF4" w14:textId="77777777"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shd w:val="clear" w:color="auto" w:fill="FFFFFF" w:themeFill="background1"/>
        </w:rPr>
        <w:t xml:space="preserve">Индекс физического объема инвестиций в основной капитал за 1 полугодие 2021 года к соответствующему периоду предыдущего года составил 84,0 % в сопоставимых ценах. </w:t>
      </w:r>
    </w:p>
    <w:p w14:paraId="3C0CFE87"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lastRenderedPageBreak/>
        <w:t xml:space="preserve">Оборот розничной торговли в 2021 году по оценке составит 485196,7 млн рублей, что на 8,44 % выше уровня 2019 года, и на 11,62 % выше </w:t>
      </w:r>
    </w:p>
    <w:p w14:paraId="598D678B" w14:textId="60826959" w:rsidR="00286592" w:rsidRPr="00522104" w:rsidRDefault="00286592" w:rsidP="00286592">
      <w:pPr>
        <w:spacing w:after="0" w:line="240" w:lineRule="auto"/>
        <w:jc w:val="both"/>
        <w:rPr>
          <w:rFonts w:ascii="Times New Roman" w:hAnsi="Times New Roman" w:cs="Times New Roman"/>
          <w:sz w:val="28"/>
          <w:szCs w:val="28"/>
        </w:rPr>
      </w:pPr>
      <w:r w:rsidRPr="00522104">
        <w:rPr>
          <w:rFonts w:ascii="Times New Roman" w:hAnsi="Times New Roman" w:cs="Times New Roman"/>
          <w:sz w:val="28"/>
          <w:szCs w:val="28"/>
        </w:rPr>
        <w:t>уровня 2020 года. По консервативному варианту развития экономики в 2022-2024 годах предполагается умеренный восстановительный рост оборота розничной торговли края, объем которого составит 518243,5 млн рублей</w:t>
      </w:r>
      <w:r w:rsidR="00E44E56" w:rsidRPr="00522104">
        <w:rPr>
          <w:rFonts w:ascii="Times New Roman" w:hAnsi="Times New Roman" w:cs="Times New Roman"/>
          <w:sz w:val="28"/>
          <w:szCs w:val="28"/>
        </w:rPr>
        <w:t>, 551923,1 млн рублей и 588369,9</w:t>
      </w:r>
      <w:r w:rsidRPr="00522104">
        <w:rPr>
          <w:rFonts w:ascii="Times New Roman" w:hAnsi="Times New Roman" w:cs="Times New Roman"/>
          <w:sz w:val="28"/>
          <w:szCs w:val="28"/>
        </w:rPr>
        <w:t xml:space="preserve"> млн рублей соответственно. В условиях базового варианта развития экономики оборот розничной торговли ожидается в 2022-2024 годах в сумме 518749,0 млн рублей, 555156,9 млн рублей и 593547,1 млн рублей соответственно. </w:t>
      </w:r>
    </w:p>
    <w:p w14:paraId="20CA2BEB" w14:textId="77777777" w:rsidR="00286592" w:rsidRPr="00522104" w:rsidRDefault="00286592" w:rsidP="00286592">
      <w:pPr>
        <w:widowControl w:val="0"/>
        <w:spacing w:after="0" w:line="240" w:lineRule="auto"/>
        <w:ind w:firstLine="708"/>
        <w:jc w:val="center"/>
        <w:rPr>
          <w:rFonts w:ascii="Times New Roman" w:hAnsi="Times New Roman" w:cs="Times New Roman"/>
          <w:b/>
          <w:sz w:val="28"/>
          <w:szCs w:val="28"/>
        </w:rPr>
      </w:pPr>
    </w:p>
    <w:p w14:paraId="0703A9D8" w14:textId="77777777" w:rsidR="00286592" w:rsidRPr="00522104" w:rsidRDefault="00286592" w:rsidP="00286592">
      <w:pPr>
        <w:spacing w:after="0" w:line="240" w:lineRule="auto"/>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5836004D" wp14:editId="2AB66C0E">
            <wp:extent cx="6120319" cy="2750820"/>
            <wp:effectExtent l="0" t="0" r="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978448" w14:textId="77777777" w:rsidR="00286592" w:rsidRPr="00522104" w:rsidRDefault="00286592" w:rsidP="00286592">
      <w:pPr>
        <w:widowControl w:val="0"/>
        <w:spacing w:after="0" w:line="240" w:lineRule="auto"/>
        <w:ind w:firstLine="708"/>
        <w:jc w:val="both"/>
        <w:rPr>
          <w:rFonts w:ascii="Times New Roman" w:hAnsi="Times New Roman" w:cs="Times New Roman"/>
          <w:sz w:val="28"/>
          <w:szCs w:val="28"/>
        </w:rPr>
      </w:pPr>
    </w:p>
    <w:p w14:paraId="79BA9C90" w14:textId="77777777" w:rsidR="00286592" w:rsidRPr="00522104" w:rsidRDefault="00286592" w:rsidP="00286592">
      <w:pPr>
        <w:widowControl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 соответствии с пояснительной запиской к Прогнозу-2022 показатель оборота розничной торговли рассчитан исходя из общих тенденций развития экономики России в целом, с учетом реализации разработанного Правительством Российской Федерации комплекса мер, направленных на обеспечение ускорения темпов экономического роста и улучшения демографической ситуации, роста доходов населения. Также при расчетах использованы основные показатели прогноза оборота розничной торговли по Российской Федерации.</w:t>
      </w:r>
    </w:p>
    <w:p w14:paraId="07153B6C" w14:textId="0FD42C35"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данным Приморскстата</w:t>
      </w:r>
      <w:r w:rsidR="003B0C6E" w:rsidRPr="00522104">
        <w:rPr>
          <w:rFonts w:ascii="Times New Roman" w:hAnsi="Times New Roman" w:cs="Times New Roman"/>
          <w:sz w:val="28"/>
          <w:szCs w:val="28"/>
        </w:rPr>
        <w:t>,</w:t>
      </w:r>
      <w:r w:rsidRPr="00522104">
        <w:rPr>
          <w:rFonts w:ascii="Times New Roman" w:hAnsi="Times New Roman" w:cs="Times New Roman"/>
          <w:sz w:val="28"/>
          <w:szCs w:val="28"/>
        </w:rPr>
        <w:t xml:space="preserve"> оборот розничной торговли в январе-августе 2021 года увеличился по сравнению с уровнем января-августа 2020 года на 13,1 % и составил 316569,1 млн рублей, что составляет 65,25 % от оценочного показателя (485196,7 млн рублей). </w:t>
      </w:r>
    </w:p>
    <w:p w14:paraId="5495627E"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Индекс физического объема оборота розничной торговли в 2020 году составил 94,3%. Снижение уровня доходов населения связано с карантинными ограничениями. По предварительной оценке, в 2021 году ожидается рост оборота розничной торговли по сравнению с предшествующим годом на 5,7 %. </w:t>
      </w:r>
    </w:p>
    <w:p w14:paraId="01F067D3" w14:textId="232B221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Прогнозу-2022 индекс физического объема оборота розничной торговли планируется ниже уровня 2019 года (106,30 %) и с 2022 года до 2024 года спрогнозирован на уровне 103,0 % -</w:t>
      </w:r>
      <w:r w:rsidR="003B0C6E" w:rsidRPr="00522104">
        <w:rPr>
          <w:rFonts w:ascii="Times New Roman" w:hAnsi="Times New Roman" w:cs="Times New Roman"/>
          <w:sz w:val="28"/>
          <w:szCs w:val="28"/>
        </w:rPr>
        <w:t xml:space="preserve"> </w:t>
      </w:r>
      <w:r w:rsidRPr="00522104">
        <w:rPr>
          <w:rFonts w:ascii="Times New Roman" w:hAnsi="Times New Roman" w:cs="Times New Roman"/>
          <w:sz w:val="28"/>
          <w:szCs w:val="28"/>
        </w:rPr>
        <w:t>102,8 % по консервативному варианту развития экономики и на уровне 103,2 % по базовому варианту.</w:t>
      </w:r>
    </w:p>
    <w:p w14:paraId="7ECBBA47" w14:textId="25864BFF"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themeFill="background1"/>
        </w:rPr>
      </w:pPr>
      <w:r w:rsidRPr="00522104">
        <w:rPr>
          <w:rFonts w:ascii="Times New Roman" w:hAnsi="Times New Roman" w:cs="Times New Roman"/>
          <w:sz w:val="28"/>
          <w:szCs w:val="28"/>
          <w:shd w:val="clear" w:color="auto" w:fill="FFFFFF" w:themeFill="background1"/>
        </w:rPr>
        <w:lastRenderedPageBreak/>
        <w:t>В сфере платных услуг восстановление продолжается, хотя его показатели пока не достигли "допандемийных" уровней. Так</w:t>
      </w:r>
      <w:r w:rsidR="003B0C6E" w:rsidRPr="00522104">
        <w:rPr>
          <w:rFonts w:ascii="Times New Roman" w:hAnsi="Times New Roman" w:cs="Times New Roman"/>
          <w:sz w:val="28"/>
          <w:szCs w:val="28"/>
          <w:shd w:val="clear" w:color="auto" w:fill="FFFFFF" w:themeFill="background1"/>
        </w:rPr>
        <w:t>,</w:t>
      </w:r>
      <w:r w:rsidRPr="00522104">
        <w:rPr>
          <w:rFonts w:ascii="Times New Roman" w:hAnsi="Times New Roman" w:cs="Times New Roman"/>
          <w:sz w:val="28"/>
          <w:szCs w:val="28"/>
          <w:shd w:val="clear" w:color="auto" w:fill="FFFFFF" w:themeFill="background1"/>
        </w:rPr>
        <w:t xml:space="preserve"> по оценке</w:t>
      </w:r>
      <w:r w:rsidR="003B0C6E" w:rsidRPr="00522104">
        <w:rPr>
          <w:rFonts w:ascii="Times New Roman" w:hAnsi="Times New Roman" w:cs="Times New Roman"/>
          <w:sz w:val="28"/>
          <w:szCs w:val="28"/>
          <w:shd w:val="clear" w:color="auto" w:fill="FFFFFF" w:themeFill="background1"/>
        </w:rPr>
        <w:t>,</w:t>
      </w:r>
      <w:r w:rsidRPr="00522104">
        <w:rPr>
          <w:rFonts w:ascii="Times New Roman" w:hAnsi="Times New Roman" w:cs="Times New Roman"/>
          <w:sz w:val="28"/>
          <w:szCs w:val="28"/>
          <w:shd w:val="clear" w:color="auto" w:fill="FFFFFF" w:themeFill="background1"/>
        </w:rPr>
        <w:t xml:space="preserve"> </w:t>
      </w:r>
      <w:r w:rsidR="003B0C6E" w:rsidRPr="00522104">
        <w:rPr>
          <w:rFonts w:ascii="Times New Roman" w:hAnsi="Times New Roman" w:cs="Times New Roman"/>
          <w:sz w:val="28"/>
          <w:szCs w:val="28"/>
          <w:shd w:val="clear" w:color="auto" w:fill="FFFFFF" w:themeFill="background1"/>
        </w:rPr>
        <w:t xml:space="preserve">в 2021 году </w:t>
      </w:r>
      <w:r w:rsidRPr="00522104">
        <w:rPr>
          <w:rFonts w:ascii="Times New Roman" w:hAnsi="Times New Roman" w:cs="Times New Roman"/>
          <w:sz w:val="28"/>
          <w:szCs w:val="28"/>
          <w:shd w:val="clear" w:color="auto" w:fill="FFFFFF" w:themeFill="background1"/>
        </w:rPr>
        <w:t>объем платных услуг составит 143198,9 млн рублей, что ниже уровня 2019 года на 12,28 % (в 2019 году – 163241,30 млн рублей), но выше уровня 2020 года на 6,91 % (в 2020 году – 133937,5 млн рублей).</w:t>
      </w:r>
    </w:p>
    <w:p w14:paraId="68B63193" w14:textId="21D04D83"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themeFill="background1"/>
        </w:rPr>
      </w:pPr>
      <w:r w:rsidRPr="00522104">
        <w:rPr>
          <w:rFonts w:ascii="Times New Roman" w:hAnsi="Times New Roman" w:cs="Times New Roman"/>
          <w:sz w:val="28"/>
          <w:szCs w:val="28"/>
          <w:shd w:val="clear" w:color="auto" w:fill="FFFFFF" w:themeFill="background1"/>
        </w:rPr>
        <w:t xml:space="preserve">С 2022 года до 2024 года объем платных услуг населению планируется с более сдержанным восстановительным ростом по консервативному варианту и составит 155176,8 млн рублей, 168479,7 млн рублей и 183274,5 млн рублей соответственно; по базовому варианту </w:t>
      </w:r>
      <w:r w:rsidR="003B0C6E" w:rsidRPr="00522104">
        <w:rPr>
          <w:rFonts w:ascii="Times New Roman" w:hAnsi="Times New Roman" w:cs="Times New Roman"/>
          <w:sz w:val="28"/>
          <w:szCs w:val="28"/>
          <w:shd w:val="clear" w:color="auto" w:fill="FFFFFF" w:themeFill="background1"/>
        </w:rPr>
        <w:t>–</w:t>
      </w:r>
      <w:r w:rsidRPr="00522104">
        <w:rPr>
          <w:rFonts w:ascii="Times New Roman" w:hAnsi="Times New Roman" w:cs="Times New Roman"/>
          <w:sz w:val="28"/>
          <w:szCs w:val="28"/>
          <w:shd w:val="clear" w:color="auto" w:fill="FFFFFF" w:themeFill="background1"/>
        </w:rPr>
        <w:t xml:space="preserve"> 156970,7 млн рублей, 172395,9 млн рублей и 189334,7 млн рублей соответственно. </w:t>
      </w:r>
    </w:p>
    <w:p w14:paraId="3098C805" w14:textId="77777777"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themeFill="background1"/>
        </w:rPr>
      </w:pPr>
    </w:p>
    <w:p w14:paraId="703E25B4" w14:textId="77777777" w:rsidR="00286592" w:rsidRPr="00522104" w:rsidRDefault="00286592" w:rsidP="00286592">
      <w:pPr>
        <w:spacing w:after="0" w:line="240" w:lineRule="auto"/>
        <w:ind w:firstLine="142"/>
        <w:jc w:val="both"/>
        <w:rPr>
          <w:rFonts w:ascii="Times New Roman" w:hAnsi="Times New Roman" w:cs="Times New Roman"/>
          <w:sz w:val="28"/>
          <w:szCs w:val="28"/>
          <w:shd w:val="clear" w:color="auto" w:fill="FFFFFF" w:themeFill="background1"/>
        </w:rPr>
      </w:pPr>
      <w:r w:rsidRPr="00522104">
        <w:rPr>
          <w:rFonts w:ascii="Times New Roman" w:hAnsi="Times New Roman" w:cs="Times New Roman"/>
          <w:noProof/>
          <w:sz w:val="28"/>
          <w:szCs w:val="28"/>
          <w:lang w:eastAsia="ru-RU"/>
        </w:rPr>
        <w:drawing>
          <wp:inline distT="0" distB="0" distL="0" distR="0" wp14:anchorId="335C2602" wp14:editId="712AFB28">
            <wp:extent cx="5782945" cy="3429000"/>
            <wp:effectExtent l="0" t="0" r="8255" b="0"/>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B396BF2" w14:textId="77777777"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themeFill="background1"/>
        </w:rPr>
      </w:pPr>
    </w:p>
    <w:p w14:paraId="04EED8A4" w14:textId="43AD3FEE"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themeFill="background1"/>
        </w:rPr>
      </w:pPr>
      <w:r w:rsidRPr="00522104">
        <w:rPr>
          <w:rFonts w:ascii="Times New Roman" w:hAnsi="Times New Roman" w:cs="Times New Roman"/>
          <w:sz w:val="28"/>
          <w:szCs w:val="28"/>
          <w:shd w:val="clear" w:color="auto" w:fill="FFFFFF" w:themeFill="background1"/>
        </w:rPr>
        <w:t>По информации Минэкономразвития ПК, снижение данного показателя по итогам 2020 года обусловлено</w:t>
      </w:r>
      <w:r w:rsidRPr="00522104">
        <w:rPr>
          <w:rFonts w:ascii="Times New Roman" w:hAnsi="Times New Roman" w:cs="Times New Roman"/>
          <w:sz w:val="28"/>
          <w:szCs w:val="28"/>
        </w:rPr>
        <w:t xml:space="preserve"> </w:t>
      </w:r>
      <w:r w:rsidRPr="00522104">
        <w:rPr>
          <w:rFonts w:ascii="Times New Roman" w:hAnsi="Times New Roman" w:cs="Times New Roman"/>
          <w:sz w:val="28"/>
          <w:szCs w:val="28"/>
          <w:shd w:val="clear" w:color="auto" w:fill="FFFFFF" w:themeFill="background1"/>
        </w:rPr>
        <w:t>сложившейся санитарно-эпидемиологичес</w:t>
      </w:r>
      <w:r w:rsidR="00841EEB" w:rsidRPr="00522104">
        <w:rPr>
          <w:rFonts w:ascii="Times New Roman" w:hAnsi="Times New Roman" w:cs="Times New Roman"/>
          <w:sz w:val="28"/>
          <w:szCs w:val="28"/>
          <w:shd w:val="clear" w:color="auto" w:fill="FFFFFF" w:themeFill="background1"/>
        </w:rPr>
        <w:t>кой ситуацией и установленными у</w:t>
      </w:r>
      <w:r w:rsidRPr="00522104">
        <w:rPr>
          <w:rFonts w:ascii="Times New Roman" w:hAnsi="Times New Roman" w:cs="Times New Roman"/>
          <w:sz w:val="28"/>
          <w:szCs w:val="28"/>
          <w:shd w:val="clear" w:color="auto" w:fill="FFFFFF" w:themeFill="background1"/>
        </w:rPr>
        <w:t xml:space="preserve">казами Президента Российской Федерации от 25.03.2020 № 206, от </w:t>
      </w:r>
      <w:r w:rsidRPr="00522104">
        <w:rPr>
          <w:rFonts w:ascii="Times New Roman" w:hAnsi="Times New Roman" w:cs="Times New Roman"/>
          <w:sz w:val="28"/>
          <w:szCs w:val="28"/>
        </w:rPr>
        <w:t>02.04.2020 № 239</w:t>
      </w:r>
      <w:r w:rsidRPr="00522104">
        <w:rPr>
          <w:rFonts w:ascii="Times New Roman" w:hAnsi="Times New Roman" w:cs="Times New Roman"/>
          <w:sz w:val="28"/>
          <w:szCs w:val="28"/>
          <w:shd w:val="clear" w:color="auto" w:fill="FFFFFF" w:themeFill="background1"/>
        </w:rPr>
        <w:t xml:space="preserve"> и </w:t>
      </w:r>
      <w:r w:rsidRPr="00522104">
        <w:rPr>
          <w:rFonts w:ascii="Times New Roman" w:hAnsi="Times New Roman" w:cs="Times New Roman"/>
          <w:sz w:val="28"/>
          <w:szCs w:val="28"/>
        </w:rPr>
        <w:t>от 28.04.2020 № 294</w:t>
      </w:r>
      <w:r w:rsidRPr="00522104">
        <w:rPr>
          <w:rFonts w:ascii="Times New Roman" w:hAnsi="Times New Roman" w:cs="Times New Roman"/>
          <w:sz w:val="28"/>
          <w:szCs w:val="28"/>
          <w:shd w:val="clear" w:color="auto" w:fill="FFFFFF" w:themeFill="background1"/>
        </w:rPr>
        <w:t xml:space="preserve"> дополнительными нерабочими днями. Вследствие этого произошло сильное снижение объемов по ряду платных услуг: транспорт, туристские услуги, услуги гостиниц и аналогичных средств размещения, услуги культуры.</w:t>
      </w:r>
    </w:p>
    <w:p w14:paraId="59F9C81E" w14:textId="4F3A5E1A"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Согласно данным Приморскстата</w:t>
      </w:r>
      <w:r w:rsidR="003B0C6E"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 8 месяцев 2021 года оказано платных услуг населению в размере 107173,0 млн рублей (выше аналогичного периода 2020 года на 19,0 %), что составляет 74,84 % от оценочного показателя (143198,9 млн рублей).  </w:t>
      </w:r>
    </w:p>
    <w:p w14:paraId="4DB2F1A3"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Индекс объема платных услуг населению в 2020 году составил 79,10 %.  По предварительной оценке, в 2021 году ожидается рост объема платных услуг населению по сравнению с предшествующим годом на 3,10 %. По Прогнозу-2022 в 2022 году, 2023 году и в 2024 году индекс объема платных </w:t>
      </w:r>
      <w:r w:rsidRPr="00522104">
        <w:rPr>
          <w:rFonts w:ascii="Times New Roman" w:hAnsi="Times New Roman" w:cs="Times New Roman"/>
          <w:sz w:val="28"/>
          <w:szCs w:val="28"/>
        </w:rPr>
        <w:lastRenderedPageBreak/>
        <w:t>услуг населению прогнозируется на уровне 104,70 %, 104,80 % и 104,90 % по консервативному варианту развития экономики и на уровне 105,30 %, 105,40 % и 105,50 % по базовому варианту.</w:t>
      </w:r>
    </w:p>
    <w:p w14:paraId="64ECCF68" w14:textId="6B761185"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shd w:val="clear" w:color="auto" w:fill="FFFFFF" w:themeFill="background1"/>
        </w:rPr>
        <w:t>По данным Приморскстата</w:t>
      </w:r>
      <w:r w:rsidR="000B1568" w:rsidRPr="00522104">
        <w:rPr>
          <w:rFonts w:ascii="Times New Roman" w:hAnsi="Times New Roman" w:cs="Times New Roman"/>
          <w:sz w:val="28"/>
          <w:szCs w:val="28"/>
          <w:shd w:val="clear" w:color="auto" w:fill="FFFFFF" w:themeFill="background1"/>
        </w:rPr>
        <w:t>,</w:t>
      </w:r>
      <w:r w:rsidRPr="00522104">
        <w:rPr>
          <w:rFonts w:ascii="Times New Roman" w:hAnsi="Times New Roman" w:cs="Times New Roman"/>
          <w:sz w:val="28"/>
          <w:szCs w:val="28"/>
          <w:shd w:val="clear" w:color="auto" w:fill="FFFFFF" w:themeFill="background1"/>
        </w:rPr>
        <w:t xml:space="preserve"> индекс объема платных услуг населению за январь-август 2021 года к соответствующему периоду предыдущего года составил 119,0 % в сопоставимых ценах. </w:t>
      </w:r>
    </w:p>
    <w:p w14:paraId="6BDDB6C6" w14:textId="11979B7B"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Объем продукции сельского хозяйства в текущем году</w:t>
      </w:r>
      <w:r w:rsidR="000B1568"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оценке</w:t>
      </w:r>
      <w:r w:rsidR="000B1568" w:rsidRPr="00522104">
        <w:rPr>
          <w:rFonts w:ascii="Times New Roman" w:hAnsi="Times New Roman" w:cs="Times New Roman"/>
          <w:sz w:val="28"/>
          <w:szCs w:val="28"/>
        </w:rPr>
        <w:t>,</w:t>
      </w:r>
      <w:r w:rsidRPr="00522104">
        <w:rPr>
          <w:rFonts w:ascii="Times New Roman" w:hAnsi="Times New Roman" w:cs="Times New Roman"/>
          <w:sz w:val="28"/>
          <w:szCs w:val="28"/>
        </w:rPr>
        <w:t xml:space="preserve"> составит 47885,80 млн рублей, что выше уровня предыдущего года на 7,69 % (</w:t>
      </w:r>
      <w:r w:rsidRPr="00522104">
        <w:rPr>
          <w:rFonts w:ascii="Times New Roman" w:hAnsi="Times New Roman" w:cs="Times New Roman"/>
          <w:sz w:val="28"/>
          <w:szCs w:val="28"/>
          <w:shd w:val="clear" w:color="auto" w:fill="FFFFFF" w:themeFill="background1"/>
        </w:rPr>
        <w:t>44468,40 млн рублей</w:t>
      </w:r>
      <w:r w:rsidRPr="00522104">
        <w:rPr>
          <w:rFonts w:ascii="Times New Roman" w:hAnsi="Times New Roman" w:cs="Times New Roman"/>
          <w:sz w:val="28"/>
          <w:szCs w:val="28"/>
        </w:rPr>
        <w:t xml:space="preserve">), и выше уровня 2019 года на 25,54 % (38143,30 млн рублей). </w:t>
      </w:r>
    </w:p>
    <w:p w14:paraId="33B9BCA5" w14:textId="5713D60F"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Прогнозу-2022 в 2022 году, в 2023 году и в 2024 году объем продукции сельского хозяйства прогнозируется по консервативному варианту в сумме 50550,60 млн рублей, 53302,90 млн рублей и 56274,90 млн рублей соотве</w:t>
      </w:r>
      <w:r w:rsidR="000B1568" w:rsidRPr="00522104">
        <w:rPr>
          <w:rFonts w:ascii="Times New Roman" w:hAnsi="Times New Roman" w:cs="Times New Roman"/>
          <w:sz w:val="28"/>
          <w:szCs w:val="28"/>
        </w:rPr>
        <w:t>тственно; по базовому варианту –</w:t>
      </w:r>
      <w:r w:rsidRPr="00522104">
        <w:rPr>
          <w:rFonts w:ascii="Times New Roman" w:hAnsi="Times New Roman" w:cs="Times New Roman"/>
          <w:sz w:val="28"/>
          <w:szCs w:val="28"/>
        </w:rPr>
        <w:t xml:space="preserve"> 51441,20 млн рублей, 54776,40 млн рублей и 58601,20 млн рублей соответственно. </w:t>
      </w:r>
    </w:p>
    <w:p w14:paraId="7786E360"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0CCDC720" w14:textId="77777777" w:rsidR="00286592" w:rsidRPr="00522104" w:rsidRDefault="00286592" w:rsidP="00286592">
      <w:pPr>
        <w:spacing w:after="0" w:line="240" w:lineRule="atLeast"/>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18F224F8" wp14:editId="1C810641">
            <wp:extent cx="6005195" cy="3426958"/>
            <wp:effectExtent l="0" t="0" r="0" b="254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D5CC3CE" w14:textId="77777777"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themeFill="background1"/>
        </w:rPr>
      </w:pPr>
    </w:p>
    <w:p w14:paraId="7AD0A3FA" w14:textId="67991AC1"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shd w:val="clear" w:color="auto" w:fill="FFFFFF" w:themeFill="background1"/>
        </w:rPr>
        <w:t xml:space="preserve">В соответствии с данными Приморскстата за 1 полугодие 2021 года объем производства продукции сельского хозяйства составил 8711,8 млн рублей, или 18,19 % от оценочного показателя (47885,80 млн рублей), что </w:t>
      </w:r>
      <w:r w:rsidRPr="00522104">
        <w:rPr>
          <w:rFonts w:ascii="Times New Roman" w:hAnsi="Times New Roman" w:cs="Times New Roman"/>
          <w:sz w:val="28"/>
          <w:szCs w:val="28"/>
        </w:rPr>
        <w:t>свидетельствует о том, что вероятнее всего указанный показатель имеет риск недостижения оценочного уровня.</w:t>
      </w:r>
    </w:p>
    <w:p w14:paraId="312FAE79" w14:textId="50785E1F"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Индекс производства продукции сельского хозяйства 2020 году составил 104,30 %. По предварительной оценке, в 2021 году ожидается рост объема продукции сельского хозяйства по сравнению с предшествующим годом на 4,80 %. По Прогнозу-2022 с 2022 года до 2024 года индекс производства продукции сельского хозяйства прогнозируется на уровне </w:t>
      </w:r>
      <w:r w:rsidRPr="00522104">
        <w:rPr>
          <w:rFonts w:ascii="Times New Roman" w:hAnsi="Times New Roman" w:cs="Times New Roman"/>
          <w:sz w:val="28"/>
          <w:szCs w:val="28"/>
        </w:rPr>
        <w:lastRenderedPageBreak/>
        <w:t>102,40 % -</w:t>
      </w:r>
      <w:r w:rsidR="000B1568" w:rsidRPr="00522104">
        <w:rPr>
          <w:rFonts w:ascii="Times New Roman" w:hAnsi="Times New Roman" w:cs="Times New Roman"/>
          <w:sz w:val="28"/>
          <w:szCs w:val="28"/>
        </w:rPr>
        <w:t xml:space="preserve"> </w:t>
      </w:r>
      <w:r w:rsidRPr="00522104">
        <w:rPr>
          <w:rFonts w:ascii="Times New Roman" w:hAnsi="Times New Roman" w:cs="Times New Roman"/>
          <w:sz w:val="28"/>
          <w:szCs w:val="28"/>
        </w:rPr>
        <w:t>102,60 % по консервативному варианту развития экономики и на уровне 105,00 %</w:t>
      </w:r>
      <w:r w:rsidR="007B32A7" w:rsidRPr="00522104">
        <w:rPr>
          <w:rFonts w:ascii="Times New Roman" w:hAnsi="Times New Roman" w:cs="Times New Roman"/>
          <w:sz w:val="28"/>
          <w:szCs w:val="28"/>
        </w:rPr>
        <w:t xml:space="preserve"> -</w:t>
      </w:r>
      <w:r w:rsidRPr="00522104">
        <w:rPr>
          <w:rFonts w:ascii="Times New Roman" w:hAnsi="Times New Roman" w:cs="Times New Roman"/>
          <w:sz w:val="28"/>
          <w:szCs w:val="28"/>
        </w:rPr>
        <w:t xml:space="preserve"> 104,10 % по базовому варианту.</w:t>
      </w:r>
    </w:p>
    <w:p w14:paraId="0D452D27" w14:textId="77777777"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shd w:val="clear" w:color="auto" w:fill="FFFFFF" w:themeFill="background1"/>
        </w:rPr>
        <w:t xml:space="preserve">Индекс производства продукции сельского хозяйства за 1 полугодие 2021 года к соответствующему периоду предыдущего года составил 117,0 % в сопоставимых ценах. </w:t>
      </w:r>
    </w:p>
    <w:p w14:paraId="31E1F8CD" w14:textId="5DA3E37B"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Экономические и социальные показатели Приморского края за период январь-август 2021 года</w:t>
      </w:r>
      <w:r w:rsidR="000B1568"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данным Приморскстата</w:t>
      </w:r>
      <w:r w:rsidR="000B1568" w:rsidRPr="00522104">
        <w:rPr>
          <w:rFonts w:ascii="Times New Roman" w:hAnsi="Times New Roman" w:cs="Times New Roman"/>
          <w:sz w:val="28"/>
          <w:szCs w:val="28"/>
        </w:rPr>
        <w:t>,</w:t>
      </w:r>
      <w:r w:rsidRPr="00522104">
        <w:rPr>
          <w:rFonts w:ascii="Times New Roman" w:hAnsi="Times New Roman" w:cs="Times New Roman"/>
          <w:sz w:val="28"/>
          <w:szCs w:val="28"/>
        </w:rPr>
        <w:t xml:space="preserve"> представлены в таблице.</w:t>
      </w:r>
    </w:p>
    <w:p w14:paraId="45129CD3" w14:textId="77777777"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54"/>
        <w:gridCol w:w="5812"/>
        <w:gridCol w:w="1418"/>
        <w:gridCol w:w="1559"/>
      </w:tblGrid>
      <w:tr w:rsidR="00286592" w:rsidRPr="00522104" w14:paraId="1D789FAC" w14:textId="77777777" w:rsidTr="004B2A92">
        <w:trPr>
          <w:trHeight w:val="567"/>
          <w:tblHeader/>
        </w:trPr>
        <w:tc>
          <w:tcPr>
            <w:tcW w:w="454" w:type="dxa"/>
            <w:vAlign w:val="center"/>
          </w:tcPr>
          <w:p w14:paraId="76172803"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b/>
                <w:sz w:val="20"/>
                <w:szCs w:val="20"/>
                <w:lang w:eastAsia="ru-RU"/>
              </w:rPr>
              <w:br w:type="page"/>
            </w:r>
            <w:r w:rsidRPr="00522104">
              <w:rPr>
                <w:rFonts w:ascii="Times New Roman" w:hAnsi="Times New Roman" w:cs="Times New Roman"/>
                <w:sz w:val="20"/>
                <w:szCs w:val="20"/>
              </w:rPr>
              <w:t>№</w:t>
            </w:r>
          </w:p>
        </w:tc>
        <w:tc>
          <w:tcPr>
            <w:tcW w:w="5812" w:type="dxa"/>
            <w:vAlign w:val="center"/>
          </w:tcPr>
          <w:p w14:paraId="7166E15D" w14:textId="77777777" w:rsidR="00286592" w:rsidRPr="00522104" w:rsidRDefault="00286592" w:rsidP="004B2A92">
            <w:pPr>
              <w:spacing w:after="0" w:line="240" w:lineRule="auto"/>
              <w:ind w:firstLine="708"/>
              <w:jc w:val="center"/>
              <w:rPr>
                <w:rFonts w:ascii="Times New Roman" w:hAnsi="Times New Roman" w:cs="Times New Roman"/>
                <w:sz w:val="20"/>
                <w:szCs w:val="20"/>
              </w:rPr>
            </w:pPr>
            <w:r w:rsidRPr="00522104">
              <w:rPr>
                <w:rFonts w:ascii="Times New Roman" w:hAnsi="Times New Roman" w:cs="Times New Roman"/>
                <w:sz w:val="20"/>
                <w:szCs w:val="20"/>
              </w:rPr>
              <w:t>Показатели</w:t>
            </w:r>
          </w:p>
        </w:tc>
        <w:tc>
          <w:tcPr>
            <w:tcW w:w="1418" w:type="dxa"/>
            <w:vAlign w:val="center"/>
          </w:tcPr>
          <w:p w14:paraId="12E0AABE"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Январь-август 2021</w:t>
            </w:r>
          </w:p>
        </w:tc>
        <w:tc>
          <w:tcPr>
            <w:tcW w:w="1559" w:type="dxa"/>
            <w:vAlign w:val="center"/>
          </w:tcPr>
          <w:p w14:paraId="5002FB89" w14:textId="77777777" w:rsidR="00286592" w:rsidRPr="00522104" w:rsidRDefault="00286592" w:rsidP="004B2A92">
            <w:pPr>
              <w:spacing w:after="0" w:line="240" w:lineRule="auto"/>
              <w:ind w:left="-141" w:right="-114"/>
              <w:jc w:val="center"/>
              <w:rPr>
                <w:rFonts w:ascii="Times New Roman" w:hAnsi="Times New Roman" w:cs="Times New Roman"/>
                <w:sz w:val="20"/>
                <w:szCs w:val="20"/>
              </w:rPr>
            </w:pPr>
            <w:r w:rsidRPr="00522104">
              <w:rPr>
                <w:rFonts w:ascii="Times New Roman" w:hAnsi="Times New Roman" w:cs="Times New Roman"/>
                <w:sz w:val="20"/>
                <w:szCs w:val="20"/>
              </w:rPr>
              <w:t>В % к январю-августу 2020</w:t>
            </w:r>
          </w:p>
        </w:tc>
      </w:tr>
      <w:tr w:rsidR="00286592" w:rsidRPr="00522104" w14:paraId="6E7F049F" w14:textId="77777777" w:rsidTr="004B2A92">
        <w:tc>
          <w:tcPr>
            <w:tcW w:w="454" w:type="dxa"/>
          </w:tcPr>
          <w:p w14:paraId="3792485A"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1</w:t>
            </w:r>
          </w:p>
        </w:tc>
        <w:tc>
          <w:tcPr>
            <w:tcW w:w="5812" w:type="dxa"/>
          </w:tcPr>
          <w:p w14:paraId="01EE6763"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Продукция сельского хозяйства, млн рублей (данные за январь-июнь 2021 года)</w:t>
            </w:r>
          </w:p>
        </w:tc>
        <w:tc>
          <w:tcPr>
            <w:tcW w:w="1418" w:type="dxa"/>
            <w:vAlign w:val="bottom"/>
          </w:tcPr>
          <w:p w14:paraId="3200E767"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8711,8</w:t>
            </w:r>
          </w:p>
        </w:tc>
        <w:tc>
          <w:tcPr>
            <w:tcW w:w="1559" w:type="dxa"/>
            <w:vAlign w:val="bottom"/>
          </w:tcPr>
          <w:p w14:paraId="67BA3B3A"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117,0</w:t>
            </w:r>
          </w:p>
        </w:tc>
      </w:tr>
      <w:tr w:rsidR="00286592" w:rsidRPr="00522104" w14:paraId="0367D953" w14:textId="77777777" w:rsidTr="004B2A92">
        <w:tc>
          <w:tcPr>
            <w:tcW w:w="454" w:type="dxa"/>
          </w:tcPr>
          <w:p w14:paraId="19E13ED3"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2</w:t>
            </w:r>
          </w:p>
        </w:tc>
        <w:tc>
          <w:tcPr>
            <w:tcW w:w="5812" w:type="dxa"/>
          </w:tcPr>
          <w:p w14:paraId="7133F041"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Объем работ и услуг, выполненных собственными силами, по виду деятельности "Строительство", млн рублей</w:t>
            </w:r>
          </w:p>
        </w:tc>
        <w:tc>
          <w:tcPr>
            <w:tcW w:w="1418" w:type="dxa"/>
            <w:vAlign w:val="bottom"/>
          </w:tcPr>
          <w:p w14:paraId="7094D204" w14:textId="77777777" w:rsidR="00286592" w:rsidRPr="00522104" w:rsidRDefault="00286592" w:rsidP="004B2A92">
            <w:pPr>
              <w:spacing w:after="0" w:line="240" w:lineRule="auto"/>
              <w:jc w:val="center"/>
              <w:rPr>
                <w:rFonts w:ascii="Times New Roman" w:hAnsi="Times New Roman" w:cs="Times New Roman"/>
                <w:sz w:val="20"/>
                <w:szCs w:val="20"/>
              </w:rPr>
            </w:pPr>
          </w:p>
          <w:p w14:paraId="1849CC95"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60536,7</w:t>
            </w:r>
          </w:p>
        </w:tc>
        <w:tc>
          <w:tcPr>
            <w:tcW w:w="1559" w:type="dxa"/>
            <w:vAlign w:val="bottom"/>
          </w:tcPr>
          <w:p w14:paraId="623A1D9C" w14:textId="77777777" w:rsidR="00286592" w:rsidRPr="00522104" w:rsidRDefault="00286592" w:rsidP="004B2A92">
            <w:pPr>
              <w:spacing w:after="0" w:line="240" w:lineRule="auto"/>
              <w:ind w:firstLine="34"/>
              <w:jc w:val="center"/>
              <w:rPr>
                <w:rFonts w:ascii="Times New Roman" w:hAnsi="Times New Roman" w:cs="Times New Roman"/>
                <w:sz w:val="20"/>
                <w:szCs w:val="20"/>
              </w:rPr>
            </w:pPr>
          </w:p>
          <w:p w14:paraId="6A8ECD53"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76,1</w:t>
            </w:r>
          </w:p>
        </w:tc>
      </w:tr>
      <w:tr w:rsidR="00286592" w:rsidRPr="00522104" w14:paraId="0551A418" w14:textId="77777777" w:rsidTr="004B2A92">
        <w:trPr>
          <w:trHeight w:val="267"/>
        </w:trPr>
        <w:tc>
          <w:tcPr>
            <w:tcW w:w="454" w:type="dxa"/>
          </w:tcPr>
          <w:p w14:paraId="4208F568"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3</w:t>
            </w:r>
          </w:p>
        </w:tc>
        <w:tc>
          <w:tcPr>
            <w:tcW w:w="5812" w:type="dxa"/>
          </w:tcPr>
          <w:p w14:paraId="6CBB6FB8"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Ввод в действие жилых домов</w:t>
            </w:r>
            <w:r w:rsidRPr="00522104">
              <w:rPr>
                <w:rFonts w:ascii="Times New Roman" w:hAnsi="Times New Roman" w:cs="Times New Roman"/>
                <w:sz w:val="20"/>
                <w:szCs w:val="20"/>
                <w:vertAlign w:val="superscript"/>
              </w:rPr>
              <w:footnoteReference w:id="2"/>
            </w:r>
            <w:r w:rsidRPr="00522104">
              <w:rPr>
                <w:rFonts w:ascii="Times New Roman" w:hAnsi="Times New Roman" w:cs="Times New Roman"/>
                <w:sz w:val="20"/>
                <w:szCs w:val="20"/>
              </w:rPr>
              <w:t>, тыс. кв. м общей площади</w:t>
            </w:r>
          </w:p>
        </w:tc>
        <w:tc>
          <w:tcPr>
            <w:tcW w:w="1418" w:type="dxa"/>
            <w:vAlign w:val="bottom"/>
          </w:tcPr>
          <w:p w14:paraId="6DB9D6FC"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509,0</w:t>
            </w:r>
          </w:p>
        </w:tc>
        <w:tc>
          <w:tcPr>
            <w:tcW w:w="1559" w:type="dxa"/>
            <w:vAlign w:val="bottom"/>
          </w:tcPr>
          <w:p w14:paraId="0D79662E"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в 1,6 раз</w:t>
            </w:r>
          </w:p>
        </w:tc>
      </w:tr>
      <w:tr w:rsidR="00286592" w:rsidRPr="00522104" w14:paraId="796EBE0F" w14:textId="77777777" w:rsidTr="004B2A92">
        <w:tc>
          <w:tcPr>
            <w:tcW w:w="454" w:type="dxa"/>
          </w:tcPr>
          <w:p w14:paraId="2810D4BB"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4</w:t>
            </w:r>
          </w:p>
        </w:tc>
        <w:tc>
          <w:tcPr>
            <w:tcW w:w="5812" w:type="dxa"/>
          </w:tcPr>
          <w:p w14:paraId="28BDE3A0"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Почтовая связь и курьерская деятельность, млн рублей (в действующих ценах)</w:t>
            </w:r>
          </w:p>
        </w:tc>
        <w:tc>
          <w:tcPr>
            <w:tcW w:w="1418" w:type="dxa"/>
            <w:vAlign w:val="bottom"/>
          </w:tcPr>
          <w:p w14:paraId="17D234DD"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1806,2</w:t>
            </w:r>
          </w:p>
        </w:tc>
        <w:tc>
          <w:tcPr>
            <w:tcW w:w="1559" w:type="dxa"/>
            <w:vAlign w:val="bottom"/>
          </w:tcPr>
          <w:p w14:paraId="7642BD8D"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118,1</w:t>
            </w:r>
          </w:p>
        </w:tc>
      </w:tr>
      <w:tr w:rsidR="00286592" w:rsidRPr="00522104" w14:paraId="3B09588A" w14:textId="77777777" w:rsidTr="004B2A92">
        <w:tc>
          <w:tcPr>
            <w:tcW w:w="454" w:type="dxa"/>
          </w:tcPr>
          <w:p w14:paraId="287E3EC3"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5</w:t>
            </w:r>
          </w:p>
        </w:tc>
        <w:tc>
          <w:tcPr>
            <w:tcW w:w="5812" w:type="dxa"/>
          </w:tcPr>
          <w:p w14:paraId="0E3A7551"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Деятельность в сфере телекоммуникаций</w:t>
            </w:r>
            <w:r w:rsidRPr="00522104">
              <w:rPr>
                <w:rFonts w:ascii="Times New Roman" w:hAnsi="Times New Roman" w:cs="Times New Roman"/>
                <w:sz w:val="20"/>
                <w:szCs w:val="20"/>
                <w:vertAlign w:val="superscript"/>
              </w:rPr>
              <w:footnoteReference w:id="3"/>
            </w:r>
            <w:r w:rsidRPr="00522104">
              <w:rPr>
                <w:rFonts w:ascii="Times New Roman" w:hAnsi="Times New Roman" w:cs="Times New Roman"/>
                <w:sz w:val="20"/>
                <w:szCs w:val="20"/>
              </w:rPr>
              <w:t xml:space="preserve">, </w:t>
            </w:r>
          </w:p>
          <w:p w14:paraId="73B359EC"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млн рублей (в действующих ценах)</w:t>
            </w:r>
          </w:p>
        </w:tc>
        <w:tc>
          <w:tcPr>
            <w:tcW w:w="1418" w:type="dxa"/>
            <w:vAlign w:val="bottom"/>
          </w:tcPr>
          <w:p w14:paraId="428DA719" w14:textId="77777777" w:rsidR="00286592" w:rsidRPr="00522104" w:rsidRDefault="00286592" w:rsidP="004B2A92">
            <w:pPr>
              <w:spacing w:after="0" w:line="240" w:lineRule="auto"/>
              <w:jc w:val="center"/>
              <w:rPr>
                <w:rFonts w:ascii="Times New Roman" w:hAnsi="Times New Roman" w:cs="Times New Roman"/>
                <w:sz w:val="20"/>
                <w:szCs w:val="20"/>
              </w:rPr>
            </w:pPr>
          </w:p>
          <w:p w14:paraId="4F50475E"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15820,9</w:t>
            </w:r>
          </w:p>
        </w:tc>
        <w:tc>
          <w:tcPr>
            <w:tcW w:w="1559" w:type="dxa"/>
            <w:vAlign w:val="bottom"/>
          </w:tcPr>
          <w:p w14:paraId="55CEC075" w14:textId="77777777" w:rsidR="00286592" w:rsidRPr="00522104" w:rsidRDefault="00286592" w:rsidP="004B2A92">
            <w:pPr>
              <w:spacing w:after="0" w:line="240" w:lineRule="auto"/>
              <w:ind w:firstLine="34"/>
              <w:jc w:val="center"/>
              <w:rPr>
                <w:rFonts w:ascii="Times New Roman" w:hAnsi="Times New Roman" w:cs="Times New Roman"/>
                <w:sz w:val="20"/>
                <w:szCs w:val="20"/>
              </w:rPr>
            </w:pPr>
          </w:p>
          <w:p w14:paraId="77BA2423"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103,4</w:t>
            </w:r>
          </w:p>
        </w:tc>
      </w:tr>
      <w:tr w:rsidR="00286592" w:rsidRPr="00522104" w14:paraId="04606938" w14:textId="77777777" w:rsidTr="004B2A92">
        <w:tc>
          <w:tcPr>
            <w:tcW w:w="454" w:type="dxa"/>
            <w:shd w:val="clear" w:color="auto" w:fill="auto"/>
          </w:tcPr>
          <w:p w14:paraId="7096697E"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6</w:t>
            </w:r>
          </w:p>
        </w:tc>
        <w:tc>
          <w:tcPr>
            <w:tcW w:w="5812" w:type="dxa"/>
            <w:shd w:val="clear" w:color="auto" w:fill="auto"/>
          </w:tcPr>
          <w:p w14:paraId="5559EBED"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Оборот розничной торговли, млн рублей</w:t>
            </w:r>
          </w:p>
        </w:tc>
        <w:tc>
          <w:tcPr>
            <w:tcW w:w="1418" w:type="dxa"/>
            <w:shd w:val="clear" w:color="auto" w:fill="auto"/>
            <w:vAlign w:val="bottom"/>
          </w:tcPr>
          <w:p w14:paraId="75BCC553"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316569,1</w:t>
            </w:r>
          </w:p>
        </w:tc>
        <w:tc>
          <w:tcPr>
            <w:tcW w:w="1559" w:type="dxa"/>
            <w:shd w:val="clear" w:color="auto" w:fill="auto"/>
            <w:vAlign w:val="bottom"/>
          </w:tcPr>
          <w:p w14:paraId="65EB065F"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113,1</w:t>
            </w:r>
          </w:p>
        </w:tc>
      </w:tr>
      <w:tr w:rsidR="00286592" w:rsidRPr="00522104" w14:paraId="13D4069C" w14:textId="77777777" w:rsidTr="004B2A92">
        <w:tc>
          <w:tcPr>
            <w:tcW w:w="454" w:type="dxa"/>
          </w:tcPr>
          <w:p w14:paraId="01B142BE"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7</w:t>
            </w:r>
          </w:p>
        </w:tc>
        <w:tc>
          <w:tcPr>
            <w:tcW w:w="5812" w:type="dxa"/>
          </w:tcPr>
          <w:p w14:paraId="085A2BBF"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Объем платных услуг населению, млн рублей</w:t>
            </w:r>
          </w:p>
        </w:tc>
        <w:tc>
          <w:tcPr>
            <w:tcW w:w="1418" w:type="dxa"/>
            <w:vAlign w:val="bottom"/>
          </w:tcPr>
          <w:p w14:paraId="064D0520"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107173,0</w:t>
            </w:r>
          </w:p>
        </w:tc>
        <w:tc>
          <w:tcPr>
            <w:tcW w:w="1559" w:type="dxa"/>
            <w:vAlign w:val="bottom"/>
          </w:tcPr>
          <w:p w14:paraId="53CA52B7"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119,0</w:t>
            </w:r>
          </w:p>
        </w:tc>
      </w:tr>
      <w:tr w:rsidR="00286592" w:rsidRPr="00522104" w14:paraId="7673C317" w14:textId="77777777" w:rsidTr="004B2A92">
        <w:trPr>
          <w:trHeight w:val="343"/>
        </w:trPr>
        <w:tc>
          <w:tcPr>
            <w:tcW w:w="454" w:type="dxa"/>
          </w:tcPr>
          <w:p w14:paraId="480E503C"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8</w:t>
            </w:r>
          </w:p>
        </w:tc>
        <w:tc>
          <w:tcPr>
            <w:tcW w:w="5812" w:type="dxa"/>
          </w:tcPr>
          <w:p w14:paraId="6828E529"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Инвестиции в основной капитал, млн рублей (данные за январь-июнь 2021 года)</w:t>
            </w:r>
          </w:p>
        </w:tc>
        <w:tc>
          <w:tcPr>
            <w:tcW w:w="1418" w:type="dxa"/>
            <w:vAlign w:val="bottom"/>
          </w:tcPr>
          <w:p w14:paraId="03EC4E29"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68734,00</w:t>
            </w:r>
          </w:p>
        </w:tc>
        <w:tc>
          <w:tcPr>
            <w:tcW w:w="1559" w:type="dxa"/>
            <w:vAlign w:val="bottom"/>
          </w:tcPr>
          <w:p w14:paraId="1B7F1C77"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84,0</w:t>
            </w:r>
          </w:p>
        </w:tc>
      </w:tr>
      <w:tr w:rsidR="00286592" w:rsidRPr="00522104" w14:paraId="1A7FFB17" w14:textId="77777777" w:rsidTr="004B2A92">
        <w:trPr>
          <w:trHeight w:val="278"/>
        </w:trPr>
        <w:tc>
          <w:tcPr>
            <w:tcW w:w="454" w:type="dxa"/>
            <w:shd w:val="clear" w:color="auto" w:fill="auto"/>
          </w:tcPr>
          <w:p w14:paraId="52103C98"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9</w:t>
            </w:r>
          </w:p>
        </w:tc>
        <w:tc>
          <w:tcPr>
            <w:tcW w:w="5812" w:type="dxa"/>
            <w:shd w:val="clear" w:color="auto" w:fill="auto"/>
          </w:tcPr>
          <w:p w14:paraId="53F17B25"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 xml:space="preserve">Индекс промышленного производства </w:t>
            </w:r>
          </w:p>
        </w:tc>
        <w:tc>
          <w:tcPr>
            <w:tcW w:w="1418" w:type="dxa"/>
            <w:shd w:val="clear" w:color="auto" w:fill="auto"/>
            <w:vAlign w:val="bottom"/>
          </w:tcPr>
          <w:p w14:paraId="720E11CE"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х</w:t>
            </w:r>
          </w:p>
        </w:tc>
        <w:tc>
          <w:tcPr>
            <w:tcW w:w="1559" w:type="dxa"/>
            <w:shd w:val="clear" w:color="auto" w:fill="auto"/>
            <w:vAlign w:val="bottom"/>
          </w:tcPr>
          <w:p w14:paraId="20CE0419"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133,4</w:t>
            </w:r>
          </w:p>
        </w:tc>
      </w:tr>
      <w:tr w:rsidR="00286592" w:rsidRPr="00522104" w14:paraId="54BB07C1" w14:textId="77777777" w:rsidTr="004B2A92">
        <w:tc>
          <w:tcPr>
            <w:tcW w:w="454" w:type="dxa"/>
          </w:tcPr>
          <w:p w14:paraId="3AD06A30"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10</w:t>
            </w:r>
          </w:p>
        </w:tc>
        <w:tc>
          <w:tcPr>
            <w:tcW w:w="5812" w:type="dxa"/>
          </w:tcPr>
          <w:p w14:paraId="68867C31" w14:textId="77777777" w:rsidR="00286592" w:rsidRPr="00522104" w:rsidRDefault="00286592" w:rsidP="004B2A92">
            <w:pPr>
              <w:spacing w:after="0" w:line="240" w:lineRule="auto"/>
              <w:rPr>
                <w:rFonts w:ascii="Times New Roman" w:hAnsi="Times New Roman" w:cs="Times New Roman"/>
                <w:i/>
                <w:sz w:val="20"/>
                <w:szCs w:val="20"/>
              </w:rPr>
            </w:pPr>
            <w:r w:rsidRPr="00522104">
              <w:rPr>
                <w:rFonts w:ascii="Times New Roman" w:hAnsi="Times New Roman" w:cs="Times New Roman"/>
                <w:i/>
                <w:sz w:val="20"/>
                <w:szCs w:val="20"/>
              </w:rPr>
              <w:t>добыча полезных ископаемых</w:t>
            </w:r>
          </w:p>
        </w:tc>
        <w:tc>
          <w:tcPr>
            <w:tcW w:w="1418" w:type="dxa"/>
            <w:vAlign w:val="bottom"/>
          </w:tcPr>
          <w:p w14:paraId="0A574BF4"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х</w:t>
            </w:r>
          </w:p>
        </w:tc>
        <w:tc>
          <w:tcPr>
            <w:tcW w:w="1559" w:type="dxa"/>
            <w:vAlign w:val="bottom"/>
          </w:tcPr>
          <w:p w14:paraId="5209958C" w14:textId="77777777" w:rsidR="00286592" w:rsidRPr="00522104" w:rsidRDefault="00286592" w:rsidP="004B2A92">
            <w:pPr>
              <w:spacing w:after="0" w:line="240" w:lineRule="auto"/>
              <w:ind w:firstLine="34"/>
              <w:jc w:val="center"/>
              <w:rPr>
                <w:rFonts w:ascii="Times New Roman" w:hAnsi="Times New Roman" w:cs="Times New Roman"/>
                <w:i/>
                <w:sz w:val="20"/>
                <w:szCs w:val="20"/>
              </w:rPr>
            </w:pPr>
            <w:r w:rsidRPr="00522104">
              <w:rPr>
                <w:rFonts w:ascii="Times New Roman" w:hAnsi="Times New Roman" w:cs="Times New Roman"/>
                <w:i/>
                <w:sz w:val="20"/>
                <w:szCs w:val="20"/>
              </w:rPr>
              <w:t>98,1</w:t>
            </w:r>
          </w:p>
        </w:tc>
      </w:tr>
      <w:tr w:rsidR="00286592" w:rsidRPr="00522104" w14:paraId="35CFDC2C" w14:textId="77777777" w:rsidTr="004B2A92">
        <w:tc>
          <w:tcPr>
            <w:tcW w:w="454" w:type="dxa"/>
          </w:tcPr>
          <w:p w14:paraId="26256689"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11</w:t>
            </w:r>
          </w:p>
        </w:tc>
        <w:tc>
          <w:tcPr>
            <w:tcW w:w="5812" w:type="dxa"/>
          </w:tcPr>
          <w:p w14:paraId="03DB4D12" w14:textId="77777777" w:rsidR="00286592" w:rsidRPr="00522104" w:rsidRDefault="00286592" w:rsidP="004B2A92">
            <w:pPr>
              <w:spacing w:after="0" w:line="240" w:lineRule="auto"/>
              <w:rPr>
                <w:rFonts w:ascii="Times New Roman" w:hAnsi="Times New Roman" w:cs="Times New Roman"/>
                <w:i/>
                <w:sz w:val="20"/>
                <w:szCs w:val="20"/>
              </w:rPr>
            </w:pPr>
            <w:r w:rsidRPr="00522104">
              <w:rPr>
                <w:rFonts w:ascii="Times New Roman" w:hAnsi="Times New Roman" w:cs="Times New Roman"/>
                <w:i/>
                <w:sz w:val="20"/>
                <w:szCs w:val="20"/>
              </w:rPr>
              <w:t>обрабатывающие производства</w:t>
            </w:r>
          </w:p>
        </w:tc>
        <w:tc>
          <w:tcPr>
            <w:tcW w:w="1418" w:type="dxa"/>
            <w:vAlign w:val="bottom"/>
          </w:tcPr>
          <w:p w14:paraId="0F2860F7"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х</w:t>
            </w:r>
          </w:p>
        </w:tc>
        <w:tc>
          <w:tcPr>
            <w:tcW w:w="1559" w:type="dxa"/>
            <w:vAlign w:val="bottom"/>
          </w:tcPr>
          <w:p w14:paraId="1B1CAAC4" w14:textId="77777777" w:rsidR="00286592" w:rsidRPr="00522104" w:rsidRDefault="00286592" w:rsidP="004B2A92">
            <w:pPr>
              <w:spacing w:after="0" w:line="240" w:lineRule="auto"/>
              <w:ind w:firstLine="34"/>
              <w:jc w:val="center"/>
              <w:rPr>
                <w:rFonts w:ascii="Times New Roman" w:hAnsi="Times New Roman" w:cs="Times New Roman"/>
                <w:i/>
                <w:sz w:val="20"/>
                <w:szCs w:val="20"/>
              </w:rPr>
            </w:pPr>
            <w:r w:rsidRPr="00522104">
              <w:rPr>
                <w:rFonts w:ascii="Times New Roman" w:hAnsi="Times New Roman" w:cs="Times New Roman"/>
                <w:i/>
                <w:sz w:val="20"/>
                <w:szCs w:val="20"/>
              </w:rPr>
              <w:t>146,8</w:t>
            </w:r>
          </w:p>
        </w:tc>
      </w:tr>
      <w:tr w:rsidR="00286592" w:rsidRPr="00522104" w14:paraId="569C3D2E" w14:textId="77777777" w:rsidTr="004B2A92">
        <w:trPr>
          <w:trHeight w:val="329"/>
        </w:trPr>
        <w:tc>
          <w:tcPr>
            <w:tcW w:w="454" w:type="dxa"/>
          </w:tcPr>
          <w:p w14:paraId="023E5BF4"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12</w:t>
            </w:r>
          </w:p>
        </w:tc>
        <w:tc>
          <w:tcPr>
            <w:tcW w:w="5812" w:type="dxa"/>
          </w:tcPr>
          <w:p w14:paraId="2D5A5C8F" w14:textId="77777777" w:rsidR="00286592" w:rsidRPr="00522104" w:rsidRDefault="00286592" w:rsidP="004B2A92">
            <w:pPr>
              <w:spacing w:after="0" w:line="240" w:lineRule="auto"/>
              <w:rPr>
                <w:rFonts w:ascii="Times New Roman" w:hAnsi="Times New Roman" w:cs="Times New Roman"/>
                <w:i/>
                <w:sz w:val="20"/>
                <w:szCs w:val="20"/>
              </w:rPr>
            </w:pPr>
            <w:r w:rsidRPr="00522104">
              <w:rPr>
                <w:rFonts w:ascii="Times New Roman" w:hAnsi="Times New Roman" w:cs="Times New Roman"/>
                <w:i/>
                <w:sz w:val="20"/>
                <w:szCs w:val="20"/>
              </w:rPr>
              <w:t>обеспечение электрической энергией, газом и паром; кондиционирование воздуха</w:t>
            </w:r>
          </w:p>
        </w:tc>
        <w:tc>
          <w:tcPr>
            <w:tcW w:w="1418" w:type="dxa"/>
            <w:vAlign w:val="bottom"/>
          </w:tcPr>
          <w:p w14:paraId="7E9DA746"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х</w:t>
            </w:r>
          </w:p>
        </w:tc>
        <w:tc>
          <w:tcPr>
            <w:tcW w:w="1559" w:type="dxa"/>
            <w:vAlign w:val="bottom"/>
          </w:tcPr>
          <w:p w14:paraId="01272AA9" w14:textId="77777777" w:rsidR="00286592" w:rsidRPr="00522104" w:rsidRDefault="00286592" w:rsidP="004B2A92">
            <w:pPr>
              <w:spacing w:after="0" w:line="240" w:lineRule="auto"/>
              <w:ind w:firstLine="34"/>
              <w:jc w:val="center"/>
              <w:rPr>
                <w:rFonts w:ascii="Times New Roman" w:hAnsi="Times New Roman" w:cs="Times New Roman"/>
                <w:i/>
                <w:sz w:val="20"/>
                <w:szCs w:val="20"/>
              </w:rPr>
            </w:pPr>
            <w:r w:rsidRPr="00522104">
              <w:rPr>
                <w:rFonts w:ascii="Times New Roman" w:hAnsi="Times New Roman" w:cs="Times New Roman"/>
                <w:i/>
                <w:sz w:val="20"/>
                <w:szCs w:val="20"/>
              </w:rPr>
              <w:t>100,9</w:t>
            </w:r>
          </w:p>
        </w:tc>
      </w:tr>
      <w:tr w:rsidR="00286592" w:rsidRPr="00522104" w14:paraId="21A1F563" w14:textId="77777777" w:rsidTr="004B2A92">
        <w:trPr>
          <w:trHeight w:val="565"/>
        </w:trPr>
        <w:tc>
          <w:tcPr>
            <w:tcW w:w="454" w:type="dxa"/>
          </w:tcPr>
          <w:p w14:paraId="42E3F8DC"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13</w:t>
            </w:r>
          </w:p>
          <w:p w14:paraId="3ECEEB7C" w14:textId="77777777" w:rsidR="00286592" w:rsidRPr="00522104" w:rsidRDefault="00286592" w:rsidP="004B2A92">
            <w:pPr>
              <w:spacing w:after="0" w:line="240" w:lineRule="auto"/>
              <w:jc w:val="center"/>
              <w:rPr>
                <w:rFonts w:ascii="Times New Roman" w:hAnsi="Times New Roman" w:cs="Times New Roman"/>
                <w:sz w:val="20"/>
                <w:szCs w:val="20"/>
              </w:rPr>
            </w:pPr>
          </w:p>
        </w:tc>
        <w:tc>
          <w:tcPr>
            <w:tcW w:w="5812" w:type="dxa"/>
          </w:tcPr>
          <w:p w14:paraId="232CCC8A" w14:textId="77777777" w:rsidR="00286592" w:rsidRPr="00522104" w:rsidRDefault="00286592" w:rsidP="004B2A92">
            <w:pPr>
              <w:spacing w:after="0" w:line="240" w:lineRule="auto"/>
              <w:rPr>
                <w:rFonts w:ascii="Times New Roman" w:hAnsi="Times New Roman" w:cs="Times New Roman"/>
                <w:sz w:val="20"/>
                <w:szCs w:val="20"/>
              </w:rPr>
            </w:pPr>
            <w:r w:rsidRPr="00522104">
              <w:rPr>
                <w:rFonts w:ascii="Times New Roman" w:hAnsi="Times New Roman" w:cs="Times New Roman"/>
                <w:i/>
                <w:sz w:val="20"/>
                <w:szCs w:val="20"/>
              </w:rPr>
              <w:t>водоснабжение; водоотведение, организация сбора и утилизация отходов, деятельность по ликвидации загрязнений</w:t>
            </w:r>
          </w:p>
        </w:tc>
        <w:tc>
          <w:tcPr>
            <w:tcW w:w="1418" w:type="dxa"/>
            <w:vAlign w:val="bottom"/>
          </w:tcPr>
          <w:p w14:paraId="08AF9178"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х</w:t>
            </w:r>
          </w:p>
        </w:tc>
        <w:tc>
          <w:tcPr>
            <w:tcW w:w="1559" w:type="dxa"/>
            <w:vAlign w:val="bottom"/>
          </w:tcPr>
          <w:p w14:paraId="526C5912" w14:textId="77777777" w:rsidR="00286592" w:rsidRPr="00522104" w:rsidRDefault="00286592" w:rsidP="004B2A92">
            <w:pPr>
              <w:spacing w:after="0" w:line="240" w:lineRule="auto"/>
              <w:ind w:firstLine="34"/>
              <w:jc w:val="center"/>
              <w:rPr>
                <w:rFonts w:ascii="Times New Roman" w:hAnsi="Times New Roman" w:cs="Times New Roman"/>
                <w:i/>
                <w:sz w:val="20"/>
                <w:szCs w:val="20"/>
              </w:rPr>
            </w:pPr>
            <w:r w:rsidRPr="00522104">
              <w:rPr>
                <w:rFonts w:ascii="Times New Roman" w:hAnsi="Times New Roman" w:cs="Times New Roman"/>
                <w:i/>
                <w:sz w:val="20"/>
                <w:szCs w:val="20"/>
              </w:rPr>
              <w:t>100,8</w:t>
            </w:r>
          </w:p>
        </w:tc>
      </w:tr>
      <w:tr w:rsidR="00286592" w:rsidRPr="00522104" w14:paraId="35529FD3" w14:textId="77777777" w:rsidTr="004B2A92">
        <w:tc>
          <w:tcPr>
            <w:tcW w:w="454" w:type="dxa"/>
          </w:tcPr>
          <w:p w14:paraId="5D4F9561"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14</w:t>
            </w:r>
          </w:p>
        </w:tc>
        <w:tc>
          <w:tcPr>
            <w:tcW w:w="5812" w:type="dxa"/>
          </w:tcPr>
          <w:p w14:paraId="51228FD7"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Индекс производства по лесозаготовкам</w:t>
            </w:r>
          </w:p>
        </w:tc>
        <w:tc>
          <w:tcPr>
            <w:tcW w:w="1418" w:type="dxa"/>
            <w:vAlign w:val="bottom"/>
          </w:tcPr>
          <w:p w14:paraId="35F510A2"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х</w:t>
            </w:r>
          </w:p>
        </w:tc>
        <w:tc>
          <w:tcPr>
            <w:tcW w:w="1559" w:type="dxa"/>
            <w:vAlign w:val="bottom"/>
          </w:tcPr>
          <w:p w14:paraId="158BF56A"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90,9</w:t>
            </w:r>
          </w:p>
        </w:tc>
      </w:tr>
      <w:tr w:rsidR="00286592" w:rsidRPr="00522104" w14:paraId="5C1DA343" w14:textId="77777777" w:rsidTr="004B2A92">
        <w:tc>
          <w:tcPr>
            <w:tcW w:w="454" w:type="dxa"/>
          </w:tcPr>
          <w:p w14:paraId="3DCA43F5" w14:textId="77777777" w:rsidR="00286592" w:rsidRPr="00522104" w:rsidRDefault="00286592" w:rsidP="004B2A92">
            <w:pPr>
              <w:spacing w:after="0" w:line="240" w:lineRule="auto"/>
              <w:jc w:val="right"/>
              <w:rPr>
                <w:rFonts w:ascii="Times New Roman" w:hAnsi="Times New Roman" w:cs="Times New Roman"/>
                <w:sz w:val="20"/>
                <w:szCs w:val="20"/>
              </w:rPr>
            </w:pPr>
            <w:r w:rsidRPr="00522104">
              <w:rPr>
                <w:rFonts w:ascii="Times New Roman" w:hAnsi="Times New Roman" w:cs="Times New Roman"/>
                <w:sz w:val="20"/>
                <w:szCs w:val="20"/>
              </w:rPr>
              <w:t>15</w:t>
            </w:r>
          </w:p>
        </w:tc>
        <w:tc>
          <w:tcPr>
            <w:tcW w:w="5812" w:type="dxa"/>
          </w:tcPr>
          <w:p w14:paraId="139DF3D6" w14:textId="77777777" w:rsidR="00286592" w:rsidRPr="00522104" w:rsidRDefault="00286592" w:rsidP="004B2A92">
            <w:pPr>
              <w:spacing w:after="0" w:line="240" w:lineRule="auto"/>
              <w:jc w:val="both"/>
              <w:rPr>
                <w:rFonts w:ascii="Times New Roman" w:hAnsi="Times New Roman" w:cs="Times New Roman"/>
                <w:sz w:val="20"/>
                <w:szCs w:val="20"/>
              </w:rPr>
            </w:pPr>
            <w:r w:rsidRPr="00522104">
              <w:rPr>
                <w:rFonts w:ascii="Times New Roman" w:hAnsi="Times New Roman" w:cs="Times New Roman"/>
                <w:sz w:val="20"/>
                <w:szCs w:val="20"/>
              </w:rPr>
              <w:t xml:space="preserve">Индекс производства в рыболовстве </w:t>
            </w:r>
          </w:p>
        </w:tc>
        <w:tc>
          <w:tcPr>
            <w:tcW w:w="1418" w:type="dxa"/>
            <w:vAlign w:val="bottom"/>
          </w:tcPr>
          <w:p w14:paraId="2DA00673" w14:textId="77777777" w:rsidR="00286592" w:rsidRPr="00522104" w:rsidRDefault="00286592" w:rsidP="004B2A92">
            <w:pPr>
              <w:spacing w:after="0" w:line="240" w:lineRule="auto"/>
              <w:jc w:val="center"/>
              <w:rPr>
                <w:rFonts w:ascii="Times New Roman" w:hAnsi="Times New Roman" w:cs="Times New Roman"/>
                <w:sz w:val="20"/>
                <w:szCs w:val="20"/>
              </w:rPr>
            </w:pPr>
            <w:r w:rsidRPr="00522104">
              <w:rPr>
                <w:rFonts w:ascii="Times New Roman" w:hAnsi="Times New Roman" w:cs="Times New Roman"/>
                <w:sz w:val="20"/>
                <w:szCs w:val="20"/>
              </w:rPr>
              <w:t>х</w:t>
            </w:r>
          </w:p>
        </w:tc>
        <w:tc>
          <w:tcPr>
            <w:tcW w:w="1559" w:type="dxa"/>
            <w:vAlign w:val="bottom"/>
          </w:tcPr>
          <w:p w14:paraId="6F243BF9" w14:textId="77777777" w:rsidR="00286592" w:rsidRPr="00522104" w:rsidRDefault="00286592" w:rsidP="004B2A92">
            <w:pPr>
              <w:spacing w:after="0" w:line="240" w:lineRule="auto"/>
              <w:ind w:firstLine="34"/>
              <w:jc w:val="center"/>
              <w:rPr>
                <w:rFonts w:ascii="Times New Roman" w:hAnsi="Times New Roman" w:cs="Times New Roman"/>
                <w:sz w:val="20"/>
                <w:szCs w:val="20"/>
              </w:rPr>
            </w:pPr>
            <w:r w:rsidRPr="00522104">
              <w:rPr>
                <w:rFonts w:ascii="Times New Roman" w:hAnsi="Times New Roman" w:cs="Times New Roman"/>
                <w:sz w:val="20"/>
                <w:szCs w:val="20"/>
              </w:rPr>
              <w:t>114,2</w:t>
            </w:r>
          </w:p>
        </w:tc>
      </w:tr>
    </w:tbl>
    <w:p w14:paraId="780D1914"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29880901" w14:textId="142D57C6"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Согласно представленным Приморскстатом данным за январь-август 2021 года по сравнению с соответствующим периодом предыдущего года по ряду основных показателей экономики Приморского края наблюдается положительная динамика по: объему услуг связи, деятельности в сфере телекоммуникаций, продукции сельского хозяйства, показателю ввода в действие жилых домов, обороту розничной торговли, объему платных услуг населению, индексу промышленного производства, индексу производства в рыболовстве.</w:t>
      </w:r>
    </w:p>
    <w:p w14:paraId="62CE4533" w14:textId="746D859C"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 то же время</w:t>
      </w:r>
      <w:r w:rsidR="00E5208D"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 8 месяцев 2021 года наблюдается тенденция к снижению по таким показателям, как объем работ и услуг в области строительства, инвестиции в основной капитал, индекс производства по лесозаготовкам.</w:t>
      </w:r>
    </w:p>
    <w:p w14:paraId="1E41AD91"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58AC46B3" w14:textId="5932379D" w:rsidR="00286592" w:rsidRPr="00522104" w:rsidRDefault="00286592" w:rsidP="00286592">
      <w:pPr>
        <w:spacing w:after="0" w:line="240" w:lineRule="auto"/>
        <w:ind w:firstLine="708"/>
        <w:jc w:val="both"/>
        <w:rPr>
          <w:rFonts w:ascii="Times New Roman" w:hAnsi="Times New Roman" w:cs="Times New Roman"/>
          <w:b/>
          <w:sz w:val="28"/>
          <w:szCs w:val="28"/>
        </w:rPr>
      </w:pPr>
      <w:r w:rsidRPr="00522104">
        <w:rPr>
          <w:rFonts w:ascii="Times New Roman" w:hAnsi="Times New Roman" w:cs="Times New Roman"/>
          <w:b/>
          <w:sz w:val="28"/>
          <w:szCs w:val="28"/>
        </w:rPr>
        <w:t>Финансы, демографические показатели, доходы населения, безработица</w:t>
      </w:r>
    </w:p>
    <w:p w14:paraId="6421359D"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lastRenderedPageBreak/>
        <w:t>Важным показателем состояния экономики Приморского края является финансовый результат деятельности предприятий.</w:t>
      </w:r>
    </w:p>
    <w:p w14:paraId="6912BA26"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По данным Приморскстата, сальдированный финансовый результат крупных и средних организаций (без субъектов малого предпринимательства, банков, страховых организаций и бюджетных учреждений) за январь-июль 2021 года составил 83886,4 млн рублей, что выше в 1,7 раз по сравнению с аналогичным периодом 2020 года</w:t>
      </w:r>
      <w:r w:rsidRPr="00522104">
        <w:rPr>
          <w:rFonts w:ascii="Times New Roman" w:hAnsi="Times New Roman" w:cs="Times New Roman"/>
          <w:sz w:val="28"/>
          <w:szCs w:val="28"/>
          <w:vertAlign w:val="superscript"/>
        </w:rPr>
        <w:footnoteReference w:id="4"/>
      </w:r>
      <w:r w:rsidRPr="00522104">
        <w:rPr>
          <w:rFonts w:ascii="Times New Roman" w:hAnsi="Times New Roman" w:cs="Times New Roman"/>
          <w:sz w:val="28"/>
          <w:szCs w:val="28"/>
        </w:rPr>
        <w:t>, из них за 7 месяцев 2021 года:</w:t>
      </w:r>
    </w:p>
    <w:p w14:paraId="0E7C3626" w14:textId="2C104328"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i/>
          <w:sz w:val="28"/>
          <w:szCs w:val="28"/>
        </w:rPr>
        <w:t>положительный финансовый результат</w:t>
      </w:r>
      <w:r w:rsidRPr="00522104">
        <w:rPr>
          <w:rFonts w:ascii="Times New Roman" w:hAnsi="Times New Roman" w:cs="Times New Roman"/>
          <w:sz w:val="28"/>
          <w:szCs w:val="28"/>
        </w:rPr>
        <w:t xml:space="preserve"> сложился у организаций, занятых в таких отраслях экономики, как: сельское, лесное хозяйство, охота, рыболовство и рыбоводство (14160,3 млн рублей, или в 1,5 раз выше аналогичного периода предыдущего года); добыча полезных ископаемых (842,2 млн рублей); торговля оптовая и розничная; ремонт автотранспортных средств и мотоциклов (24518,1 млн рублей, 123,5 %); транспортировка и хранение (33368,4 млн рублей, 1,5 раз)</w:t>
      </w:r>
      <w:r w:rsidR="00E22450" w:rsidRPr="00522104">
        <w:rPr>
          <w:rFonts w:ascii="Times New Roman" w:hAnsi="Times New Roman" w:cs="Times New Roman"/>
          <w:sz w:val="28"/>
          <w:szCs w:val="28"/>
        </w:rPr>
        <w:t>;</w:t>
      </w:r>
    </w:p>
    <w:p w14:paraId="4E360A53" w14:textId="77777777" w:rsidR="00286592" w:rsidRPr="00522104" w:rsidRDefault="00286592" w:rsidP="00286592">
      <w:pPr>
        <w:spacing w:after="0" w:line="240" w:lineRule="auto"/>
        <w:ind w:firstLine="708"/>
        <w:contextualSpacing/>
        <w:jc w:val="both"/>
        <w:rPr>
          <w:rFonts w:ascii="Times New Roman" w:hAnsi="Times New Roman" w:cs="Times New Roman"/>
          <w:i/>
          <w:sz w:val="28"/>
          <w:szCs w:val="28"/>
        </w:rPr>
      </w:pPr>
      <w:r w:rsidRPr="00522104">
        <w:rPr>
          <w:rFonts w:ascii="Times New Roman" w:hAnsi="Times New Roman" w:cs="Times New Roman"/>
          <w:i/>
          <w:sz w:val="28"/>
          <w:szCs w:val="28"/>
        </w:rPr>
        <w:t>потерпели убытки в отраслях экономики:</w:t>
      </w:r>
      <w:r w:rsidRPr="00522104">
        <w:rPr>
          <w:rFonts w:ascii="Times New Roman" w:hAnsi="Times New Roman" w:cs="Times New Roman"/>
          <w:sz w:val="28"/>
          <w:szCs w:val="28"/>
        </w:rPr>
        <w:t xml:space="preserve"> обрабатывающие производства (-4745,0 млн рублей); строительство (-1022,4 млн рублей).</w:t>
      </w:r>
    </w:p>
    <w:p w14:paraId="0A36E6AD" w14:textId="08654DAD"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Сумма убытков за 7 месяцев 2021 года составила 17840,8 млн рублей (за 7 месяцев 2020 года – 17214,0 млн рублей). Доля убыточных организаций от общего числа организаций составляет 28,8 %. Суммарная задолженность по обязательствам (кредиторская, по кредитам банков и займам) организаций на 01.08.2021 составила 1545,2 млрд рублей (из нее прос</w:t>
      </w:r>
      <w:r w:rsidR="003D42F8" w:rsidRPr="00522104">
        <w:rPr>
          <w:rFonts w:ascii="Times New Roman" w:hAnsi="Times New Roman" w:cs="Times New Roman"/>
          <w:sz w:val="28"/>
          <w:szCs w:val="28"/>
        </w:rPr>
        <w:t>роченная – 2,6 %) (на 01.08.2020</w:t>
      </w:r>
      <w:r w:rsidRPr="00522104">
        <w:rPr>
          <w:rFonts w:ascii="Times New Roman" w:hAnsi="Times New Roman" w:cs="Times New Roman"/>
          <w:sz w:val="28"/>
          <w:szCs w:val="28"/>
        </w:rPr>
        <w:t xml:space="preserve"> – 1000,7 млрд рублей, из нее просроченная – 1 %), в том числе кредиторская задолженность – 743,0 млрд рублей и задолженность организаций по полученным кредитам банков и займам – 802,2 млрд рублей. Дебиторская задолженность на 01.08.2021 составила 607,5 млрд рублей, из нее просроченная – 6,0 % (на 01.01.2021 – 5,8 %). </w:t>
      </w:r>
    </w:p>
    <w:p w14:paraId="773C2A20" w14:textId="77777777" w:rsidR="00286592" w:rsidRPr="00522104" w:rsidRDefault="00286592" w:rsidP="00286592">
      <w:pPr>
        <w:shd w:val="clear" w:color="auto" w:fill="FFFFFF" w:themeFill="background1"/>
        <w:spacing w:after="0" w:line="240" w:lineRule="auto"/>
        <w:ind w:firstLine="708"/>
        <w:contextualSpacing/>
        <w:jc w:val="both"/>
        <w:rPr>
          <w:rFonts w:ascii="Times New Roman" w:hAnsi="Times New Roman" w:cs="Times New Roman"/>
          <w:sz w:val="28"/>
          <w:szCs w:val="28"/>
          <w:shd w:val="clear" w:color="auto" w:fill="FFFFFF" w:themeFill="background1"/>
        </w:rPr>
      </w:pPr>
      <w:r w:rsidRPr="00522104">
        <w:rPr>
          <w:rFonts w:ascii="Times New Roman" w:hAnsi="Times New Roman" w:cs="Times New Roman"/>
          <w:sz w:val="28"/>
          <w:szCs w:val="28"/>
          <w:shd w:val="clear" w:color="auto" w:fill="FFFFFF" w:themeFill="background1"/>
        </w:rPr>
        <w:t xml:space="preserve">В целом суммарная задолженность по обязательствам организаций с января по июль 2021 года выросла на 375,4 млрд рублей (с 1169,8 млрд рублей до 1545,2 млрд рублей), или на 32,09 %, в том числе: </w:t>
      </w:r>
    </w:p>
    <w:p w14:paraId="5A28FF11" w14:textId="0534955C" w:rsidR="00286592" w:rsidRPr="00522104" w:rsidRDefault="00286592" w:rsidP="00286592">
      <w:pPr>
        <w:shd w:val="clear" w:color="auto" w:fill="FFFFFF" w:themeFill="background1"/>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shd w:val="clear" w:color="auto" w:fill="FFFFFF" w:themeFill="background1"/>
        </w:rPr>
        <w:t xml:space="preserve">кредиторская задолженность выросла </w:t>
      </w:r>
      <w:r w:rsidRPr="00522104">
        <w:rPr>
          <w:rFonts w:ascii="Times New Roman" w:hAnsi="Times New Roman" w:cs="Times New Roman"/>
          <w:sz w:val="28"/>
          <w:szCs w:val="28"/>
        </w:rPr>
        <w:t>на 112,5 млрд рублей (с 630,5 м</w:t>
      </w:r>
      <w:r w:rsidR="00453797" w:rsidRPr="00522104">
        <w:rPr>
          <w:rFonts w:ascii="Times New Roman" w:hAnsi="Times New Roman" w:cs="Times New Roman"/>
          <w:sz w:val="28"/>
          <w:szCs w:val="28"/>
        </w:rPr>
        <w:t>лрд рублей до 743,0 млрд рублей</w:t>
      </w:r>
      <w:r w:rsidRPr="00522104">
        <w:rPr>
          <w:rFonts w:ascii="Times New Roman" w:hAnsi="Times New Roman" w:cs="Times New Roman"/>
          <w:sz w:val="28"/>
          <w:szCs w:val="28"/>
        </w:rPr>
        <w:t xml:space="preserve">, или на 17,84 %); </w:t>
      </w:r>
    </w:p>
    <w:p w14:paraId="71CE0950" w14:textId="77777777" w:rsidR="00286592" w:rsidRPr="00522104" w:rsidRDefault="00286592" w:rsidP="00286592">
      <w:pPr>
        <w:shd w:val="clear" w:color="auto" w:fill="FFFFFF" w:themeFill="background1"/>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задолженность организаций по полученным кредитам банков и займам увеличилась на 262,9 млрд рублей (с 539,3 млрд рублей до 802,2 млрд рублей, или на 48,75 %).</w:t>
      </w:r>
    </w:p>
    <w:p w14:paraId="08482F9D" w14:textId="77777777" w:rsidR="00286592" w:rsidRPr="00522104" w:rsidRDefault="00286592" w:rsidP="00286592">
      <w:pPr>
        <w:shd w:val="clear" w:color="auto" w:fill="FFFFFF" w:themeFill="background1"/>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Дебиторская задолженность за 7 месяцев 2021 года выросла на 90,0 млрд рублей (с 517,5 млрд рублей до 607,5 млрд рублей), или на 17,39 %.</w:t>
      </w:r>
    </w:p>
    <w:p w14:paraId="54573CBA"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Уровень жизни населения Приморского края характеризуется следующими основными показателями.</w:t>
      </w:r>
    </w:p>
    <w:p w14:paraId="31C1893B"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Индекс потребительских цен является одним из важнейших показателей инфляции, отражающий соотношение цены стандартной корзины товаров и услуг с ценой той же корзины в предыдущем периоде. </w:t>
      </w:r>
    </w:p>
    <w:p w14:paraId="68BA7838"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lastRenderedPageBreak/>
        <w:t xml:space="preserve">По данным Прогноза-2022, индекс потребительских цен (в среднем за год) в 2020 году достиг уровня 103,7 %, в 2021 году по оценке составит 104,8 % (в 2019 году – 104,2 %). </w:t>
      </w:r>
    </w:p>
    <w:p w14:paraId="54A2E9BD"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По информации Минэкономразвития ПК, расчет индекса потребительских цен на 2021 год проведен с учетом индексации тарифов, ожидаемым ослаблением обменного курса рубля. В обоих вариантах среднесрочного прогноза индекс потребительских цен в 2022-2024 годах прогнозируется на уровне целевого значения 104,00 % на основе влияния стабилизации динамики обменного курса и замедления роста стоимости жилищно-коммунальных услуг.</w:t>
      </w:r>
    </w:p>
    <w:p w14:paraId="08EDD8FF" w14:textId="41D124BB"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По данным Приморскстата, индекс потребительских цен в августе 2021 года по отношению к предыдущему месяцу составил 100,5 %, в том числе на продовольственные товары – 101,2 %, непродовольственные товары – 100,7 % и услуги – 100,6 %. Наиболее высокий уровень индекса потребительских цен за период с января по август 2021 года зафиксирован в июле – 100,7 %, в том числе на продовольственные товары – 100,0 %, непродовольственные товары</w:t>
      </w:r>
      <w:r w:rsidR="00D84C58" w:rsidRPr="00522104">
        <w:rPr>
          <w:rFonts w:ascii="Times New Roman" w:hAnsi="Times New Roman" w:cs="Times New Roman"/>
          <w:sz w:val="28"/>
          <w:szCs w:val="28"/>
        </w:rPr>
        <w:t> </w:t>
      </w:r>
      <w:r w:rsidRPr="00522104">
        <w:rPr>
          <w:rFonts w:ascii="Times New Roman" w:hAnsi="Times New Roman" w:cs="Times New Roman"/>
          <w:sz w:val="28"/>
          <w:szCs w:val="28"/>
        </w:rPr>
        <w:t>– 101,1 %, услуги – 101,3 %.</w:t>
      </w:r>
    </w:p>
    <w:p w14:paraId="27AA603E"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Индекс потребительских цен в августе 2021 по отношению к декабрю 2020 года составил 104,1 %, в то время как в августе 2020 года к декабрю 2019 года – 102,8 %. </w:t>
      </w:r>
    </w:p>
    <w:p w14:paraId="4E3AE771"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Базовый индекс потребительских цен, исключающий изменения на отдельные товары, подверженные влиянию факторов административного или сезонного характера, в августе 2021 года по отношению к предыдущему месяцу составил 100,5 % (в августе 2020 года – 100,3 %).</w:t>
      </w:r>
    </w:p>
    <w:p w14:paraId="44CDA760"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Стоимость условного (минимального) набора продуктов питания, рассчитанная по среднероссийским нормам потребления, в конце августа 2021 года составила, в среднем по Приморскому краю, 6459,22 рублей в расчете на месяц (в конце августа 2020 года 5795,1 рублей). По сравнению с предыдущим месяцем его стоимость возросла на 1,6 %.</w:t>
      </w:r>
    </w:p>
    <w:p w14:paraId="209AF91A" w14:textId="77777777" w:rsidR="00286592" w:rsidRPr="00522104" w:rsidRDefault="00286592" w:rsidP="00286592">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Стоимость фиксированного набора потребительских товаров и услуг, используемого для межрегиональных сопоставлений покупательской способности населения, составила в Приморском крае в конце августа 2021 года 20174,28 рубля в расчете на месяц (в конце августа 2020 года составила 18973,00 рублей в расчете на месяц). По сравнению с предыдущим месяцем его стоимость осталась на прежнем уровне.</w:t>
      </w:r>
    </w:p>
    <w:p w14:paraId="74530B25" w14:textId="77777777" w:rsidR="00286592" w:rsidRPr="00522104" w:rsidRDefault="00286592" w:rsidP="00286592">
      <w:pPr>
        <w:shd w:val="clear" w:color="auto" w:fill="FFFFFF" w:themeFill="background1"/>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Рост условного (минимального) набора продуктов питания и фиксированного набора потребительских услуг в августе 2021 года по сравнению с августом 2020 года на 11,46 % и 6,33 % соответственно указывает на рост инфляционных процессов.</w:t>
      </w:r>
    </w:p>
    <w:p w14:paraId="30DF8D31"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Расширение потребительского спроса в 2022-2024 годах будет основано на устойчивом росте реальных располагаемых доходов населения.</w:t>
      </w:r>
    </w:p>
    <w:p w14:paraId="0B38694B" w14:textId="0F7AE5FD"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оценке</w:t>
      </w:r>
      <w:r w:rsidR="00D84C58" w:rsidRPr="00522104">
        <w:rPr>
          <w:rFonts w:ascii="Times New Roman" w:hAnsi="Times New Roman" w:cs="Times New Roman"/>
          <w:sz w:val="28"/>
          <w:szCs w:val="28"/>
        </w:rPr>
        <w:t>,</w:t>
      </w:r>
      <w:r w:rsidRPr="00522104">
        <w:rPr>
          <w:rFonts w:ascii="Times New Roman" w:hAnsi="Times New Roman" w:cs="Times New Roman"/>
          <w:sz w:val="28"/>
          <w:szCs w:val="28"/>
        </w:rPr>
        <w:t xml:space="preserve"> в 2021 году реальные располагаемые денежные доходы населения к 2020 году составят 97,40 %. В 2022-2024 годах прогнозируется увеличение уровня реальных располагаемых денежных доходов с 101,90 % до 102,00 % к предыдущему году по консервативному варианту и с 102,50 до 102,60 % по базовому варианту. </w:t>
      </w:r>
    </w:p>
    <w:p w14:paraId="0E2C2995" w14:textId="63F21152"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lastRenderedPageBreak/>
        <w:t>По информации Приморскстата</w:t>
      </w:r>
      <w:r w:rsidR="00D84C58" w:rsidRPr="00522104">
        <w:rPr>
          <w:rFonts w:ascii="Times New Roman" w:hAnsi="Times New Roman" w:cs="Times New Roman"/>
          <w:sz w:val="28"/>
          <w:szCs w:val="28"/>
        </w:rPr>
        <w:t>,</w:t>
      </w:r>
      <w:r w:rsidRPr="00522104">
        <w:rPr>
          <w:rFonts w:ascii="Times New Roman" w:hAnsi="Times New Roman" w:cs="Times New Roman"/>
          <w:sz w:val="28"/>
          <w:szCs w:val="28"/>
        </w:rPr>
        <w:t xml:space="preserve"> реальные денежные доходы (доходы, скорректированные на индекс потребительских цен) и реальные располагаемые денежные доходы (доходы за вычетом обязательных платежей, скорректированные на индекс потребительских цен) по оценке в 1 полугодии 2021</w:t>
      </w:r>
      <w:r w:rsidR="00D84C58" w:rsidRPr="00522104">
        <w:rPr>
          <w:rFonts w:ascii="Times New Roman" w:hAnsi="Times New Roman" w:cs="Times New Roman"/>
          <w:sz w:val="28"/>
          <w:szCs w:val="28"/>
        </w:rPr>
        <w:t xml:space="preserve"> года</w:t>
      </w:r>
      <w:r w:rsidRPr="00522104">
        <w:rPr>
          <w:rFonts w:ascii="Times New Roman" w:hAnsi="Times New Roman" w:cs="Times New Roman"/>
          <w:sz w:val="28"/>
          <w:szCs w:val="28"/>
        </w:rPr>
        <w:t xml:space="preserve"> остались на уровне соответствующего периода 2020 года –</w:t>
      </w:r>
      <w:r w:rsidR="00D84C58" w:rsidRPr="00522104">
        <w:rPr>
          <w:rFonts w:ascii="Times New Roman" w:hAnsi="Times New Roman" w:cs="Times New Roman"/>
          <w:sz w:val="28"/>
          <w:szCs w:val="28"/>
        </w:rPr>
        <w:t xml:space="preserve"> </w:t>
      </w:r>
      <w:r w:rsidRPr="00522104">
        <w:rPr>
          <w:rFonts w:ascii="Times New Roman" w:hAnsi="Times New Roman" w:cs="Times New Roman"/>
          <w:sz w:val="28"/>
          <w:szCs w:val="28"/>
        </w:rPr>
        <w:t xml:space="preserve">100,1 % и 99,7 % соответственно. </w:t>
      </w:r>
    </w:p>
    <w:p w14:paraId="4F43E99B" w14:textId="603B533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В структуре денежных доходов населения основную долю (90,8 %) во 2 квартале 2021 года заняла оплата труда </w:t>
      </w:r>
      <w:r w:rsidR="007B32A7" w:rsidRPr="00522104">
        <w:rPr>
          <w:rFonts w:ascii="Times New Roman" w:hAnsi="Times New Roman" w:cs="Times New Roman"/>
          <w:sz w:val="28"/>
          <w:szCs w:val="28"/>
        </w:rPr>
        <w:t>(</w:t>
      </w:r>
      <w:r w:rsidRPr="00522104">
        <w:rPr>
          <w:rFonts w:ascii="Times New Roman" w:hAnsi="Times New Roman" w:cs="Times New Roman"/>
          <w:sz w:val="28"/>
          <w:szCs w:val="28"/>
        </w:rPr>
        <w:t>69,6 %</w:t>
      </w:r>
      <w:r w:rsidR="007B32A7" w:rsidRPr="00522104">
        <w:rPr>
          <w:rFonts w:ascii="Times New Roman" w:hAnsi="Times New Roman" w:cs="Times New Roman"/>
          <w:sz w:val="28"/>
          <w:szCs w:val="28"/>
        </w:rPr>
        <w:t>)</w:t>
      </w:r>
      <w:r w:rsidRPr="00522104">
        <w:rPr>
          <w:rFonts w:ascii="Times New Roman" w:hAnsi="Times New Roman" w:cs="Times New Roman"/>
          <w:sz w:val="28"/>
          <w:szCs w:val="28"/>
        </w:rPr>
        <w:t xml:space="preserve"> и социальные выплаты (21,2 %). </w:t>
      </w:r>
    </w:p>
    <w:p w14:paraId="7B65CD26"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Информация о динамике индекса потребительских цен и реальных располагаемых денежных доходах населения в 2019-2024 годах представлена на диаграмме.</w:t>
      </w:r>
    </w:p>
    <w:p w14:paraId="0B7C35F3"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372E6A98" w14:textId="77777777" w:rsidR="00286592" w:rsidRPr="00522104" w:rsidRDefault="00286592" w:rsidP="00286592">
      <w:pPr>
        <w:spacing w:after="0" w:line="240" w:lineRule="auto"/>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1CD99C05" wp14:editId="63432C54">
            <wp:extent cx="6200775" cy="2838893"/>
            <wp:effectExtent l="0" t="0" r="0" b="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ABC0F5B"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6BA5CA22" w14:textId="512DECD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Согласно Прогнозу-2022 номинальная начисленная среднемесячная заработная плата работников организаций</w:t>
      </w:r>
      <w:r w:rsidR="009C6783"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оценке 2021 года</w:t>
      </w:r>
      <w:r w:rsidR="009C6783" w:rsidRPr="00522104">
        <w:rPr>
          <w:rFonts w:ascii="Times New Roman" w:hAnsi="Times New Roman" w:cs="Times New Roman"/>
          <w:sz w:val="28"/>
          <w:szCs w:val="28"/>
        </w:rPr>
        <w:t>,</w:t>
      </w:r>
      <w:r w:rsidRPr="00522104">
        <w:rPr>
          <w:rFonts w:ascii="Times New Roman" w:hAnsi="Times New Roman" w:cs="Times New Roman"/>
          <w:sz w:val="28"/>
          <w:szCs w:val="28"/>
        </w:rPr>
        <w:t xml:space="preserve"> составит 54664,6 рублей (в 2020 году – 50105,30 рублей, в 2019 году – 46866,5 рублей). </w:t>
      </w:r>
    </w:p>
    <w:p w14:paraId="52485D68"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 2022 года по 2024 год предполагается увеличение номинальной начисленной заработной платы работников организаций с 57889,8 рублей в месяц до 65352,2 рублей в месяц по консервативному варианту, и с 58272,5 рублей до 66280,5 рублей по базовом варианту.</w:t>
      </w:r>
    </w:p>
    <w:p w14:paraId="3D343DB7"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информации Приморскстата, среднемесячная номинальная начисленная заработная плата работников организаций в июле 2021 года составила 55062,9 рублей и по сравнению с июлем 2020 года увеличилась на 6,9 %, за период с января по июль 2021 года среднемесячная номинальная начисленная заработная плата работников организаций составила 52984,5 рублей. Реальная заработная плата, рассчитанная с учетом индекса потребительских цен, выше июля 2020 года на 1,0 %.</w:t>
      </w:r>
    </w:p>
    <w:p w14:paraId="183074A4"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Среднедушевые денежные доходы (отношение всех денежных поступлений к численности населения края) за 1 полугодие составили 37465 рублей в месяц, в то время как потребительские расходы 33499 рублей. </w:t>
      </w:r>
    </w:p>
    <w:p w14:paraId="15F78548"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lastRenderedPageBreak/>
        <w:t xml:space="preserve">В 2020 году величина прожиточного минимума в среднем на душу населения в месяц составила 13889,00 рублей, в 2021 году составляет 13963,00 рублей в месяц. В 2022 году, 2023 году и 2024 году величина прожиточного минимума прогнозируется в размере 14312,00 рублей, 15086,00 рублей и 16069,00 рублей в месяц соответственно по консервативному варианту развития; 14312,00 рублей, 15540,00 рублей и 16697,00 рублей в месяц соответственно по базовому варианту.  </w:t>
      </w:r>
    </w:p>
    <w:p w14:paraId="53C0DC7E" w14:textId="77777777" w:rsidR="00286592" w:rsidRPr="00522104" w:rsidRDefault="00286592" w:rsidP="00286592">
      <w:pPr>
        <w:spacing w:after="0" w:line="240" w:lineRule="auto"/>
        <w:ind w:firstLine="708"/>
        <w:jc w:val="both"/>
        <w:rPr>
          <w:rFonts w:ascii="Times New Roman" w:hAnsi="Times New Roman" w:cs="Times New Roman"/>
          <w:i/>
          <w:sz w:val="28"/>
          <w:szCs w:val="28"/>
        </w:rPr>
      </w:pPr>
      <w:r w:rsidRPr="00522104">
        <w:rPr>
          <w:rFonts w:ascii="Times New Roman" w:hAnsi="Times New Roman" w:cs="Times New Roman"/>
          <w:i/>
          <w:sz w:val="28"/>
          <w:szCs w:val="28"/>
        </w:rPr>
        <w:t xml:space="preserve">Справочно: величина прожиточного минимума на 2021 год в Приморском крае установлена постановлением Правительства Приморского края от 15.01.2021 № 5-пп в расчете на душу населения 13963 руб./мес., для трудоспособного населения – 14779 руб./мес., для пенсионеров – 12119 руб./мес., для детей – 15409 руб./мес. </w:t>
      </w:r>
    </w:p>
    <w:p w14:paraId="28D7B69A" w14:textId="77777777" w:rsidR="00286592" w:rsidRPr="00522104" w:rsidRDefault="00286592" w:rsidP="00286592">
      <w:pPr>
        <w:spacing w:after="0" w:line="240" w:lineRule="auto"/>
        <w:ind w:firstLine="708"/>
        <w:jc w:val="both"/>
        <w:rPr>
          <w:rFonts w:ascii="Times New Roman" w:hAnsi="Times New Roman" w:cs="Times New Roman"/>
          <w:i/>
          <w:sz w:val="28"/>
          <w:szCs w:val="28"/>
        </w:rPr>
      </w:pPr>
      <w:r w:rsidRPr="00522104">
        <w:rPr>
          <w:rFonts w:ascii="Times New Roman" w:hAnsi="Times New Roman" w:cs="Times New Roman"/>
          <w:i/>
          <w:sz w:val="28"/>
          <w:szCs w:val="28"/>
        </w:rPr>
        <w:t>Федеральным законом от 29.12.2020 № 473-ФЗ "О внесении изменений в отдельные законодательные акты Российской Федерации" величина прожиточного минимума устанавливается исходя из медианного среднедушевого дохода</w:t>
      </w:r>
      <w:r w:rsidRPr="00522104">
        <w:rPr>
          <w:rStyle w:val="af"/>
          <w:rFonts w:ascii="Times New Roman" w:hAnsi="Times New Roman" w:cs="Times New Roman"/>
          <w:i/>
          <w:sz w:val="28"/>
          <w:szCs w:val="28"/>
        </w:rPr>
        <w:footnoteReference w:id="5"/>
      </w:r>
      <w:r w:rsidRPr="00522104">
        <w:rPr>
          <w:rFonts w:ascii="Times New Roman" w:hAnsi="Times New Roman" w:cs="Times New Roman"/>
          <w:i/>
          <w:sz w:val="28"/>
          <w:szCs w:val="28"/>
        </w:rPr>
        <w:t>. Ранее расчет величины прожиточного минимума происходил ежеквартально на основании стоимостной оценки потребительской корзины, обязательных платежей и сборов.</w:t>
      </w:r>
    </w:p>
    <w:p w14:paraId="7684E9D7" w14:textId="5F288146"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Численность безработных, зарегистрированных в службах занятости населения, на конец 2021 года согласно Прогнозу-2022 оценивается в 12,50 тыс. человек, что ниже 2020 года на 29,38 % (в 2020 году – 17,70 тыс. человек). В 2022 году численность безработных, зарегистрированных в службах занятости населения (на конец года), прогнозируется по консервативному варианту 12,80 тыс. человек, по базовому варианту </w:t>
      </w:r>
      <w:r w:rsidR="00D70E4B" w:rsidRPr="00522104">
        <w:rPr>
          <w:rFonts w:ascii="Times New Roman" w:hAnsi="Times New Roman" w:cs="Times New Roman"/>
          <w:sz w:val="28"/>
          <w:szCs w:val="28"/>
        </w:rPr>
        <w:t>–</w:t>
      </w:r>
      <w:r w:rsidRPr="00522104">
        <w:rPr>
          <w:rFonts w:ascii="Times New Roman" w:hAnsi="Times New Roman" w:cs="Times New Roman"/>
          <w:sz w:val="28"/>
          <w:szCs w:val="28"/>
        </w:rPr>
        <w:t xml:space="preserve"> 12,00 тыс. человек. В плановом периоде 2023-2024 годов значение данного показателя прогнозируется со снижением до уровня 2019 года и составит в рамках консервативного варианта 12,00 тыс. человек и 11,50 тыс. человек соответственно, в рамках базового вариа</w:t>
      </w:r>
      <w:r w:rsidR="007B32A7" w:rsidRPr="00522104">
        <w:rPr>
          <w:rFonts w:ascii="Times New Roman" w:hAnsi="Times New Roman" w:cs="Times New Roman"/>
          <w:sz w:val="28"/>
          <w:szCs w:val="28"/>
        </w:rPr>
        <w:t>нта 11,50</w:t>
      </w:r>
      <w:r w:rsidRPr="00522104">
        <w:rPr>
          <w:rFonts w:ascii="Times New Roman" w:hAnsi="Times New Roman" w:cs="Times New Roman"/>
          <w:sz w:val="28"/>
          <w:szCs w:val="28"/>
        </w:rPr>
        <w:t> тыс. человек и 10,50 тыс. человек соответственно.</w:t>
      </w:r>
    </w:p>
    <w:p w14:paraId="640BCA46" w14:textId="77777777" w:rsidR="00286592" w:rsidRPr="00522104" w:rsidRDefault="00286592" w:rsidP="00286592">
      <w:pPr>
        <w:spacing w:after="0" w:line="240" w:lineRule="auto"/>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23087B6B" wp14:editId="177376BD">
            <wp:extent cx="5972432" cy="238887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5BD24C"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649F728B" w14:textId="3711CA5A"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данным Министерства профессионального образования и занятости населения Приморского края, по состоянию на 01.09.2021 в качестве безработных было зарегистрировано 12,6 тыс. человек. По сравнению с аналогичным периодом 2020 года численность зарегистрированных безработных</w:t>
      </w:r>
      <w:r w:rsidR="007B32A7" w:rsidRPr="00522104">
        <w:rPr>
          <w:rFonts w:ascii="Times New Roman" w:hAnsi="Times New Roman" w:cs="Times New Roman"/>
          <w:sz w:val="28"/>
          <w:szCs w:val="28"/>
        </w:rPr>
        <w:t xml:space="preserve"> снизилась в 2,59 раза (на 01.09</w:t>
      </w:r>
      <w:r w:rsidRPr="00522104">
        <w:rPr>
          <w:rFonts w:ascii="Times New Roman" w:hAnsi="Times New Roman" w:cs="Times New Roman"/>
          <w:sz w:val="28"/>
          <w:szCs w:val="28"/>
        </w:rPr>
        <w:t xml:space="preserve">.2020 – 32,6 тыс. человек). </w:t>
      </w:r>
    </w:p>
    <w:p w14:paraId="53FA1C88" w14:textId="7014C283"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По Прогнозу-2022 численность безработных (по методологии МОТ) оценивается в 2021 году </w:t>
      </w:r>
      <w:r w:rsidR="00841EEB" w:rsidRPr="00522104">
        <w:rPr>
          <w:rFonts w:ascii="Times New Roman" w:hAnsi="Times New Roman" w:cs="Times New Roman"/>
          <w:sz w:val="28"/>
          <w:szCs w:val="28"/>
        </w:rPr>
        <w:t xml:space="preserve">в количестве </w:t>
      </w:r>
      <w:r w:rsidR="007B32A7" w:rsidRPr="00522104">
        <w:rPr>
          <w:rFonts w:ascii="Times New Roman" w:hAnsi="Times New Roman" w:cs="Times New Roman"/>
          <w:sz w:val="28"/>
          <w:szCs w:val="28"/>
        </w:rPr>
        <w:t>52,20</w:t>
      </w:r>
      <w:r w:rsidRPr="00522104">
        <w:rPr>
          <w:rFonts w:ascii="Times New Roman" w:hAnsi="Times New Roman" w:cs="Times New Roman"/>
          <w:sz w:val="28"/>
          <w:szCs w:val="28"/>
        </w:rPr>
        <w:t xml:space="preserve"> тыс. человек, что ниже уровня 2020 года на 2,50 тыс. человек. В 2022 году численность безработных планируется 53,50 тыс. человек по консервативному варианту развития экономики, и 52,00 тыс. человек по базовому варианту. В плановом периоде 2023 и 2024 годов численность безработных (по методологии МОТ) запланирована: по консервативному варианту 52,80 тыс. человек и 52,00 тыс. человек соответственно, по базовому варианту – 52,00 тыс. человек и 51,60 тыс. человек соответственно. Согласно базовому варианту развития экономики снижение численности безработных (по методологии МОТ), а именно возвращение к докризисному уровню 2019 года, прогнозируется к 2024 году. </w:t>
      </w:r>
    </w:p>
    <w:p w14:paraId="3D2565AC" w14:textId="77777777" w:rsidR="00286592" w:rsidRPr="00522104" w:rsidRDefault="00286592" w:rsidP="00286592">
      <w:pPr>
        <w:shd w:val="clear" w:color="auto" w:fill="FFFFFF" w:themeFill="background1"/>
        <w:spacing w:after="0" w:line="240" w:lineRule="auto"/>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439EF359" wp14:editId="28EA1B83">
            <wp:extent cx="5940425" cy="2578308"/>
            <wp:effectExtent l="0" t="0" r="3175" b="0"/>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EBA5046" w14:textId="77777777"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p>
    <w:p w14:paraId="2CA670A3" w14:textId="4D89F268" w:rsidR="00286592" w:rsidRPr="00522104" w:rsidRDefault="00286592" w:rsidP="00286592">
      <w:pPr>
        <w:shd w:val="clear" w:color="auto" w:fill="FFFFFF" w:themeFill="background1"/>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данным Приморскстата</w:t>
      </w:r>
      <w:r w:rsidR="00D70E4B" w:rsidRPr="00522104">
        <w:rPr>
          <w:rFonts w:ascii="Times New Roman" w:hAnsi="Times New Roman" w:cs="Times New Roman"/>
          <w:sz w:val="28"/>
          <w:szCs w:val="28"/>
        </w:rPr>
        <w:t>,</w:t>
      </w:r>
      <w:r w:rsidRPr="00522104">
        <w:rPr>
          <w:rFonts w:ascii="Times New Roman" w:hAnsi="Times New Roman" w:cs="Times New Roman"/>
          <w:sz w:val="28"/>
          <w:szCs w:val="28"/>
        </w:rPr>
        <w:t xml:space="preserve"> в июле 2021 года общая численность безработных, классифицируемых в соответствии с критериями МОТ, в 3,3 раза превышала численность безработных, зарегистрированных в государственных учреждениях службы занятости населения.</w:t>
      </w:r>
    </w:p>
    <w:p w14:paraId="083BE394" w14:textId="77777777"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rPr>
      </w:pPr>
      <w:r w:rsidRPr="00522104">
        <w:rPr>
          <w:rFonts w:ascii="Times New Roman" w:hAnsi="Times New Roman" w:cs="Times New Roman"/>
          <w:sz w:val="28"/>
          <w:szCs w:val="28"/>
          <w:shd w:val="clear" w:color="auto" w:fill="FFFFFF"/>
        </w:rPr>
        <w:t>Кризис, вызванный пандемией коронавируса, оказал негативное влияние на рынок труда в Приморском крае в 2020 году. Ситуация стала улучшаться по мере снятия ограничений и возвращения в рабочий режим большинства предприятий.</w:t>
      </w:r>
    </w:p>
    <w:p w14:paraId="7C964761"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Дальнейшее восстановление экономического роста будет способствовать развитию рынка труда: росту потребности в трудовых ресурсах и повышению уровня участия населения в рабочей силе.</w:t>
      </w:r>
    </w:p>
    <w:p w14:paraId="2C3D514C" w14:textId="13AD7678" w:rsidR="00FD0B3D" w:rsidRDefault="00286592" w:rsidP="00286592">
      <w:pPr>
        <w:spacing w:after="0" w:line="240" w:lineRule="auto"/>
        <w:ind w:firstLine="708"/>
        <w:jc w:val="both"/>
        <w:rPr>
          <w:rFonts w:ascii="Times New Roman" w:hAnsi="Times New Roman" w:cs="Times New Roman"/>
          <w:sz w:val="28"/>
          <w:szCs w:val="28"/>
          <w:shd w:val="clear" w:color="auto" w:fill="FFFFFF"/>
        </w:rPr>
      </w:pPr>
      <w:r w:rsidRPr="00522104">
        <w:rPr>
          <w:rFonts w:ascii="Times New Roman" w:hAnsi="Times New Roman" w:cs="Times New Roman"/>
          <w:sz w:val="28"/>
          <w:szCs w:val="28"/>
          <w:shd w:val="clear" w:color="auto" w:fill="FFFFFF"/>
        </w:rPr>
        <w:t>В целях исполнения поручений Президента Российской Федерации от 08.07.2020 № ПР-1081 об обеспечении реализации мер, направленных на восстановление (до уровня 2019 года) численности занятого населения к 4 кварталу 2021 года и на основании Устава Приморского края Правительством Приморского края распоряжением от 03.02.2021 № 18-рп утвержден комплекс мер по восстановлению численности занятого населения на рынке труда Приморского края.</w:t>
      </w:r>
    </w:p>
    <w:p w14:paraId="00A6A0C8" w14:textId="77777777" w:rsidR="00FD0B3D" w:rsidRDefault="00FD0B3D">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14:paraId="3A7E2064" w14:textId="77777777"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rPr>
      </w:pPr>
    </w:p>
    <w:p w14:paraId="47648A3B" w14:textId="77777777" w:rsidR="00286592" w:rsidRPr="00522104" w:rsidRDefault="00286592" w:rsidP="00286592">
      <w:pPr>
        <w:spacing w:after="0" w:line="240" w:lineRule="auto"/>
        <w:ind w:firstLine="708"/>
        <w:jc w:val="both"/>
        <w:rPr>
          <w:rFonts w:ascii="Times New Roman" w:hAnsi="Times New Roman" w:cs="Times New Roman"/>
          <w:sz w:val="28"/>
          <w:szCs w:val="28"/>
          <w:shd w:val="clear" w:color="auto" w:fill="FFFFFF"/>
        </w:rPr>
      </w:pPr>
      <w:r w:rsidRPr="00522104">
        <w:rPr>
          <w:rFonts w:ascii="Times New Roman" w:hAnsi="Times New Roman" w:cs="Times New Roman"/>
          <w:sz w:val="28"/>
          <w:szCs w:val="28"/>
          <w:shd w:val="clear" w:color="auto" w:fill="FFFFFF"/>
        </w:rPr>
        <w:t xml:space="preserve">Кроме того, Правительством Приморского края в рамках государственной программы Приморского края "Содействие занятости населения Приморского края на 2020-2027 годы" в 2022 году и плановом периоде 2023-2024 годов будут реализовываться мероприятия, направленные на сокращение безработицы в Приморском крае. </w:t>
      </w:r>
    </w:p>
    <w:p w14:paraId="7717C70E"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Уровень зарегистрированной безработицы на конец 2020 года согласно Прогнозу-2022 составил 1,80 %, на конец 2021 года уровень безработицы снизится на 0,50 % и составит 1,30 %. В 2022 году, 2023 году и 2024 году уровень безработицы прогнозируется на уровне 1,30 % - 1,20 % по консервативному варианту, 1,30 % - 1,10 % по базовому варианту, что соответствует уровню зарегистрированной безработицы 2019 года. </w:t>
      </w:r>
    </w:p>
    <w:p w14:paraId="663C6B2E"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36E8B0BC" w14:textId="77777777" w:rsidR="00286592" w:rsidRPr="00522104" w:rsidRDefault="00286592" w:rsidP="00286592">
      <w:pPr>
        <w:spacing w:after="0" w:line="240" w:lineRule="auto"/>
        <w:ind w:firstLine="142"/>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12F67B29" wp14:editId="00743BB4">
            <wp:extent cx="5734685" cy="2488367"/>
            <wp:effectExtent l="0" t="0" r="0" b="7620"/>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7D0DACA"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42663D97"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данным Приморскстата, на 01.09.2021 уровень официально зарегистрированной безработицы в Приморском крае составил 1,3 % (на 01.09.2020 – 3,3 %).</w:t>
      </w:r>
    </w:p>
    <w:p w14:paraId="6755AB43"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Восстановление экономики в плановом периоде будет сопровождаться улучшением ситуации на рынке труда. </w:t>
      </w:r>
    </w:p>
    <w:p w14:paraId="5C980846" w14:textId="45F876C0"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Среднегодовая численность занятых в экономике в 2020 году составила 940,10 тыс. </w:t>
      </w:r>
      <w:r w:rsidR="00C47D62" w:rsidRPr="00522104">
        <w:rPr>
          <w:rFonts w:ascii="Times New Roman" w:hAnsi="Times New Roman" w:cs="Times New Roman"/>
          <w:sz w:val="28"/>
          <w:szCs w:val="28"/>
        </w:rPr>
        <w:t>человек</w:t>
      </w:r>
      <w:r w:rsidRPr="00522104">
        <w:rPr>
          <w:rFonts w:ascii="Times New Roman" w:hAnsi="Times New Roman" w:cs="Times New Roman"/>
          <w:sz w:val="28"/>
          <w:szCs w:val="28"/>
        </w:rPr>
        <w:t xml:space="preserve">. </w:t>
      </w:r>
    </w:p>
    <w:p w14:paraId="4F824497" w14:textId="121CE3DD"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предварительной оценке, в 2021 году ожидается рост среднегодовой численности занятых в экономике по сравнению с предшествующим годом на 1,40 тыс. человек и составит 941,50 тыс. </w:t>
      </w:r>
      <w:r w:rsidR="00C47D62" w:rsidRPr="00522104">
        <w:rPr>
          <w:rFonts w:ascii="Times New Roman" w:hAnsi="Times New Roman" w:cs="Times New Roman"/>
          <w:sz w:val="28"/>
          <w:szCs w:val="28"/>
        </w:rPr>
        <w:t>человек</w:t>
      </w:r>
      <w:r w:rsidRPr="00522104">
        <w:rPr>
          <w:rFonts w:ascii="Times New Roman" w:hAnsi="Times New Roman" w:cs="Times New Roman"/>
          <w:sz w:val="28"/>
          <w:szCs w:val="28"/>
        </w:rPr>
        <w:t xml:space="preserve">.  </w:t>
      </w:r>
    </w:p>
    <w:p w14:paraId="538E228E"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По Прогнозу-2022 с 2022 года до 2024 года среднегодовая численность занятых в экономике прогнозируется на уровне 944,20 тыс. человек – 944,00 тыс. человек по консервативному варианту развития экономики и на уровне 950,10 тыс. человек – 956,00 тыс. человек по базовому варианту, что ниже уровня 2019 года на 27,80 тыс. человек, и на 15,80 тыс. человек соответственно. Прогнозирование данного показателя осуществлялось с учетом текущей ситуации на рынке труда, связанной с распространением новой коронавирусной инфекции, что привело в 2020 году к сокращению количества рабочих мест и, как следствие, к увеличению численности безработных и снижению численности занятых в экономике. </w:t>
      </w:r>
    </w:p>
    <w:p w14:paraId="0ED0894A" w14:textId="77777777" w:rsidR="00286592" w:rsidRPr="00522104" w:rsidRDefault="00286592" w:rsidP="00286592">
      <w:pPr>
        <w:spacing w:after="0" w:line="240" w:lineRule="auto"/>
        <w:ind w:firstLine="426"/>
        <w:jc w:val="both"/>
        <w:rPr>
          <w:rFonts w:ascii="Times New Roman" w:hAnsi="Times New Roman" w:cs="Times New Roman"/>
          <w:sz w:val="28"/>
          <w:szCs w:val="28"/>
        </w:rPr>
      </w:pPr>
      <w:r w:rsidRPr="00522104">
        <w:rPr>
          <w:rFonts w:ascii="Times New Roman" w:hAnsi="Times New Roman" w:cs="Times New Roman"/>
          <w:noProof/>
          <w:sz w:val="28"/>
          <w:szCs w:val="28"/>
          <w:lang w:eastAsia="ru-RU"/>
        </w:rPr>
        <w:drawing>
          <wp:inline distT="0" distB="0" distL="0" distR="0" wp14:anchorId="62416C2D" wp14:editId="3E7C166C">
            <wp:extent cx="5411449" cy="2727960"/>
            <wp:effectExtent l="0" t="0" r="0" b="0"/>
            <wp:docPr id="57"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2F9E57" w14:textId="77777777" w:rsidR="00286592" w:rsidRPr="00522104" w:rsidRDefault="00286592" w:rsidP="00286592">
      <w:pPr>
        <w:spacing w:after="0" w:line="240" w:lineRule="auto"/>
        <w:ind w:firstLine="708"/>
        <w:jc w:val="both"/>
        <w:rPr>
          <w:rFonts w:ascii="Times New Roman" w:hAnsi="Times New Roman" w:cs="Times New Roman"/>
          <w:sz w:val="28"/>
          <w:szCs w:val="28"/>
        </w:rPr>
      </w:pPr>
    </w:p>
    <w:p w14:paraId="4ADA743A" w14:textId="15C8728E"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данным Приморскстата</w:t>
      </w:r>
      <w:r w:rsidR="008768CD" w:rsidRPr="00522104">
        <w:rPr>
          <w:rFonts w:ascii="Times New Roman" w:hAnsi="Times New Roman" w:cs="Times New Roman"/>
          <w:sz w:val="28"/>
          <w:szCs w:val="28"/>
        </w:rPr>
        <w:t>,</w:t>
      </w:r>
      <w:r w:rsidRPr="00522104">
        <w:rPr>
          <w:rFonts w:ascii="Times New Roman" w:hAnsi="Times New Roman" w:cs="Times New Roman"/>
          <w:sz w:val="28"/>
          <w:szCs w:val="28"/>
        </w:rPr>
        <w:t xml:space="preserve"> среднегодовая численность занятых в экономике в июле 2021 года составила 971,1 тыс. человек, что выше оценочного показателя 2021 года (941,5 тыс. человек) на 29,6 тыс. человек.</w:t>
      </w:r>
    </w:p>
    <w:p w14:paraId="39A9C264" w14:textId="45DF68F5"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 соответствии с Прогнозом-2022 рост среднегодовой численности занятых в экономике при сохранении зарегистрированной безработицы на уровне не выше 1,30 % в прогнозном периоде и росте среднемесячной заработной платы работников организаций не менее 6,1 % ежегодно будет способствовать увеличению трудовых доходов населения.</w:t>
      </w:r>
    </w:p>
    <w:p w14:paraId="409350B1" w14:textId="619ED243"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По Прогнозу-2022, среднегодовая численность населения Приморского края по оценке на 2021 год составит 1873,4</w:t>
      </w:r>
      <w:r w:rsidR="003F1B18" w:rsidRPr="00522104">
        <w:rPr>
          <w:rFonts w:ascii="Times New Roman" w:hAnsi="Times New Roman" w:cs="Times New Roman"/>
          <w:sz w:val="28"/>
          <w:szCs w:val="28"/>
        </w:rPr>
        <w:t>0</w:t>
      </w:r>
      <w:r w:rsidRPr="00522104">
        <w:rPr>
          <w:rFonts w:ascii="Times New Roman" w:hAnsi="Times New Roman" w:cs="Times New Roman"/>
          <w:sz w:val="28"/>
          <w:szCs w:val="28"/>
        </w:rPr>
        <w:t xml:space="preserve"> тыс. человек, что на 13,5 тыс. человек меньше, чем в 2020 году (1886,9 тыс. человек). В 2022 году планируется также снижение численности населения на 18,4 тыс. человек, что составит 1855,00 тыс. человек по консервативному варианту, и снижение на 8,10 тыс. человек, что составит 1865,30 тыс. человек по базовому варианту. На 2022 и 2023 годы численность населения прогнозируется 1841,70 тыс. человек и 1829,50 тыс. человек соответственно по годам по консервативному варианту, 1858,50 тыс. человек и 1852,30 тыс. человек соответственно по годам по базовому варианту развития экономики. </w:t>
      </w:r>
    </w:p>
    <w:p w14:paraId="6E8B7263"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Согласно сведениям Приморскстата в демографической ситуации Приморского края также наблюдается тенденция к сокращению численности населения. Информация о численности постоянного населения Приморского края в 2018-2021 годах (на начало года) и результаты расчета перспективной численности населения Приморского края на 2022-2024 годы (от базы на начало 2020 года) представлена на диаграмме.</w:t>
      </w:r>
    </w:p>
    <w:p w14:paraId="76B022DE" w14:textId="77777777" w:rsidR="00286592" w:rsidRDefault="00286592"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r w:rsidRPr="00522104">
        <w:rPr>
          <w:rFonts w:ascii="Times New Roman" w:hAnsi="Times New Roman" w:cs="Times New Roman"/>
          <w:b/>
          <w:noProof/>
          <w:sz w:val="28"/>
          <w:szCs w:val="28"/>
          <w:lang w:eastAsia="ru-RU"/>
        </w:rPr>
        <w:t xml:space="preserve"> </w:t>
      </w:r>
    </w:p>
    <w:p w14:paraId="1A9277C7"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0009DA40"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15066B45"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324DFB61"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74B17A0B"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57A3DC66"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444B1E2E"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10D19E7C"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54B9B15E"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0BC0C968" w14:textId="77777777" w:rsidR="00295CD5" w:rsidRDefault="00295CD5" w:rsidP="00286592">
      <w:pPr>
        <w:tabs>
          <w:tab w:val="left" w:pos="680"/>
          <w:tab w:val="center" w:pos="4677"/>
        </w:tabs>
        <w:spacing w:after="0" w:line="240" w:lineRule="auto"/>
        <w:ind w:firstLine="708"/>
        <w:rPr>
          <w:rFonts w:ascii="Times New Roman" w:hAnsi="Times New Roman" w:cs="Times New Roman"/>
          <w:b/>
          <w:noProof/>
          <w:sz w:val="28"/>
          <w:szCs w:val="28"/>
          <w:lang w:eastAsia="ru-RU"/>
        </w:rPr>
      </w:pPr>
    </w:p>
    <w:p w14:paraId="5E3695DC" w14:textId="77777777" w:rsidR="00286592" w:rsidRPr="00522104" w:rsidRDefault="00286592" w:rsidP="00FD0B3D">
      <w:pPr>
        <w:tabs>
          <w:tab w:val="left" w:pos="680"/>
          <w:tab w:val="center" w:pos="4677"/>
        </w:tabs>
        <w:spacing w:after="0" w:line="240" w:lineRule="auto"/>
        <w:rPr>
          <w:rFonts w:ascii="Times New Roman" w:hAnsi="Times New Roman" w:cs="Times New Roman"/>
          <w:sz w:val="28"/>
          <w:szCs w:val="28"/>
        </w:rPr>
      </w:pPr>
      <w:r w:rsidRPr="00522104">
        <w:rPr>
          <w:rFonts w:ascii="Times New Roman" w:hAnsi="Times New Roman" w:cs="Times New Roman"/>
          <w:b/>
          <w:noProof/>
          <w:sz w:val="28"/>
          <w:szCs w:val="28"/>
          <w:lang w:eastAsia="ru-RU"/>
        </w:rPr>
        <w:drawing>
          <wp:inline distT="0" distB="0" distL="0" distR="0" wp14:anchorId="63571F04" wp14:editId="0CFDB85E">
            <wp:extent cx="5365563" cy="3267855"/>
            <wp:effectExtent l="0" t="0" r="6985" b="889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a:extLst>
                        <a:ext uri="{28A0092B-C50C-407E-A947-70E740481C1C}">
                          <a14:useLocalDpi xmlns:a14="http://schemas.microsoft.com/office/drawing/2010/main" val="0"/>
                        </a:ext>
                      </a:extLst>
                    </a:blip>
                    <a:srcRect l="1740" r="1790"/>
                    <a:stretch/>
                  </pic:blipFill>
                  <pic:spPr bwMode="auto">
                    <a:xfrm>
                      <a:off x="0" y="0"/>
                      <a:ext cx="5376288" cy="3274387"/>
                    </a:xfrm>
                    <a:prstGeom prst="rect">
                      <a:avLst/>
                    </a:prstGeom>
                    <a:noFill/>
                    <a:ln>
                      <a:noFill/>
                    </a:ln>
                    <a:extLst>
                      <a:ext uri="{53640926-AAD7-44D8-BBD7-CCE9431645EC}">
                        <a14:shadowObscured xmlns:a14="http://schemas.microsoft.com/office/drawing/2010/main"/>
                      </a:ext>
                    </a:extLst>
                  </pic:spPr>
                </pic:pic>
              </a:graphicData>
            </a:graphic>
          </wp:inline>
        </w:drawing>
      </w:r>
    </w:p>
    <w:p w14:paraId="6F1FF275" w14:textId="77777777" w:rsidR="00286592" w:rsidRPr="00522104" w:rsidRDefault="00286592" w:rsidP="00286592">
      <w:pPr>
        <w:tabs>
          <w:tab w:val="left" w:pos="680"/>
          <w:tab w:val="center" w:pos="4677"/>
        </w:tabs>
        <w:spacing w:after="0" w:line="240" w:lineRule="auto"/>
        <w:ind w:firstLine="708"/>
        <w:rPr>
          <w:rFonts w:ascii="Times New Roman" w:hAnsi="Times New Roman" w:cs="Times New Roman"/>
          <w:sz w:val="28"/>
          <w:szCs w:val="28"/>
        </w:rPr>
      </w:pPr>
    </w:p>
    <w:p w14:paraId="37A57508" w14:textId="4EBF254B"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За январь-июль 2021 года численность населения Приморского края уменьшилась на 10311 человек и на 01.08.2021 составил</w:t>
      </w:r>
      <w:r w:rsidR="00AD70D1" w:rsidRPr="00522104">
        <w:rPr>
          <w:rFonts w:ascii="Times New Roman" w:hAnsi="Times New Roman" w:cs="Times New Roman"/>
          <w:sz w:val="28"/>
          <w:szCs w:val="28"/>
        </w:rPr>
        <w:t>а 1867,5 тыс. человек. Численность населения снизилась</w:t>
      </w:r>
      <w:r w:rsidRPr="00522104">
        <w:rPr>
          <w:rFonts w:ascii="Times New Roman" w:hAnsi="Times New Roman" w:cs="Times New Roman"/>
          <w:sz w:val="28"/>
          <w:szCs w:val="28"/>
        </w:rPr>
        <w:t xml:space="preserve"> за счет естественной убыли (-7957 человек) и миграционного оттока населения (-2354 человек).</w:t>
      </w:r>
    </w:p>
    <w:p w14:paraId="61877791" w14:textId="100AFFF4"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Снизилась миграция за 7 месяцев 2021 года. В Приморский край из других регионов прибыло 8865 человек, из других стран – 4877 человек. В тоже время покинуло Приморский край в другие регионы России – 11824 человек</w:t>
      </w:r>
      <w:r w:rsidR="008768CD" w:rsidRPr="00522104">
        <w:rPr>
          <w:rFonts w:ascii="Times New Roman" w:hAnsi="Times New Roman" w:cs="Times New Roman"/>
          <w:sz w:val="28"/>
          <w:szCs w:val="28"/>
        </w:rPr>
        <w:t>а</w:t>
      </w:r>
      <w:r w:rsidRPr="00522104">
        <w:rPr>
          <w:rFonts w:ascii="Times New Roman" w:hAnsi="Times New Roman" w:cs="Times New Roman"/>
          <w:sz w:val="28"/>
          <w:szCs w:val="28"/>
        </w:rPr>
        <w:t>, в другие страны – 4272 человек</w:t>
      </w:r>
      <w:r w:rsidR="008768CD" w:rsidRPr="00522104">
        <w:rPr>
          <w:rFonts w:ascii="Times New Roman" w:hAnsi="Times New Roman" w:cs="Times New Roman"/>
          <w:sz w:val="28"/>
          <w:szCs w:val="28"/>
        </w:rPr>
        <w:t>а</w:t>
      </w:r>
      <w:r w:rsidRPr="00522104">
        <w:rPr>
          <w:rFonts w:ascii="Times New Roman" w:hAnsi="Times New Roman" w:cs="Times New Roman"/>
          <w:sz w:val="28"/>
          <w:szCs w:val="28"/>
        </w:rPr>
        <w:t xml:space="preserve">. В итоге сальдо миграции населения за январь-июль 2021 года составило 2354 человек. </w:t>
      </w:r>
    </w:p>
    <w:p w14:paraId="2502D057" w14:textId="77777777" w:rsidR="00286592" w:rsidRPr="00522104" w:rsidRDefault="00286592" w:rsidP="00286592">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 целом по краю за 7 месяцев 2021 года естественная убыль составила 7957 человек – число зарегистрированных умерших превысило число родившихся в 1,8 раза (за 7 месяцев 2020 года естественная убыль составила 5118 человек).</w:t>
      </w:r>
    </w:p>
    <w:p w14:paraId="5C8E8CEA" w14:textId="77777777" w:rsidR="00B114E6" w:rsidRPr="00522104" w:rsidRDefault="00B114E6" w:rsidP="00B114E6">
      <w:pPr>
        <w:spacing w:after="0" w:line="240" w:lineRule="auto"/>
        <w:ind w:firstLine="709"/>
        <w:jc w:val="both"/>
        <w:rPr>
          <w:rFonts w:ascii="Times New Roman" w:eastAsia="Times New Roman" w:hAnsi="Times New Roman" w:cs="Times New Roman"/>
          <w:bCs/>
          <w:sz w:val="28"/>
          <w:szCs w:val="28"/>
          <w:lang w:eastAsia="ru-RU"/>
        </w:rPr>
      </w:pPr>
    </w:p>
    <w:p w14:paraId="38115E89" w14:textId="77777777" w:rsidR="00A822CB" w:rsidRPr="00522104" w:rsidRDefault="00A822CB" w:rsidP="00A822CB">
      <w:pPr>
        <w:spacing w:after="0" w:line="240" w:lineRule="auto"/>
        <w:ind w:firstLine="709"/>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3. Общая характеристика проекта закона "О краевом бюджете на 2022 год и плановый период 2023 и 2024 годов".</w:t>
      </w:r>
    </w:p>
    <w:p w14:paraId="0D646E10" w14:textId="46BEBB30" w:rsidR="00A822CB" w:rsidRPr="00522104" w:rsidRDefault="00A822CB" w:rsidP="00A822CB">
      <w:pPr>
        <w:spacing w:after="0" w:line="240" w:lineRule="auto"/>
        <w:ind w:firstLine="709"/>
        <w:jc w:val="both"/>
        <w:rPr>
          <w:rFonts w:ascii="Times New Roman" w:hAnsi="Times New Roman" w:cs="Times New Roman"/>
          <w:sz w:val="28"/>
          <w:szCs w:val="28"/>
          <w:lang w:eastAsia="ru-RU"/>
        </w:rPr>
      </w:pPr>
      <w:r w:rsidRPr="00522104">
        <w:rPr>
          <w:rFonts w:ascii="Times New Roman" w:hAnsi="Times New Roman" w:cs="Times New Roman"/>
          <w:sz w:val="28"/>
          <w:szCs w:val="28"/>
          <w:lang w:eastAsia="ru-RU"/>
        </w:rPr>
        <w:t>Как и в предыдущем году</w:t>
      </w:r>
      <w:r w:rsidR="00722901" w:rsidRPr="00522104">
        <w:rPr>
          <w:rFonts w:ascii="Times New Roman" w:hAnsi="Times New Roman" w:cs="Times New Roman"/>
          <w:sz w:val="28"/>
          <w:szCs w:val="28"/>
          <w:lang w:eastAsia="ru-RU"/>
        </w:rPr>
        <w:t>,</w:t>
      </w:r>
      <w:r w:rsidRPr="00522104">
        <w:rPr>
          <w:rFonts w:ascii="Times New Roman" w:hAnsi="Times New Roman" w:cs="Times New Roman"/>
          <w:sz w:val="28"/>
          <w:szCs w:val="28"/>
          <w:lang w:eastAsia="ru-RU"/>
        </w:rPr>
        <w:t xml:space="preserve"> в основе расчета краевого бюджета на трехлетний период из двух вариантов применен базовый вариант прогноза социально-экономического развития Российской Федерации и Приморского края, направленный на восстановление экономики в регионе, достижения стабилизации темпов роста валового регионального продукта.</w:t>
      </w:r>
    </w:p>
    <w:p w14:paraId="60DF0971" w14:textId="4456DF24" w:rsidR="00A822CB" w:rsidRPr="00522104" w:rsidRDefault="00A822CB" w:rsidP="00A822CB">
      <w:pPr>
        <w:spacing w:after="0" w:line="240" w:lineRule="auto"/>
        <w:ind w:firstLine="709"/>
        <w:jc w:val="both"/>
        <w:rPr>
          <w:rFonts w:ascii="Times New Roman" w:hAnsi="Times New Roman" w:cs="Times New Roman"/>
          <w:sz w:val="28"/>
          <w:szCs w:val="28"/>
          <w:lang w:eastAsia="ru-RU"/>
        </w:rPr>
      </w:pPr>
      <w:r w:rsidRPr="00522104">
        <w:rPr>
          <w:rFonts w:ascii="Times New Roman" w:hAnsi="Times New Roman" w:cs="Times New Roman"/>
          <w:sz w:val="28"/>
          <w:szCs w:val="28"/>
          <w:lang w:eastAsia="ru-RU"/>
        </w:rPr>
        <w:t xml:space="preserve">В соответствии с </w:t>
      </w:r>
      <w:r w:rsidR="00BF0C78" w:rsidRPr="00522104">
        <w:rPr>
          <w:rFonts w:ascii="Times New Roman" w:hAnsi="Times New Roman" w:cs="Times New Roman"/>
          <w:sz w:val="28"/>
          <w:szCs w:val="28"/>
          <w:lang w:eastAsia="ru-RU"/>
        </w:rPr>
        <w:t xml:space="preserve">частью </w:t>
      </w:r>
      <w:r w:rsidRPr="00522104">
        <w:rPr>
          <w:rFonts w:ascii="Times New Roman" w:hAnsi="Times New Roman" w:cs="Times New Roman"/>
          <w:sz w:val="28"/>
          <w:szCs w:val="28"/>
          <w:lang w:eastAsia="ru-RU"/>
        </w:rPr>
        <w:t xml:space="preserve">2(1) </w:t>
      </w:r>
      <w:r w:rsidR="00BF0C78" w:rsidRPr="00522104">
        <w:rPr>
          <w:rFonts w:ascii="Times New Roman" w:hAnsi="Times New Roman" w:cs="Times New Roman"/>
          <w:sz w:val="28"/>
          <w:szCs w:val="28"/>
          <w:lang w:eastAsia="ru-RU"/>
        </w:rPr>
        <w:t xml:space="preserve">статьи 66 </w:t>
      </w:r>
      <w:r w:rsidRPr="00522104">
        <w:rPr>
          <w:rFonts w:ascii="Times New Roman" w:hAnsi="Times New Roman" w:cs="Times New Roman"/>
          <w:sz w:val="28"/>
          <w:szCs w:val="28"/>
          <w:lang w:eastAsia="ru-RU"/>
        </w:rPr>
        <w:t>Закона Приморского края № 271-КЗ законопроект сформирован на 2022 год и плановый период путем изменения параметров планового периода 2023 года, утвержденного Законом Приморского края от 21.12.2020 № 969-КЗ "О краевом бюджете на 2021 год и плановый период 2022 и 2023 годов" (далее – Закон № 969-КЗ), и добавления к ним параметров второго года планового периода – 2024 года.</w:t>
      </w:r>
    </w:p>
    <w:p w14:paraId="677A25A4" w14:textId="4B71B032"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При составлении заключения Контрольно-счетной палатой проведена сравнительная характеристика показателей по доходам, расходам и источникам финансирования краевого бюджета </w:t>
      </w:r>
      <w:r w:rsidR="006E1AF3" w:rsidRPr="00522104">
        <w:rPr>
          <w:rFonts w:ascii="Times New Roman" w:eastAsia="Times New Roman" w:hAnsi="Times New Roman" w:cs="Times New Roman"/>
          <w:sz w:val="28"/>
          <w:szCs w:val="28"/>
          <w:lang w:eastAsia="ru-RU"/>
        </w:rPr>
        <w:t xml:space="preserve">на 2022 год </w:t>
      </w:r>
      <w:r w:rsidR="00052661" w:rsidRPr="00522104">
        <w:rPr>
          <w:rFonts w:ascii="Times New Roman" w:eastAsia="Times New Roman" w:hAnsi="Times New Roman" w:cs="Times New Roman"/>
          <w:sz w:val="28"/>
          <w:szCs w:val="28"/>
          <w:lang w:eastAsia="ru-RU"/>
        </w:rPr>
        <w:t>и на тот же период, утвержденный Законом № 969-КЗ</w:t>
      </w:r>
      <w:r w:rsidR="00804559" w:rsidRPr="00522104">
        <w:rPr>
          <w:rFonts w:ascii="Times New Roman" w:eastAsia="Times New Roman" w:hAnsi="Times New Roman" w:cs="Times New Roman"/>
          <w:sz w:val="28"/>
          <w:szCs w:val="28"/>
          <w:lang w:eastAsia="ru-RU"/>
        </w:rPr>
        <w:t xml:space="preserve"> </w:t>
      </w:r>
      <w:r w:rsidR="00052661" w:rsidRPr="00522104">
        <w:rPr>
          <w:rFonts w:ascii="Times New Roman" w:eastAsia="Times New Roman" w:hAnsi="Times New Roman" w:cs="Times New Roman"/>
          <w:sz w:val="28"/>
          <w:szCs w:val="28"/>
          <w:lang w:eastAsia="ru-RU"/>
        </w:rPr>
        <w:t>в действующей редакции</w:t>
      </w:r>
      <w:r w:rsidR="00122399" w:rsidRPr="00522104">
        <w:rPr>
          <w:rStyle w:val="af"/>
          <w:rFonts w:ascii="Times New Roman" w:eastAsia="Times New Roman" w:hAnsi="Times New Roman"/>
          <w:sz w:val="28"/>
          <w:szCs w:val="28"/>
          <w:lang w:eastAsia="ru-RU"/>
        </w:rPr>
        <w:footnoteReference w:id="6"/>
      </w:r>
      <w:r w:rsidR="00122399" w:rsidRPr="00522104">
        <w:rPr>
          <w:rFonts w:ascii="Times New Roman" w:eastAsia="Times New Roman" w:hAnsi="Times New Roman" w:cs="Times New Roman"/>
          <w:sz w:val="28"/>
          <w:szCs w:val="28"/>
          <w:lang w:eastAsia="ru-RU"/>
        </w:rPr>
        <w:t xml:space="preserve"> </w:t>
      </w:r>
      <w:r w:rsidR="00F36532" w:rsidRPr="00522104">
        <w:rPr>
          <w:rFonts w:ascii="Times New Roman" w:eastAsia="Times New Roman" w:hAnsi="Times New Roman" w:cs="Times New Roman"/>
          <w:sz w:val="28"/>
          <w:szCs w:val="28"/>
          <w:lang w:eastAsia="ru-RU"/>
        </w:rPr>
        <w:t xml:space="preserve">(далее – утвержденные назначения) </w:t>
      </w:r>
      <w:r w:rsidR="00052661" w:rsidRPr="00522104">
        <w:rPr>
          <w:rFonts w:ascii="Times New Roman" w:eastAsia="Times New Roman" w:hAnsi="Times New Roman" w:cs="Times New Roman"/>
          <w:sz w:val="28"/>
          <w:szCs w:val="28"/>
          <w:lang w:eastAsia="ru-RU"/>
        </w:rPr>
        <w:t xml:space="preserve">на дату внесения законопроекта на рассмотрение Законодательного Собрания Приморского края. </w:t>
      </w:r>
      <w:r w:rsidR="00CF171C" w:rsidRPr="00522104">
        <w:rPr>
          <w:rFonts w:ascii="Times New Roman" w:eastAsia="Times New Roman" w:hAnsi="Times New Roman" w:cs="Times New Roman"/>
          <w:sz w:val="28"/>
          <w:szCs w:val="28"/>
          <w:lang w:eastAsia="ru-RU"/>
        </w:rPr>
        <w:t>Также п</w:t>
      </w:r>
      <w:r w:rsidR="00052661" w:rsidRPr="00522104">
        <w:rPr>
          <w:rFonts w:ascii="Times New Roman" w:eastAsia="Times New Roman" w:hAnsi="Times New Roman" w:cs="Times New Roman"/>
          <w:sz w:val="28"/>
          <w:szCs w:val="28"/>
          <w:lang w:eastAsia="ru-RU"/>
        </w:rPr>
        <w:t xml:space="preserve">роведен сравнительный анализ </w:t>
      </w:r>
      <w:r w:rsidR="00122399" w:rsidRPr="00522104">
        <w:rPr>
          <w:rFonts w:ascii="Times New Roman" w:eastAsia="Times New Roman" w:hAnsi="Times New Roman" w:cs="Times New Roman"/>
          <w:sz w:val="28"/>
          <w:szCs w:val="28"/>
          <w:lang w:eastAsia="ru-RU"/>
        </w:rPr>
        <w:t xml:space="preserve">показателей 2022 года </w:t>
      </w:r>
      <w:r w:rsidRPr="00522104">
        <w:rPr>
          <w:rFonts w:ascii="Times New Roman" w:eastAsia="Times New Roman" w:hAnsi="Times New Roman" w:cs="Times New Roman"/>
          <w:sz w:val="28"/>
          <w:szCs w:val="28"/>
          <w:lang w:eastAsia="ru-RU"/>
        </w:rPr>
        <w:t xml:space="preserve">к </w:t>
      </w:r>
      <w:r w:rsidR="006E1AF3" w:rsidRPr="00522104">
        <w:rPr>
          <w:rFonts w:ascii="Times New Roman" w:eastAsia="Times New Roman" w:hAnsi="Times New Roman" w:cs="Times New Roman"/>
          <w:sz w:val="28"/>
          <w:szCs w:val="28"/>
          <w:lang w:eastAsia="ru-RU"/>
        </w:rPr>
        <w:t>2021 году</w:t>
      </w:r>
      <w:r w:rsidR="00122399" w:rsidRPr="00522104">
        <w:rPr>
          <w:rFonts w:ascii="Times New Roman" w:eastAsia="Times New Roman" w:hAnsi="Times New Roman" w:cs="Times New Roman"/>
          <w:sz w:val="28"/>
          <w:szCs w:val="28"/>
          <w:lang w:eastAsia="ru-RU"/>
        </w:rPr>
        <w:t>, утвержденных</w:t>
      </w:r>
      <w:r w:rsidR="006E1AF3" w:rsidRPr="00522104">
        <w:rPr>
          <w:rFonts w:ascii="Times New Roman" w:eastAsia="Times New Roman" w:hAnsi="Times New Roman" w:cs="Times New Roman"/>
          <w:sz w:val="28"/>
          <w:szCs w:val="28"/>
          <w:lang w:eastAsia="ru-RU"/>
        </w:rPr>
        <w:t xml:space="preserve"> в </w:t>
      </w:r>
      <w:r w:rsidRPr="00522104">
        <w:rPr>
          <w:rFonts w:ascii="Times New Roman" w:eastAsia="Times New Roman" w:hAnsi="Times New Roman" w:cs="Times New Roman"/>
          <w:sz w:val="28"/>
          <w:szCs w:val="28"/>
          <w:lang w:eastAsia="ru-RU"/>
        </w:rPr>
        <w:t xml:space="preserve">первоначальной и действующей редакции </w:t>
      </w:r>
      <w:r w:rsidR="00122399" w:rsidRPr="00522104">
        <w:rPr>
          <w:rFonts w:ascii="Times New Roman" w:eastAsia="Times New Roman" w:hAnsi="Times New Roman" w:cs="Times New Roman"/>
          <w:sz w:val="28"/>
          <w:szCs w:val="28"/>
          <w:lang w:eastAsia="ru-RU"/>
        </w:rPr>
        <w:t>Закона № 969-КЗ.</w:t>
      </w:r>
    </w:p>
    <w:p w14:paraId="5402EC81" w14:textId="301FDB5D"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Динамика основных параметров краевого бюджета, предлагаемых законопроектом на 2022 год, характеризуется увеличением общего объема доходов и расходов по отношению к параметрам 2022 года, у</w:t>
      </w:r>
      <w:r w:rsidR="005B191B" w:rsidRPr="00522104">
        <w:rPr>
          <w:rFonts w:ascii="Times New Roman" w:eastAsia="Times New Roman" w:hAnsi="Times New Roman" w:cs="Times New Roman"/>
          <w:sz w:val="28"/>
          <w:szCs w:val="28"/>
          <w:lang w:eastAsia="ru-RU"/>
        </w:rPr>
        <w:t xml:space="preserve">твержденным </w:t>
      </w:r>
      <w:r w:rsidRPr="00522104">
        <w:rPr>
          <w:rFonts w:ascii="Times New Roman" w:eastAsia="Times New Roman" w:hAnsi="Times New Roman" w:cs="Times New Roman"/>
          <w:sz w:val="28"/>
          <w:szCs w:val="28"/>
          <w:lang w:eastAsia="ru-RU"/>
        </w:rPr>
        <w:t>Законом № 969-КЗ. Рост расходов обеспечен как налоговыми и неналоговыми доходами, так и безвозмездными поступлениями из федерального бюджета.</w:t>
      </w:r>
    </w:p>
    <w:p w14:paraId="0F37E83C" w14:textId="35CF725F"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Относительно параметров законопроекта по доходам и ра</w:t>
      </w:r>
      <w:r w:rsidR="00DD63EC" w:rsidRPr="00522104">
        <w:rPr>
          <w:rFonts w:ascii="Times New Roman" w:eastAsia="Times New Roman" w:hAnsi="Times New Roman" w:cs="Times New Roman"/>
          <w:sz w:val="28"/>
          <w:szCs w:val="28"/>
          <w:lang w:eastAsia="ru-RU"/>
        </w:rPr>
        <w:t>сходам на 2022 год к 2021 году</w:t>
      </w:r>
      <w:r w:rsidRPr="00522104">
        <w:rPr>
          <w:rFonts w:ascii="Times New Roman" w:eastAsia="Times New Roman" w:hAnsi="Times New Roman" w:cs="Times New Roman"/>
          <w:sz w:val="28"/>
          <w:szCs w:val="28"/>
          <w:lang w:eastAsia="ru-RU"/>
        </w:rPr>
        <w:t xml:space="preserve"> в суммовом значении наиболее приближены бюджетные параметры очередного года к уровню предыдущего года в действующей редакции Закона № 969-КЗ (157970,85 млн рублей) </w:t>
      </w:r>
      <w:r w:rsidR="00722901"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сокращение </w:t>
      </w:r>
      <w:r w:rsidR="00DD63EC" w:rsidRPr="00522104">
        <w:rPr>
          <w:rFonts w:ascii="Times New Roman" w:eastAsia="Times New Roman" w:hAnsi="Times New Roman" w:cs="Times New Roman"/>
          <w:sz w:val="28"/>
          <w:szCs w:val="28"/>
          <w:lang w:eastAsia="ru-RU"/>
        </w:rPr>
        <w:t xml:space="preserve">на </w:t>
      </w:r>
      <w:r w:rsidR="00AD4D4E" w:rsidRPr="00522104">
        <w:rPr>
          <w:rFonts w:ascii="Times New Roman" w:eastAsia="Times New Roman" w:hAnsi="Times New Roman" w:cs="Times New Roman"/>
          <w:sz w:val="28"/>
          <w:szCs w:val="28"/>
          <w:lang w:eastAsia="ru-RU"/>
        </w:rPr>
        <w:t xml:space="preserve">8751,86 млн рублей </w:t>
      </w:r>
      <w:r w:rsidRPr="00522104">
        <w:rPr>
          <w:rFonts w:ascii="Times New Roman" w:eastAsia="Times New Roman" w:hAnsi="Times New Roman" w:cs="Times New Roman"/>
          <w:sz w:val="28"/>
          <w:szCs w:val="28"/>
          <w:lang w:eastAsia="ru-RU"/>
        </w:rPr>
        <w:t xml:space="preserve">за счет межбюджетных трансфертов из федерального бюджета. </w:t>
      </w:r>
    </w:p>
    <w:p w14:paraId="6ED4F154" w14:textId="7777777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К первоначальным значениям 2021 года (139766,25 тыс. рублей) предлагаемый законопроектом на 2022 год рост на 12678,94 млн рублей обеспечен налоговыми и неналоговыми доходами. </w:t>
      </w:r>
    </w:p>
    <w:p w14:paraId="47271A6D" w14:textId="55FA717D"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Прогнозные значения доходов и расходов 2023 и 2024 годов по отношению </w:t>
      </w:r>
      <w:r w:rsidR="00E757EF" w:rsidRPr="00522104">
        <w:rPr>
          <w:rFonts w:ascii="Times New Roman" w:eastAsia="Times New Roman" w:hAnsi="Times New Roman" w:cs="Times New Roman"/>
          <w:sz w:val="28"/>
          <w:szCs w:val="28"/>
          <w:lang w:eastAsia="ru-RU"/>
        </w:rPr>
        <w:t xml:space="preserve">к </w:t>
      </w:r>
      <w:r w:rsidRPr="00522104">
        <w:rPr>
          <w:rFonts w:ascii="Times New Roman" w:eastAsia="Times New Roman" w:hAnsi="Times New Roman" w:cs="Times New Roman"/>
          <w:sz w:val="28"/>
          <w:szCs w:val="28"/>
          <w:lang w:eastAsia="ru-RU"/>
        </w:rPr>
        <w:t xml:space="preserve">предыдущим периодам то сокращаются, то увеличиваются при постоянном росте налоговых и неналоговых доходов, что </w:t>
      </w:r>
      <w:r w:rsidR="00841DD9" w:rsidRPr="00522104">
        <w:rPr>
          <w:rFonts w:ascii="Times New Roman" w:eastAsia="Times New Roman" w:hAnsi="Times New Roman" w:cs="Times New Roman"/>
          <w:sz w:val="28"/>
          <w:szCs w:val="28"/>
          <w:lang w:eastAsia="ru-RU"/>
        </w:rPr>
        <w:t>обусловлено неполными</w:t>
      </w:r>
      <w:r w:rsidRPr="00522104">
        <w:rPr>
          <w:rFonts w:ascii="Times New Roman" w:eastAsia="Times New Roman" w:hAnsi="Times New Roman" w:cs="Times New Roman"/>
          <w:sz w:val="28"/>
          <w:szCs w:val="28"/>
          <w:lang w:eastAsia="ru-RU"/>
        </w:rPr>
        <w:t xml:space="preserve"> сведени</w:t>
      </w:r>
      <w:r w:rsidR="00841DD9" w:rsidRPr="00522104">
        <w:rPr>
          <w:rFonts w:ascii="Times New Roman" w:eastAsia="Times New Roman" w:hAnsi="Times New Roman" w:cs="Times New Roman"/>
          <w:sz w:val="28"/>
          <w:szCs w:val="28"/>
          <w:lang w:eastAsia="ru-RU"/>
        </w:rPr>
        <w:t>ями</w:t>
      </w:r>
      <w:r w:rsidRPr="00522104">
        <w:rPr>
          <w:rFonts w:ascii="Times New Roman" w:eastAsia="Times New Roman" w:hAnsi="Times New Roman" w:cs="Times New Roman"/>
          <w:sz w:val="28"/>
          <w:szCs w:val="28"/>
          <w:lang w:eastAsia="ru-RU"/>
        </w:rPr>
        <w:t xml:space="preserve"> о распределении межбюджетных трансфертов Приморскому краю. Стоит отметить, что объем безвозмездных поступлений в законопроекте отражен в соответствии с проектом федерального бюджета на 2022-2024 годы и в дальнейшем, в ходе исполнения краевого бюджета, объем финансовой помощи Приморскому краю будет уточнен. </w:t>
      </w:r>
    </w:p>
    <w:p w14:paraId="0718D89F" w14:textId="7777777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Показатели краевого бюджета 2019 и 2020 годов (исполненные), на 2021 год (планируемые) и законопроекта на 2022-2024 годы (прогнозные) приведены в таблице. </w:t>
      </w:r>
    </w:p>
    <w:p w14:paraId="5F3AFFE9" w14:textId="77777777" w:rsidR="00A822CB" w:rsidRPr="00522104" w:rsidRDefault="00A822CB" w:rsidP="00A822CB">
      <w:pPr>
        <w:spacing w:after="0" w:line="240" w:lineRule="auto"/>
        <w:jc w:val="both"/>
        <w:rPr>
          <w:rFonts w:ascii="Times New Roman" w:eastAsia="Times New Roman" w:hAnsi="Times New Roman" w:cs="Times New Roman"/>
          <w:sz w:val="28"/>
          <w:szCs w:val="28"/>
          <w:lang w:eastAsia="ru-RU"/>
        </w:rPr>
      </w:pPr>
    </w:p>
    <w:p w14:paraId="757877AA" w14:textId="7CF83AC8" w:rsidR="00A822CB" w:rsidRPr="00522104" w:rsidRDefault="00BF7002" w:rsidP="00A822CB">
      <w:pPr>
        <w:spacing w:after="0" w:line="240" w:lineRule="auto"/>
        <w:jc w:val="both"/>
        <w:rPr>
          <w:rFonts w:ascii="Times New Roman" w:eastAsia="Times New Roman" w:hAnsi="Times New Roman" w:cs="Times New Roman"/>
          <w:sz w:val="28"/>
          <w:szCs w:val="28"/>
          <w:lang w:eastAsia="ru-RU"/>
        </w:rPr>
      </w:pPr>
      <w:r w:rsidRPr="00522104">
        <w:rPr>
          <w:rFonts w:ascii="Times New Roman" w:hAnsi="Times New Roman" w:cs="Times New Roman"/>
          <w:noProof/>
          <w:lang w:eastAsia="ru-RU"/>
        </w:rPr>
        <w:drawing>
          <wp:inline distT="0" distB="0" distL="0" distR="0" wp14:anchorId="208B83C1" wp14:editId="06E51E8B">
            <wp:extent cx="5939790" cy="7663055"/>
            <wp:effectExtent l="0" t="0" r="381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9790" cy="7663055"/>
                    </a:xfrm>
                    <a:prstGeom prst="rect">
                      <a:avLst/>
                    </a:prstGeom>
                    <a:noFill/>
                    <a:ln>
                      <a:noFill/>
                    </a:ln>
                  </pic:spPr>
                </pic:pic>
              </a:graphicData>
            </a:graphic>
          </wp:inline>
        </w:drawing>
      </w:r>
    </w:p>
    <w:p w14:paraId="2993B5C9" w14:textId="7777777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p>
    <w:p w14:paraId="22B1B1C5" w14:textId="7777777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 законопроекту</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общий объем доходов</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 xml:space="preserve">краевого бюджета на 2022 год составит 152445,19 млн рублей, что превышает уровень доходов, утвержденных Законом № 969-КЗ, на 17537,50 млн рублей, или на 13,00 %. В сторону увеличения уточнены утвержденные показатели как по налоговым и неналоговым доходам на 8455,71 млн рублей (на 8,35 %), так и по безвозмездным поступлениям – на 9081,79 млн рублей (на 27,00 %). </w:t>
      </w:r>
    </w:p>
    <w:p w14:paraId="15FD8C90" w14:textId="7777777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Законопроектом на 2022 год по отношению к предыдущему финансовому году имеются следующие отклонения по доходам. </w:t>
      </w:r>
    </w:p>
    <w:p w14:paraId="3B063A6B" w14:textId="38679E0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 значениям, первоначально установленным Законом № 969-КЗ на 2021 год по доходам</w:t>
      </w:r>
      <w:r w:rsidR="0052682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рост составляет 12678,94 млн рублей, или на 9,07 % за счет увеличения налоговых и неналоговых доходов (на 15049,77 млн рублей). </w:t>
      </w:r>
    </w:p>
    <w:p w14:paraId="78FBE6FF" w14:textId="72EF17A6"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действующей редакции Закона № 969-КЗ – доходы </w:t>
      </w:r>
      <w:r w:rsidR="00F221A7" w:rsidRPr="00522104">
        <w:rPr>
          <w:rFonts w:ascii="Times New Roman" w:eastAsia="Times New Roman" w:hAnsi="Times New Roman" w:cs="Times New Roman"/>
          <w:sz w:val="28"/>
          <w:szCs w:val="28"/>
          <w:lang w:eastAsia="ru-RU"/>
        </w:rPr>
        <w:t>меньше</w:t>
      </w:r>
      <w:r w:rsidRPr="00522104">
        <w:rPr>
          <w:rFonts w:ascii="Times New Roman" w:eastAsia="Times New Roman" w:hAnsi="Times New Roman" w:cs="Times New Roman"/>
          <w:sz w:val="28"/>
          <w:szCs w:val="28"/>
          <w:lang w:eastAsia="ru-RU"/>
        </w:rPr>
        <w:t xml:space="preserve"> уровня 2021 года (157970,85 млн рублей) в связи с</w:t>
      </w:r>
      <w:r w:rsidR="00722901" w:rsidRPr="00522104">
        <w:rPr>
          <w:rFonts w:ascii="Times New Roman" w:eastAsia="Times New Roman" w:hAnsi="Times New Roman" w:cs="Times New Roman"/>
          <w:sz w:val="28"/>
          <w:szCs w:val="28"/>
          <w:lang w:eastAsia="ru-RU"/>
        </w:rPr>
        <w:t>о</w:t>
      </w:r>
      <w:r w:rsidRPr="00522104">
        <w:rPr>
          <w:rFonts w:ascii="Times New Roman" w:eastAsia="Times New Roman" w:hAnsi="Times New Roman" w:cs="Times New Roman"/>
          <w:sz w:val="28"/>
          <w:szCs w:val="28"/>
          <w:lang w:eastAsia="ru-RU"/>
        </w:rPr>
        <w:t xml:space="preserve"> снижением объемов безвозмездных поступлений (на 8751,86 млн рублей).</w:t>
      </w:r>
    </w:p>
    <w:p w14:paraId="72D9B374" w14:textId="5E509E5C"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законопроекте на плановый период 2023 года доходы составят 148224,52 млн рублей, что к уровню предыдущего года ниже на 4220,67 млн рублей, или на 2,77 %, за счет сокращения безвозмездных поступлений (на 4031,35 млн рублей). </w:t>
      </w:r>
    </w:p>
    <w:p w14:paraId="24C65BDC" w14:textId="440F9EBB"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Доходы планового периода 2024 года </w:t>
      </w:r>
      <w:r w:rsidR="000C6BAD"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151001,70 млн рублей и к уровню предыдущего года прогнозируются больше на 2777,18 млн рублей, или на 1,87 %, за счет роста налоговых и неналоговых доходов.</w:t>
      </w:r>
    </w:p>
    <w:p w14:paraId="68BEBDFE" w14:textId="2649349E"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Соответственно на 2022 год корректируется законодательно утвержденный объем </w:t>
      </w:r>
      <w:r w:rsidRPr="00522104">
        <w:rPr>
          <w:rFonts w:ascii="Times New Roman" w:eastAsia="Times New Roman" w:hAnsi="Times New Roman" w:cs="Times New Roman"/>
          <w:bCs/>
          <w:sz w:val="28"/>
          <w:szCs w:val="28"/>
          <w:lang w:eastAsia="ru-RU"/>
        </w:rPr>
        <w:t>расходов</w:t>
      </w:r>
      <w:r w:rsidRPr="00522104">
        <w:rPr>
          <w:rFonts w:ascii="Times New Roman" w:eastAsia="Times New Roman" w:hAnsi="Times New Roman" w:cs="Times New Roman"/>
          <w:sz w:val="28"/>
          <w:szCs w:val="28"/>
          <w:lang w:eastAsia="ru-RU"/>
        </w:rPr>
        <w:t xml:space="preserve"> – к уровню законодательно установленных бюджетных назначений прирост составит 22322,1</w:t>
      </w:r>
      <w:r w:rsidR="005D1202" w:rsidRPr="00522104">
        <w:rPr>
          <w:rFonts w:ascii="Times New Roman" w:eastAsia="Times New Roman" w:hAnsi="Times New Roman" w:cs="Times New Roman"/>
          <w:sz w:val="28"/>
          <w:szCs w:val="28"/>
          <w:lang w:eastAsia="ru-RU"/>
        </w:rPr>
        <w:t>4</w:t>
      </w:r>
      <w:r w:rsidRPr="00522104">
        <w:rPr>
          <w:rFonts w:ascii="Times New Roman" w:eastAsia="Times New Roman" w:hAnsi="Times New Roman" w:cs="Times New Roman"/>
          <w:sz w:val="28"/>
          <w:szCs w:val="28"/>
          <w:lang w:eastAsia="ru-RU"/>
        </w:rPr>
        <w:t xml:space="preserve"> млн рублей, или 16,26 % (с 137259,47 млн рублей до 159581,6</w:t>
      </w:r>
      <w:r w:rsidR="00BF7002" w:rsidRPr="00522104">
        <w:rPr>
          <w:rFonts w:ascii="Times New Roman" w:eastAsia="Times New Roman" w:hAnsi="Times New Roman" w:cs="Times New Roman"/>
          <w:sz w:val="28"/>
          <w:szCs w:val="28"/>
          <w:lang w:eastAsia="ru-RU"/>
        </w:rPr>
        <w:t>1</w:t>
      </w:r>
      <w:r w:rsidRPr="00522104">
        <w:rPr>
          <w:rFonts w:ascii="Times New Roman" w:eastAsia="Times New Roman" w:hAnsi="Times New Roman" w:cs="Times New Roman"/>
          <w:sz w:val="28"/>
          <w:szCs w:val="28"/>
          <w:lang w:eastAsia="ru-RU"/>
        </w:rPr>
        <w:t xml:space="preserve"> млн рублей).</w:t>
      </w:r>
    </w:p>
    <w:p w14:paraId="788BA684" w14:textId="6224F7FA"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 уровню предыдущего года в первоначальной редакции Закона № 969-КЗ рост составит 1554</w:t>
      </w:r>
      <w:r w:rsidR="000E1426" w:rsidRPr="00522104">
        <w:rPr>
          <w:rFonts w:ascii="Times New Roman" w:eastAsia="Times New Roman" w:hAnsi="Times New Roman" w:cs="Times New Roman"/>
          <w:sz w:val="28"/>
          <w:szCs w:val="28"/>
          <w:lang w:eastAsia="ru-RU"/>
        </w:rPr>
        <w:t>5,09</w:t>
      </w:r>
      <w:r w:rsidRPr="00522104">
        <w:rPr>
          <w:rFonts w:ascii="Times New Roman" w:eastAsia="Times New Roman" w:hAnsi="Times New Roman" w:cs="Times New Roman"/>
          <w:sz w:val="28"/>
          <w:szCs w:val="28"/>
          <w:lang w:eastAsia="ru-RU"/>
        </w:rPr>
        <w:t xml:space="preserve"> млн рублей, или 10,79 %. </w:t>
      </w:r>
      <w:r w:rsidR="00A471EE" w:rsidRPr="00522104">
        <w:rPr>
          <w:rFonts w:ascii="Times New Roman" w:eastAsia="Times New Roman" w:hAnsi="Times New Roman" w:cs="Times New Roman"/>
          <w:sz w:val="28"/>
          <w:szCs w:val="28"/>
          <w:lang w:eastAsia="ru-RU"/>
        </w:rPr>
        <w:t>Планируемые р</w:t>
      </w:r>
      <w:r w:rsidRPr="00522104">
        <w:rPr>
          <w:rFonts w:ascii="Times New Roman" w:eastAsia="Times New Roman" w:hAnsi="Times New Roman" w:cs="Times New Roman"/>
          <w:sz w:val="28"/>
          <w:szCs w:val="28"/>
          <w:lang w:eastAsia="ru-RU"/>
        </w:rPr>
        <w:t xml:space="preserve">асходы </w:t>
      </w:r>
      <w:r w:rsidR="00A471EE" w:rsidRPr="00522104">
        <w:rPr>
          <w:rFonts w:ascii="Times New Roman" w:eastAsia="Times New Roman" w:hAnsi="Times New Roman" w:cs="Times New Roman"/>
          <w:sz w:val="28"/>
          <w:szCs w:val="28"/>
          <w:lang w:eastAsia="ru-RU"/>
        </w:rPr>
        <w:t xml:space="preserve">в 2022 году </w:t>
      </w:r>
      <w:r w:rsidRPr="00522104">
        <w:rPr>
          <w:rFonts w:ascii="Times New Roman" w:eastAsia="Times New Roman" w:hAnsi="Times New Roman" w:cs="Times New Roman"/>
          <w:sz w:val="28"/>
          <w:szCs w:val="28"/>
          <w:lang w:eastAsia="ru-RU"/>
        </w:rPr>
        <w:t xml:space="preserve">к </w:t>
      </w:r>
      <w:r w:rsidR="00F71355" w:rsidRPr="00522104">
        <w:rPr>
          <w:rFonts w:ascii="Times New Roman" w:eastAsia="Times New Roman" w:hAnsi="Times New Roman" w:cs="Times New Roman"/>
          <w:sz w:val="28"/>
          <w:szCs w:val="28"/>
          <w:lang w:eastAsia="ru-RU"/>
        </w:rPr>
        <w:t xml:space="preserve">утвержденным назначениям в </w:t>
      </w:r>
      <w:r w:rsidRPr="00522104">
        <w:rPr>
          <w:rFonts w:ascii="Times New Roman" w:eastAsia="Times New Roman" w:hAnsi="Times New Roman" w:cs="Times New Roman"/>
          <w:sz w:val="28"/>
          <w:szCs w:val="28"/>
          <w:lang w:eastAsia="ru-RU"/>
        </w:rPr>
        <w:t xml:space="preserve">2021 </w:t>
      </w:r>
      <w:r w:rsidR="00F71355" w:rsidRPr="00522104">
        <w:rPr>
          <w:rFonts w:ascii="Times New Roman" w:eastAsia="Times New Roman" w:hAnsi="Times New Roman" w:cs="Times New Roman"/>
          <w:sz w:val="28"/>
          <w:szCs w:val="28"/>
          <w:lang w:eastAsia="ru-RU"/>
        </w:rPr>
        <w:t>году</w:t>
      </w:r>
      <w:r w:rsidRPr="00522104">
        <w:rPr>
          <w:rFonts w:ascii="Times New Roman" w:eastAsia="Times New Roman" w:hAnsi="Times New Roman" w:cs="Times New Roman"/>
          <w:sz w:val="28"/>
          <w:szCs w:val="28"/>
          <w:lang w:eastAsia="ru-RU"/>
        </w:rPr>
        <w:t xml:space="preserve"> меньше на 6725,7</w:t>
      </w:r>
      <w:r w:rsidR="000E1426" w:rsidRPr="00522104">
        <w:rPr>
          <w:rFonts w:ascii="Times New Roman" w:eastAsia="Times New Roman" w:hAnsi="Times New Roman" w:cs="Times New Roman"/>
          <w:sz w:val="28"/>
          <w:szCs w:val="28"/>
          <w:lang w:eastAsia="ru-RU"/>
        </w:rPr>
        <w:t>7</w:t>
      </w:r>
      <w:r w:rsidRPr="00522104">
        <w:rPr>
          <w:rFonts w:ascii="Times New Roman" w:eastAsia="Times New Roman" w:hAnsi="Times New Roman" w:cs="Times New Roman"/>
          <w:sz w:val="28"/>
          <w:szCs w:val="28"/>
          <w:lang w:eastAsia="ru-RU"/>
        </w:rPr>
        <w:t xml:space="preserve"> млн рублей, или на 4,04 %.</w:t>
      </w:r>
    </w:p>
    <w:p w14:paraId="20800FB7" w14:textId="459CCA5F"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плановый период 2023 года планируется снижение расходов к предыдущему году на 7,12 %, что составит </w:t>
      </w:r>
      <w:r w:rsidR="00897ADF" w:rsidRPr="00522104">
        <w:rPr>
          <w:rFonts w:ascii="Times New Roman" w:eastAsia="Times New Roman" w:hAnsi="Times New Roman" w:cs="Times New Roman"/>
          <w:sz w:val="28"/>
          <w:szCs w:val="28"/>
          <w:lang w:eastAsia="ru-RU"/>
        </w:rPr>
        <w:t>148224,52</w:t>
      </w:r>
      <w:r w:rsidRPr="00522104">
        <w:rPr>
          <w:rFonts w:ascii="Times New Roman" w:eastAsia="Times New Roman" w:hAnsi="Times New Roman" w:cs="Times New Roman"/>
          <w:sz w:val="28"/>
          <w:szCs w:val="28"/>
          <w:lang w:eastAsia="ru-RU"/>
        </w:rPr>
        <w:t xml:space="preserve"> млн рублей. На 2024 год</w:t>
      </w:r>
      <w:r w:rsidR="000C6BAD"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рост составит 1,87 %, тогда объем составит 151001,70 млн рублей.</w:t>
      </w:r>
    </w:p>
    <w:p w14:paraId="5DF2AEEF" w14:textId="7A618FA1" w:rsidR="006055BD" w:rsidRPr="00522104" w:rsidRDefault="006055BD" w:rsidP="006055BD">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законопроекте на 2022 год расходы превысят доходы и сокращение размера дефицита краевого бюджета не планируется. По законопроекту в 2022 году </w:t>
      </w:r>
      <w:r w:rsidRPr="00522104">
        <w:rPr>
          <w:rFonts w:ascii="Times New Roman" w:eastAsia="Times New Roman" w:hAnsi="Times New Roman" w:cs="Times New Roman"/>
          <w:bCs/>
          <w:sz w:val="28"/>
          <w:szCs w:val="28"/>
          <w:lang w:eastAsia="ru-RU"/>
        </w:rPr>
        <w:t>размер дефицита</w:t>
      </w:r>
      <w:r w:rsidRPr="00522104">
        <w:rPr>
          <w:rFonts w:ascii="Times New Roman" w:eastAsia="Times New Roman" w:hAnsi="Times New Roman" w:cs="Times New Roman"/>
          <w:sz w:val="28"/>
          <w:szCs w:val="28"/>
          <w:lang w:eastAsia="ru-RU"/>
        </w:rPr>
        <w:t xml:space="preserve"> составит 7136,42 млн рублей.</w:t>
      </w:r>
    </w:p>
    <w:p w14:paraId="422DF040" w14:textId="2B0C8A09" w:rsidR="006055BD" w:rsidRPr="00522104" w:rsidRDefault="006055BD" w:rsidP="006055BD">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Тогда как в плановый период 2023 и 2024 годов краевой бюджет станет бездефицитным, что возможно достичь в постпандемийные годы путем восстановления экономики в регионе и целом в России.</w:t>
      </w:r>
    </w:p>
    <w:p w14:paraId="6BE79966" w14:textId="0BD00B3A"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Среди источников финансирования дефицита краевого бюджета в 2022-2024 годах планируется привлечение бюджетных и коммерческих кредитов.</w:t>
      </w:r>
    </w:p>
    <w:p w14:paraId="2EF4C78E" w14:textId="7777777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Как и в 2021 году, в пояснительной записке к законопроекту перечислены параметры планового периода краевого бюджета на 2022 год, утвержденные Законом № 969-КЗ, уточненные в законопроекте показатели краевого бюджета на этот же год, и приведены отдельные показатели краевого бюджета на плановый период 2023 и 2024 годов.</w:t>
      </w:r>
    </w:p>
    <w:p w14:paraId="7F9862D5" w14:textId="77777777" w:rsidR="00A822CB" w:rsidRPr="00522104" w:rsidRDefault="00A822CB" w:rsidP="00A822CB">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Также материалы и документы, представленные одновременно с законопроектом, не содержат сведений о достижении текущих результатов, в том числе реализации государственных программ Приморского края, национальных и федеральных (региональных) проектов, влиянии изменений бюджетных ассигнований на достижение их показателей и результатов на очередной финансовый год и плановый период, что значительно затруднит мониторинг и контроль использования бюджетных средств в ходе исполнения краевого бюджета.</w:t>
      </w:r>
    </w:p>
    <w:p w14:paraId="12053DDE" w14:textId="767FD97F" w:rsidR="00E266A8" w:rsidRPr="00522104" w:rsidRDefault="00A822CB" w:rsidP="002F6907">
      <w:pPr>
        <w:spacing w:after="0" w:line="240" w:lineRule="auto"/>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ab/>
      </w:r>
    </w:p>
    <w:p w14:paraId="1EB27BC9" w14:textId="390ABA23"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4. Д</w:t>
      </w:r>
      <w:r w:rsidR="00D410A8" w:rsidRPr="00522104">
        <w:rPr>
          <w:rFonts w:ascii="Times New Roman" w:eastAsia="Times New Roman" w:hAnsi="Times New Roman" w:cs="Times New Roman"/>
          <w:b/>
          <w:sz w:val="28"/>
          <w:szCs w:val="28"/>
          <w:lang w:eastAsia="ru-RU"/>
        </w:rPr>
        <w:t>оходы краевого бюджета</w:t>
      </w:r>
      <w:r w:rsidRPr="00522104">
        <w:rPr>
          <w:rFonts w:ascii="Times New Roman" w:eastAsia="Times New Roman" w:hAnsi="Times New Roman" w:cs="Times New Roman"/>
          <w:b/>
          <w:sz w:val="28"/>
          <w:szCs w:val="28"/>
          <w:lang w:eastAsia="ru-RU"/>
        </w:rPr>
        <w:t>.</w:t>
      </w:r>
    </w:p>
    <w:p w14:paraId="40438D7C" w14:textId="37B70D7D"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Доходы краевого бюджета </w:t>
      </w:r>
      <w:r w:rsidR="00714540"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 xml:space="preserve">в соответствии с законопроектом предусмотрены в сумме 152445,19 млн рублей, что составляет 113,00 % к </w:t>
      </w:r>
      <w:r w:rsidR="00714540" w:rsidRPr="00522104">
        <w:rPr>
          <w:rFonts w:ascii="Times New Roman" w:eastAsia="Times New Roman" w:hAnsi="Times New Roman" w:cs="Times New Roman"/>
          <w:sz w:val="28"/>
          <w:szCs w:val="28"/>
          <w:lang w:eastAsia="ru-RU"/>
        </w:rPr>
        <w:t xml:space="preserve">законодательно утвержденным </w:t>
      </w:r>
      <w:r w:rsidRPr="00522104">
        <w:rPr>
          <w:rFonts w:ascii="Times New Roman" w:eastAsia="Times New Roman" w:hAnsi="Times New Roman" w:cs="Times New Roman"/>
          <w:sz w:val="28"/>
          <w:szCs w:val="28"/>
          <w:lang w:eastAsia="ru-RU"/>
        </w:rPr>
        <w:t xml:space="preserve">плановым назначениям на 2022 год (8 редакция Закона № 969-КЗ </w:t>
      </w:r>
      <w:r w:rsidR="00F90E75" w:rsidRPr="00522104">
        <w:rPr>
          <w:rFonts w:ascii="Times New Roman" w:eastAsia="Times New Roman" w:hAnsi="Times New Roman" w:cs="Times New Roman"/>
          <w:sz w:val="28"/>
          <w:szCs w:val="28"/>
          <w:lang w:eastAsia="ru-RU"/>
        </w:rPr>
        <w:t>–</w:t>
      </w:r>
      <w:r w:rsidR="00714540"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134907,69 млн рублей) и 96,50 % к плановым назначениям 2021 года (8 редакция Закона № 969-КЗ). </w:t>
      </w:r>
    </w:p>
    <w:p w14:paraId="7A97A21D" w14:textId="5B503EFF"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составе доходов налоговые и неналоговые доходы в проекте на 2022 год запланированы с увеличением на 8455,71 млн рублей, или на 8,35 % по сравнению с плановыми назначениями на 2022 год (101273,03 млн рублей) и на 3226,20 млн рублей, или на 3,03 % по сравнению с утвержденными назначениями на 2021 год (106502,54 млн рублей). Безвозмездные поступления на 2022 запланированы с ростом на 9081,79 млн рублей, или на 27,00 % по сравнению с плановыми назначениями на 2022 год (33634,66 млн рублей), а по сравнению с плановыми назначениями на 2021 год (51468,31 млн рублей) сокращены на 8751,86 млн рублей, или на 17,00 % Информация о доходах краевого бюджета на 2021 год и проект на 2022 год и плановый период 2023-2024 годов представлена в приложении </w:t>
      </w:r>
      <w:r w:rsidR="007F4B97" w:rsidRPr="00522104">
        <w:rPr>
          <w:rFonts w:ascii="Times New Roman" w:eastAsia="Times New Roman" w:hAnsi="Times New Roman" w:cs="Times New Roman"/>
          <w:sz w:val="28"/>
          <w:szCs w:val="28"/>
          <w:lang w:eastAsia="ru-RU"/>
        </w:rPr>
        <w:t>1</w:t>
      </w:r>
      <w:r w:rsidRPr="00522104">
        <w:rPr>
          <w:rFonts w:ascii="Times New Roman" w:eastAsia="Times New Roman" w:hAnsi="Times New Roman" w:cs="Times New Roman"/>
          <w:sz w:val="28"/>
          <w:szCs w:val="28"/>
          <w:lang w:eastAsia="ru-RU"/>
        </w:rPr>
        <w:t>.</w:t>
      </w:r>
    </w:p>
    <w:p w14:paraId="26332B19" w14:textId="5AA98396"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плановом периоде общий объем доходов краевого бюджета прогнозируется в сумме 148224,52 млн рублей на 2023 год и </w:t>
      </w:r>
      <w:r w:rsidR="007B32A7" w:rsidRPr="00522104">
        <w:rPr>
          <w:rFonts w:ascii="Times New Roman" w:eastAsia="Times New Roman" w:hAnsi="Times New Roman" w:cs="Times New Roman"/>
          <w:sz w:val="28"/>
          <w:szCs w:val="28"/>
          <w:lang w:eastAsia="ru-RU"/>
        </w:rPr>
        <w:t>151001,70 млн рублей на 2024</w:t>
      </w:r>
      <w:r w:rsidRPr="00522104">
        <w:rPr>
          <w:rFonts w:ascii="Times New Roman" w:eastAsia="Times New Roman" w:hAnsi="Times New Roman" w:cs="Times New Roman"/>
          <w:sz w:val="28"/>
          <w:szCs w:val="28"/>
          <w:lang w:eastAsia="ru-RU"/>
        </w:rPr>
        <w:t xml:space="preserve"> год.</w:t>
      </w:r>
    </w:p>
    <w:p w14:paraId="14091B9A" w14:textId="048D3CA5"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Объем безвозмездных поступлений отражен в соответствии с</w:t>
      </w:r>
      <w:r w:rsidR="003C7BC6" w:rsidRPr="00522104">
        <w:rPr>
          <w:rFonts w:ascii="Times New Roman" w:eastAsia="Times New Roman" w:hAnsi="Times New Roman" w:cs="Times New Roman"/>
          <w:sz w:val="28"/>
          <w:szCs w:val="28"/>
          <w:lang w:eastAsia="ru-RU"/>
        </w:rPr>
        <w:t xml:space="preserve"> их распределением Приморскому краю согласно</w:t>
      </w:r>
      <w:r w:rsidRPr="00522104">
        <w:rPr>
          <w:rFonts w:ascii="Times New Roman" w:eastAsia="Times New Roman" w:hAnsi="Times New Roman" w:cs="Times New Roman"/>
          <w:sz w:val="28"/>
          <w:szCs w:val="28"/>
          <w:lang w:eastAsia="ru-RU"/>
        </w:rPr>
        <w:t xml:space="preserve"> проект</w:t>
      </w:r>
      <w:r w:rsidR="003C7BC6" w:rsidRPr="00522104">
        <w:rPr>
          <w:rFonts w:ascii="Times New Roman" w:eastAsia="Times New Roman" w:hAnsi="Times New Roman" w:cs="Times New Roman"/>
          <w:sz w:val="28"/>
          <w:szCs w:val="28"/>
          <w:lang w:eastAsia="ru-RU"/>
        </w:rPr>
        <w:t>у</w:t>
      </w:r>
      <w:r w:rsidRPr="00522104">
        <w:rPr>
          <w:rFonts w:ascii="Times New Roman" w:eastAsia="Times New Roman" w:hAnsi="Times New Roman" w:cs="Times New Roman"/>
          <w:sz w:val="28"/>
          <w:szCs w:val="28"/>
          <w:lang w:eastAsia="ru-RU"/>
        </w:rPr>
        <w:t xml:space="preserve"> федерального закона №</w:t>
      </w:r>
      <w:r w:rsidR="00D83E00"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1258295-7 "О федеральном бюджете на 2022 год и на плановый период 2023 и 2024 годов" (далее – проект федерального бюджета на 2022-2024 годы). </w:t>
      </w:r>
      <w:r w:rsidR="003C7BC6" w:rsidRPr="00522104">
        <w:rPr>
          <w:rFonts w:ascii="Times New Roman" w:eastAsia="Times New Roman" w:hAnsi="Times New Roman" w:cs="Times New Roman"/>
          <w:sz w:val="28"/>
          <w:szCs w:val="28"/>
          <w:lang w:eastAsia="ru-RU"/>
        </w:rPr>
        <w:t>При этом в</w:t>
      </w:r>
      <w:r w:rsidRPr="00522104">
        <w:rPr>
          <w:rFonts w:ascii="Times New Roman" w:eastAsia="Times New Roman" w:hAnsi="Times New Roman" w:cs="Times New Roman"/>
          <w:sz w:val="28"/>
          <w:szCs w:val="28"/>
          <w:lang w:eastAsia="ru-RU"/>
        </w:rPr>
        <w:t xml:space="preserve"> течение 2022 года безвозмездные поступления будут уточнены после утверждения проекта федерального бюджета на 2022-2024 годы.</w:t>
      </w:r>
    </w:p>
    <w:p w14:paraId="3C749B4B" w14:textId="46316978"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Фактические поступления по налоговым и неналоговым доходам, безвозмездным поступлениям за 2020 год, </w:t>
      </w:r>
      <w:r w:rsidR="00B47BB0" w:rsidRPr="00522104">
        <w:rPr>
          <w:rFonts w:ascii="Times New Roman" w:eastAsia="Times New Roman" w:hAnsi="Times New Roman" w:cs="Times New Roman"/>
          <w:sz w:val="28"/>
          <w:szCs w:val="28"/>
          <w:lang w:eastAsia="ru-RU"/>
        </w:rPr>
        <w:t xml:space="preserve">бюджетные назначения на 2021 и 2022 год, </w:t>
      </w:r>
      <w:r w:rsidRPr="00522104">
        <w:rPr>
          <w:rFonts w:ascii="Times New Roman" w:eastAsia="Times New Roman" w:hAnsi="Times New Roman" w:cs="Times New Roman"/>
          <w:sz w:val="28"/>
          <w:szCs w:val="28"/>
          <w:lang w:eastAsia="ru-RU"/>
        </w:rPr>
        <w:t>утвержденные Законом № 969-КЗ</w:t>
      </w:r>
      <w:r w:rsidR="00B47BB0"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 плановые назначения </w:t>
      </w:r>
      <w:r w:rsidR="00B47BB0" w:rsidRPr="00522104">
        <w:rPr>
          <w:rFonts w:ascii="Times New Roman" w:eastAsia="Times New Roman" w:hAnsi="Times New Roman" w:cs="Times New Roman"/>
          <w:sz w:val="28"/>
          <w:szCs w:val="28"/>
          <w:lang w:eastAsia="ru-RU"/>
        </w:rPr>
        <w:t xml:space="preserve">по законопроекту </w:t>
      </w:r>
      <w:r w:rsidRPr="00522104">
        <w:rPr>
          <w:rFonts w:ascii="Times New Roman" w:eastAsia="Times New Roman" w:hAnsi="Times New Roman" w:cs="Times New Roman"/>
          <w:sz w:val="28"/>
          <w:szCs w:val="28"/>
          <w:lang w:eastAsia="ru-RU"/>
        </w:rPr>
        <w:t xml:space="preserve">на 2022 - 2024 годы представлены на диаграмме. </w:t>
      </w:r>
    </w:p>
    <w:p w14:paraId="60765680" w14:textId="77777777" w:rsidR="00326533" w:rsidRPr="00522104" w:rsidRDefault="00326533" w:rsidP="00326533">
      <w:pPr>
        <w:spacing w:after="0" w:line="240" w:lineRule="auto"/>
        <w:ind w:firstLine="709"/>
        <w:jc w:val="both"/>
        <w:rPr>
          <w:rFonts w:ascii="Times New Roman" w:eastAsia="Times New Roman" w:hAnsi="Times New Roman" w:cs="Times New Roman"/>
          <w:sz w:val="16"/>
          <w:szCs w:val="16"/>
          <w:lang w:eastAsia="ru-RU"/>
        </w:rPr>
      </w:pPr>
    </w:p>
    <w:p w14:paraId="36E14691" w14:textId="77777777" w:rsidR="00326533" w:rsidRPr="00522104" w:rsidRDefault="00326533" w:rsidP="00326533">
      <w:pPr>
        <w:spacing w:after="0" w:line="240" w:lineRule="atLeast"/>
        <w:jc w:val="both"/>
        <w:rPr>
          <w:rFonts w:ascii="Times New Roman" w:eastAsia="Times New Roman" w:hAnsi="Times New Roman" w:cs="Times New Roman"/>
          <w:b/>
          <w:sz w:val="28"/>
          <w:szCs w:val="28"/>
          <w:lang w:eastAsia="ru-RU"/>
        </w:rPr>
      </w:pPr>
      <w:r w:rsidRPr="00522104">
        <w:rPr>
          <w:noProof/>
          <w:lang w:eastAsia="ru-RU"/>
        </w:rPr>
        <w:drawing>
          <wp:inline distT="0" distB="0" distL="0" distR="0" wp14:anchorId="18A290BF" wp14:editId="2F97A809">
            <wp:extent cx="5940425" cy="2857500"/>
            <wp:effectExtent l="0" t="0" r="3175" b="0"/>
            <wp:docPr id="74" name="Диаграмма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2136164" w14:textId="7DFB5AD7" w:rsidR="00295CD5" w:rsidRDefault="00295CD5">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14:paraId="2ED8F5EC" w14:textId="77777777" w:rsidR="00326533" w:rsidRPr="00522104" w:rsidRDefault="00326533" w:rsidP="00326533">
      <w:pPr>
        <w:spacing w:after="0" w:line="240" w:lineRule="atLeast"/>
        <w:jc w:val="both"/>
        <w:rPr>
          <w:rFonts w:ascii="Times New Roman" w:eastAsia="Times New Roman" w:hAnsi="Times New Roman" w:cs="Times New Roman"/>
          <w:b/>
          <w:sz w:val="28"/>
          <w:szCs w:val="28"/>
          <w:lang w:eastAsia="ru-RU"/>
        </w:rPr>
      </w:pPr>
    </w:p>
    <w:p w14:paraId="7B5CE8E3" w14:textId="0BE2974F" w:rsidR="00326533" w:rsidRPr="00522104" w:rsidRDefault="00326533" w:rsidP="00326533">
      <w:pPr>
        <w:spacing w:after="0" w:line="240" w:lineRule="auto"/>
        <w:ind w:firstLine="708"/>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4.1. Н</w:t>
      </w:r>
      <w:r w:rsidR="00D410A8" w:rsidRPr="00522104">
        <w:rPr>
          <w:rFonts w:ascii="Times New Roman" w:eastAsia="Times New Roman" w:hAnsi="Times New Roman" w:cs="Times New Roman"/>
          <w:b/>
          <w:sz w:val="28"/>
          <w:szCs w:val="28"/>
          <w:lang w:eastAsia="ru-RU"/>
        </w:rPr>
        <w:t>алоговые и неналоговые доходы</w:t>
      </w:r>
      <w:r w:rsidRPr="00522104">
        <w:rPr>
          <w:rFonts w:ascii="Times New Roman" w:eastAsia="Times New Roman" w:hAnsi="Times New Roman" w:cs="Times New Roman"/>
          <w:b/>
          <w:sz w:val="28"/>
          <w:szCs w:val="28"/>
          <w:lang w:eastAsia="ru-RU"/>
        </w:rPr>
        <w:t>.</w:t>
      </w:r>
    </w:p>
    <w:p w14:paraId="365F3FDB" w14:textId="2E76ECB2"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Поступления налоговых и неналоговых доходов на 2022 год запланированы в сумме 109728,74 млн рублей, что составляет 108,35 % к </w:t>
      </w:r>
      <w:r w:rsidR="00F04F9C" w:rsidRPr="00522104">
        <w:rPr>
          <w:rFonts w:ascii="Times New Roman" w:eastAsia="Times New Roman" w:hAnsi="Times New Roman" w:cs="Times New Roman"/>
          <w:sz w:val="28"/>
          <w:szCs w:val="28"/>
          <w:lang w:eastAsia="ru-RU"/>
        </w:rPr>
        <w:t xml:space="preserve">утвержденному </w:t>
      </w:r>
      <w:r w:rsidRPr="00522104">
        <w:rPr>
          <w:rFonts w:ascii="Times New Roman" w:eastAsia="Times New Roman" w:hAnsi="Times New Roman" w:cs="Times New Roman"/>
          <w:sz w:val="28"/>
          <w:szCs w:val="28"/>
          <w:lang w:eastAsia="ru-RU"/>
        </w:rPr>
        <w:t>плану на 2022 год (101273,03 млн рублей) и 103,03 % к плану на 2021 год (106502,54 млн рублей).</w:t>
      </w:r>
    </w:p>
    <w:p w14:paraId="7F2183E7"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Структура налоговых и неналоговых доходов законопроекта на 2022 год по основным видам представлена на диаграмме.</w:t>
      </w:r>
    </w:p>
    <w:p w14:paraId="43CE42D5" w14:textId="77777777" w:rsidR="00326533" w:rsidRPr="00522104" w:rsidRDefault="00326533" w:rsidP="00326533">
      <w:pPr>
        <w:tabs>
          <w:tab w:val="left" w:pos="8370"/>
        </w:tabs>
        <w:spacing w:after="0" w:line="240" w:lineRule="auto"/>
        <w:rPr>
          <w:rFonts w:ascii="Times New Roman" w:eastAsia="Times New Roman" w:hAnsi="Times New Roman" w:cs="Times New Roman"/>
          <w:sz w:val="28"/>
          <w:szCs w:val="28"/>
          <w:lang w:eastAsia="ru-RU"/>
        </w:rPr>
      </w:pPr>
      <w:r w:rsidRPr="00522104">
        <w:rPr>
          <w:noProof/>
          <w:lang w:eastAsia="ru-RU"/>
        </w:rPr>
        <w:drawing>
          <wp:inline distT="0" distB="0" distL="0" distR="0" wp14:anchorId="68162108" wp14:editId="33FE1FDA">
            <wp:extent cx="5779770" cy="3059723"/>
            <wp:effectExtent l="0" t="0" r="0" b="7620"/>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AE6C06A"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p>
    <w:p w14:paraId="617096F2" w14:textId="18674833"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законопроекту на 2022 год в структуре налоговых и неналоговых доходов преобладают налоговые доходы в сумме 108369,54 млн рублей, или 98,76 % в общем объеме налоговых и неналоговых доходов (плановые назначения на 2022 год, утвержденные Законом № 969-КЗ</w:t>
      </w:r>
      <w:r w:rsidR="00C30487"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98,85 %, или 100103,97 млн рублей, на 2021 год –104856,60 млн рублей, или 98,45 %). Неналоговые доходы согласно законопроекту составят 1,24 %, или 1359,20 млн рублей (плановые назначения на 2022 год – 1,15 %, или 1169,06 млн рублей, на 2021 год – 1,55 %, или 1645,94 млн рублей).</w:t>
      </w:r>
    </w:p>
    <w:p w14:paraId="375BA618" w14:textId="1C7AF512"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плановый период 2023 года налоговые доходы планируются в размере 112440,22 млн рублей (доля в общем объеме налоговых и неналоговых доходов </w:t>
      </w:r>
      <w:r w:rsidR="00C30487"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98,84 %), неналоговые доходы –</w:t>
      </w:r>
      <w:r w:rsidR="00C30487"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1319,87 млн рублей (доля </w:t>
      </w:r>
      <w:r w:rsidR="00C30487"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1,16 %). В 2024 году налоговые доходы прогнозируются в объеме 116988,88 млн рублей (доля </w:t>
      </w:r>
      <w:r w:rsidR="00C30487"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98,89 %), неналоговые доходы – 1313,92 млн рублей</w:t>
      </w:r>
      <w:r w:rsidR="00C30487" w:rsidRPr="00522104">
        <w:rPr>
          <w:rFonts w:ascii="Times New Roman" w:eastAsia="Times New Roman" w:hAnsi="Times New Roman" w:cs="Times New Roman"/>
          <w:sz w:val="28"/>
          <w:szCs w:val="28"/>
          <w:lang w:eastAsia="ru-RU"/>
        </w:rPr>
        <w:t xml:space="preserve"> (доля –</w:t>
      </w:r>
      <w:r w:rsidRPr="00522104">
        <w:rPr>
          <w:rFonts w:ascii="Times New Roman" w:eastAsia="Times New Roman" w:hAnsi="Times New Roman" w:cs="Times New Roman"/>
          <w:sz w:val="28"/>
          <w:szCs w:val="28"/>
          <w:lang w:eastAsia="ru-RU"/>
        </w:rPr>
        <w:t xml:space="preserve"> 1,11 %).</w:t>
      </w:r>
    </w:p>
    <w:p w14:paraId="51FFBAF0" w14:textId="48A19C2B" w:rsidR="00326533" w:rsidRPr="00522104" w:rsidRDefault="00706DB3" w:rsidP="00326533">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w:t>
      </w:r>
      <w:r w:rsidR="00326533" w:rsidRPr="00522104">
        <w:rPr>
          <w:rFonts w:ascii="Times New Roman" w:eastAsia="Times New Roman" w:hAnsi="Times New Roman" w:cs="Times New Roman"/>
          <w:sz w:val="28"/>
          <w:szCs w:val="28"/>
          <w:lang w:eastAsia="ru-RU"/>
        </w:rPr>
        <w:t xml:space="preserve"> законопроекту на 2022 год основную долю в налоговых и неналоговых доходах (95,61 % в их общем объеме) составят налог на доходы физических лиц – 40,15 %, налог на прибыль организаций – 26,57 %, налог на имущество организаций – 11,46 %, акцизы – 10,70 %, налог, взимаемый в связи с применением упрощенной системы налогообложения – 6,73 %.</w:t>
      </w:r>
    </w:p>
    <w:p w14:paraId="5AB36952" w14:textId="77777777" w:rsidR="00326533" w:rsidRPr="00522104" w:rsidRDefault="00326533" w:rsidP="00326533">
      <w:pPr>
        <w:spacing w:after="0" w:line="240" w:lineRule="auto"/>
        <w:ind w:firstLine="708"/>
        <w:jc w:val="both"/>
        <w:rPr>
          <w:rFonts w:ascii="Times New Roman" w:eastAsia="Times New Roman" w:hAnsi="Times New Roman" w:cs="Times New Roman"/>
          <w:sz w:val="28"/>
          <w:szCs w:val="28"/>
          <w:lang w:eastAsia="ru-RU"/>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1"/>
        <w:gridCol w:w="836"/>
        <w:gridCol w:w="851"/>
        <w:gridCol w:w="850"/>
        <w:gridCol w:w="851"/>
        <w:gridCol w:w="850"/>
        <w:gridCol w:w="851"/>
        <w:gridCol w:w="851"/>
        <w:gridCol w:w="708"/>
        <w:gridCol w:w="851"/>
        <w:gridCol w:w="709"/>
      </w:tblGrid>
      <w:tr w:rsidR="00326533" w:rsidRPr="00522104" w14:paraId="313F70E8" w14:textId="77777777" w:rsidTr="000753D6">
        <w:trPr>
          <w:trHeight w:val="20"/>
          <w:tblHeader/>
        </w:trPr>
        <w:tc>
          <w:tcPr>
            <w:tcW w:w="2141" w:type="dxa"/>
            <w:tcBorders>
              <w:top w:val="nil"/>
              <w:left w:val="nil"/>
              <w:bottom w:val="single" w:sz="4" w:space="0" w:color="auto"/>
              <w:right w:val="nil"/>
            </w:tcBorders>
            <w:shd w:val="clear" w:color="auto" w:fill="auto"/>
            <w:vAlign w:val="center"/>
          </w:tcPr>
          <w:p w14:paraId="2FDC4A5A"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p>
          <w:p w14:paraId="311D3730"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p>
        </w:tc>
        <w:tc>
          <w:tcPr>
            <w:tcW w:w="2537" w:type="dxa"/>
            <w:gridSpan w:val="3"/>
            <w:tcBorders>
              <w:top w:val="nil"/>
              <w:left w:val="nil"/>
              <w:bottom w:val="single" w:sz="4" w:space="0" w:color="auto"/>
              <w:right w:val="nil"/>
            </w:tcBorders>
            <w:shd w:val="clear" w:color="000000" w:fill="FFFFFF"/>
            <w:noWrap/>
            <w:vAlign w:val="center"/>
          </w:tcPr>
          <w:p w14:paraId="48DAF3C5"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p>
        </w:tc>
        <w:tc>
          <w:tcPr>
            <w:tcW w:w="2552" w:type="dxa"/>
            <w:gridSpan w:val="3"/>
            <w:tcBorders>
              <w:top w:val="nil"/>
              <w:left w:val="nil"/>
              <w:bottom w:val="single" w:sz="4" w:space="0" w:color="auto"/>
              <w:right w:val="nil"/>
            </w:tcBorders>
            <w:shd w:val="clear" w:color="000000" w:fill="FFFFFF"/>
            <w:vAlign w:val="center"/>
          </w:tcPr>
          <w:p w14:paraId="12C6A369"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p>
        </w:tc>
        <w:tc>
          <w:tcPr>
            <w:tcW w:w="3119" w:type="dxa"/>
            <w:gridSpan w:val="4"/>
            <w:tcBorders>
              <w:top w:val="nil"/>
              <w:left w:val="nil"/>
              <w:bottom w:val="single" w:sz="4" w:space="0" w:color="auto"/>
              <w:right w:val="nil"/>
            </w:tcBorders>
            <w:shd w:val="clear" w:color="auto" w:fill="auto"/>
            <w:noWrap/>
            <w:vAlign w:val="center"/>
          </w:tcPr>
          <w:p w14:paraId="6977BAA0" w14:textId="77777777" w:rsidR="00326533" w:rsidRPr="0058218D" w:rsidRDefault="00326533" w:rsidP="000753D6">
            <w:pPr>
              <w:spacing w:after="0" w:line="240" w:lineRule="auto"/>
              <w:jc w:val="right"/>
              <w:rPr>
                <w:rFonts w:ascii="Times New Roman" w:eastAsia="Times New Roman" w:hAnsi="Times New Roman" w:cs="Times New Roman"/>
                <w:bCs/>
                <w:sz w:val="20"/>
                <w:szCs w:val="20"/>
                <w:lang w:eastAsia="ru-RU"/>
              </w:rPr>
            </w:pPr>
            <w:r w:rsidRPr="0058218D">
              <w:rPr>
                <w:rFonts w:ascii="Times New Roman" w:eastAsia="Times New Roman" w:hAnsi="Times New Roman" w:cs="Times New Roman"/>
                <w:bCs/>
                <w:sz w:val="20"/>
                <w:szCs w:val="20"/>
                <w:lang w:eastAsia="ru-RU"/>
              </w:rPr>
              <w:t>(млн рублей)</w:t>
            </w:r>
          </w:p>
        </w:tc>
      </w:tr>
      <w:tr w:rsidR="00326533" w:rsidRPr="00522104" w14:paraId="7D0543EA" w14:textId="77777777" w:rsidTr="000753D6">
        <w:trPr>
          <w:trHeight w:val="20"/>
          <w:tblHeader/>
        </w:trPr>
        <w:tc>
          <w:tcPr>
            <w:tcW w:w="2141" w:type="dxa"/>
            <w:vMerge w:val="restart"/>
            <w:tcBorders>
              <w:top w:val="single" w:sz="4" w:space="0" w:color="auto"/>
            </w:tcBorders>
            <w:shd w:val="clear" w:color="auto" w:fill="auto"/>
            <w:vAlign w:val="center"/>
            <w:hideMark/>
          </w:tcPr>
          <w:p w14:paraId="69DB3385"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Наименование</w:t>
            </w:r>
          </w:p>
        </w:tc>
        <w:tc>
          <w:tcPr>
            <w:tcW w:w="2537" w:type="dxa"/>
            <w:gridSpan w:val="3"/>
            <w:tcBorders>
              <w:top w:val="single" w:sz="4" w:space="0" w:color="auto"/>
            </w:tcBorders>
            <w:shd w:val="clear" w:color="000000" w:fill="FFFFFF"/>
            <w:noWrap/>
            <w:vAlign w:val="center"/>
            <w:hideMark/>
          </w:tcPr>
          <w:p w14:paraId="542DEF07" w14:textId="59ACDE39" w:rsidR="00326533" w:rsidRPr="00522104" w:rsidRDefault="00326533" w:rsidP="0060274C">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Закон № 969-КЗ</w:t>
            </w:r>
          </w:p>
        </w:tc>
        <w:tc>
          <w:tcPr>
            <w:tcW w:w="2552" w:type="dxa"/>
            <w:gridSpan w:val="3"/>
            <w:tcBorders>
              <w:top w:val="single" w:sz="4" w:space="0" w:color="auto"/>
            </w:tcBorders>
            <w:shd w:val="clear" w:color="000000" w:fill="FFFFFF"/>
            <w:vAlign w:val="center"/>
            <w:hideMark/>
          </w:tcPr>
          <w:p w14:paraId="0137C23A"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Законопроект</w:t>
            </w:r>
          </w:p>
        </w:tc>
        <w:tc>
          <w:tcPr>
            <w:tcW w:w="3119" w:type="dxa"/>
            <w:gridSpan w:val="4"/>
            <w:tcBorders>
              <w:top w:val="single" w:sz="4" w:space="0" w:color="auto"/>
            </w:tcBorders>
            <w:shd w:val="clear" w:color="auto" w:fill="auto"/>
            <w:noWrap/>
            <w:vAlign w:val="center"/>
            <w:hideMark/>
          </w:tcPr>
          <w:p w14:paraId="5322E703"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Отклонения</w:t>
            </w:r>
          </w:p>
        </w:tc>
      </w:tr>
      <w:tr w:rsidR="00706DB3" w:rsidRPr="00522104" w14:paraId="75FFE0F8" w14:textId="77777777" w:rsidTr="000753D6">
        <w:trPr>
          <w:trHeight w:val="367"/>
          <w:tblHeader/>
        </w:trPr>
        <w:tc>
          <w:tcPr>
            <w:tcW w:w="2141" w:type="dxa"/>
            <w:vMerge/>
            <w:vAlign w:val="center"/>
            <w:hideMark/>
          </w:tcPr>
          <w:p w14:paraId="4E0B6DE7" w14:textId="77777777" w:rsidR="00706DB3" w:rsidRPr="00522104" w:rsidRDefault="00706DB3" w:rsidP="000753D6">
            <w:pPr>
              <w:spacing w:after="0" w:line="240" w:lineRule="auto"/>
              <w:rPr>
                <w:rFonts w:ascii="Times New Roman" w:eastAsia="Times New Roman" w:hAnsi="Times New Roman" w:cs="Times New Roman"/>
                <w:b/>
                <w:bCs/>
                <w:sz w:val="16"/>
                <w:szCs w:val="16"/>
                <w:lang w:eastAsia="ru-RU"/>
              </w:rPr>
            </w:pPr>
          </w:p>
        </w:tc>
        <w:tc>
          <w:tcPr>
            <w:tcW w:w="836" w:type="dxa"/>
            <w:shd w:val="clear" w:color="auto" w:fill="auto"/>
            <w:vAlign w:val="center"/>
            <w:hideMark/>
          </w:tcPr>
          <w:p w14:paraId="27842789" w14:textId="77777777" w:rsidR="00706DB3" w:rsidRPr="00522104" w:rsidRDefault="00706DB3" w:rsidP="000753D6">
            <w:pPr>
              <w:spacing w:after="0" w:line="240" w:lineRule="auto"/>
              <w:ind w:left="-122"/>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первона-чальная редакция</w:t>
            </w:r>
          </w:p>
        </w:tc>
        <w:tc>
          <w:tcPr>
            <w:tcW w:w="1701" w:type="dxa"/>
            <w:gridSpan w:val="2"/>
            <w:shd w:val="clear" w:color="auto" w:fill="auto"/>
            <w:vAlign w:val="center"/>
            <w:hideMark/>
          </w:tcPr>
          <w:p w14:paraId="1B40ADF5" w14:textId="481DF8C8" w:rsidR="00706DB3" w:rsidRPr="00522104" w:rsidRDefault="00706DB3" w:rsidP="00706DB3">
            <w:pPr>
              <w:spacing w:after="0" w:line="240" w:lineRule="auto"/>
              <w:ind w:left="-107"/>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8 редакция</w:t>
            </w:r>
          </w:p>
        </w:tc>
        <w:tc>
          <w:tcPr>
            <w:tcW w:w="851" w:type="dxa"/>
            <w:vMerge w:val="restart"/>
            <w:shd w:val="clear" w:color="auto" w:fill="auto"/>
            <w:noWrap/>
            <w:vAlign w:val="center"/>
            <w:hideMark/>
          </w:tcPr>
          <w:p w14:paraId="1B5E5D08" w14:textId="77777777" w:rsidR="00706DB3" w:rsidRPr="00522104" w:rsidRDefault="00706DB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2022</w:t>
            </w:r>
          </w:p>
        </w:tc>
        <w:tc>
          <w:tcPr>
            <w:tcW w:w="850" w:type="dxa"/>
            <w:vMerge w:val="restart"/>
            <w:shd w:val="clear" w:color="auto" w:fill="auto"/>
            <w:noWrap/>
            <w:vAlign w:val="center"/>
            <w:hideMark/>
          </w:tcPr>
          <w:p w14:paraId="0E23CB42" w14:textId="77777777" w:rsidR="00706DB3" w:rsidRPr="00522104" w:rsidRDefault="00706DB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2023</w:t>
            </w:r>
          </w:p>
        </w:tc>
        <w:tc>
          <w:tcPr>
            <w:tcW w:w="851" w:type="dxa"/>
            <w:vMerge w:val="restart"/>
            <w:shd w:val="clear" w:color="auto" w:fill="auto"/>
            <w:noWrap/>
            <w:vAlign w:val="center"/>
            <w:hideMark/>
          </w:tcPr>
          <w:p w14:paraId="0E39642B" w14:textId="77777777" w:rsidR="00706DB3" w:rsidRPr="00522104" w:rsidRDefault="00706DB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2024</w:t>
            </w:r>
          </w:p>
        </w:tc>
        <w:tc>
          <w:tcPr>
            <w:tcW w:w="1559" w:type="dxa"/>
            <w:gridSpan w:val="2"/>
            <w:shd w:val="clear" w:color="auto" w:fill="auto"/>
            <w:noWrap/>
            <w:vAlign w:val="center"/>
            <w:hideMark/>
          </w:tcPr>
          <w:p w14:paraId="4AC47A25" w14:textId="77777777" w:rsidR="00706DB3" w:rsidRPr="00522104" w:rsidRDefault="00706DB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2022/2021</w:t>
            </w:r>
          </w:p>
        </w:tc>
        <w:tc>
          <w:tcPr>
            <w:tcW w:w="1560" w:type="dxa"/>
            <w:gridSpan w:val="2"/>
            <w:shd w:val="clear" w:color="auto" w:fill="auto"/>
            <w:noWrap/>
            <w:vAlign w:val="center"/>
            <w:hideMark/>
          </w:tcPr>
          <w:p w14:paraId="6E8EC3F1" w14:textId="77777777" w:rsidR="00706DB3" w:rsidRPr="00522104" w:rsidRDefault="00706DB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2022/2022</w:t>
            </w:r>
          </w:p>
        </w:tc>
      </w:tr>
      <w:tr w:rsidR="00326533" w:rsidRPr="00522104" w14:paraId="3DA3596A" w14:textId="77777777" w:rsidTr="000753D6">
        <w:trPr>
          <w:trHeight w:val="328"/>
          <w:tblHeader/>
        </w:trPr>
        <w:tc>
          <w:tcPr>
            <w:tcW w:w="2141" w:type="dxa"/>
            <w:vMerge/>
            <w:vAlign w:val="center"/>
            <w:hideMark/>
          </w:tcPr>
          <w:p w14:paraId="74668400" w14:textId="77777777" w:rsidR="00326533" w:rsidRPr="00522104" w:rsidRDefault="00326533" w:rsidP="000753D6">
            <w:pPr>
              <w:spacing w:after="0" w:line="240" w:lineRule="auto"/>
              <w:rPr>
                <w:rFonts w:ascii="Times New Roman" w:eastAsia="Times New Roman" w:hAnsi="Times New Roman" w:cs="Times New Roman"/>
                <w:b/>
                <w:bCs/>
                <w:sz w:val="16"/>
                <w:szCs w:val="16"/>
                <w:lang w:eastAsia="ru-RU"/>
              </w:rPr>
            </w:pPr>
          </w:p>
        </w:tc>
        <w:tc>
          <w:tcPr>
            <w:tcW w:w="836" w:type="dxa"/>
            <w:shd w:val="clear" w:color="auto" w:fill="auto"/>
            <w:noWrap/>
            <w:vAlign w:val="center"/>
            <w:hideMark/>
          </w:tcPr>
          <w:p w14:paraId="1BE2E239"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2021</w:t>
            </w:r>
          </w:p>
        </w:tc>
        <w:tc>
          <w:tcPr>
            <w:tcW w:w="851" w:type="dxa"/>
            <w:shd w:val="clear" w:color="auto" w:fill="auto"/>
            <w:noWrap/>
            <w:vAlign w:val="center"/>
            <w:hideMark/>
          </w:tcPr>
          <w:p w14:paraId="6A0D5FAC"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2021</w:t>
            </w:r>
          </w:p>
        </w:tc>
        <w:tc>
          <w:tcPr>
            <w:tcW w:w="850" w:type="dxa"/>
            <w:shd w:val="clear" w:color="auto" w:fill="auto"/>
            <w:noWrap/>
            <w:vAlign w:val="center"/>
            <w:hideMark/>
          </w:tcPr>
          <w:p w14:paraId="1E1C47D1"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2022</w:t>
            </w:r>
          </w:p>
        </w:tc>
        <w:tc>
          <w:tcPr>
            <w:tcW w:w="851" w:type="dxa"/>
            <w:vMerge/>
            <w:shd w:val="clear" w:color="auto" w:fill="auto"/>
            <w:vAlign w:val="center"/>
            <w:hideMark/>
          </w:tcPr>
          <w:p w14:paraId="3DFBD9D8" w14:textId="77777777" w:rsidR="00326533" w:rsidRPr="00522104" w:rsidRDefault="00326533" w:rsidP="000753D6">
            <w:pPr>
              <w:spacing w:after="0" w:line="240" w:lineRule="auto"/>
              <w:rPr>
                <w:rFonts w:ascii="Times New Roman" w:eastAsia="Times New Roman" w:hAnsi="Times New Roman" w:cs="Times New Roman"/>
                <w:b/>
                <w:bCs/>
                <w:sz w:val="16"/>
                <w:szCs w:val="16"/>
                <w:lang w:eastAsia="ru-RU"/>
              </w:rPr>
            </w:pPr>
          </w:p>
        </w:tc>
        <w:tc>
          <w:tcPr>
            <w:tcW w:w="850" w:type="dxa"/>
            <w:vMerge/>
            <w:shd w:val="clear" w:color="auto" w:fill="auto"/>
            <w:vAlign w:val="center"/>
            <w:hideMark/>
          </w:tcPr>
          <w:p w14:paraId="01E100CD" w14:textId="77777777" w:rsidR="00326533" w:rsidRPr="00522104" w:rsidRDefault="00326533" w:rsidP="000753D6">
            <w:pPr>
              <w:spacing w:after="0" w:line="240" w:lineRule="auto"/>
              <w:rPr>
                <w:rFonts w:ascii="Times New Roman" w:eastAsia="Times New Roman" w:hAnsi="Times New Roman" w:cs="Times New Roman"/>
                <w:b/>
                <w:bCs/>
                <w:sz w:val="16"/>
                <w:szCs w:val="16"/>
                <w:lang w:eastAsia="ru-RU"/>
              </w:rPr>
            </w:pPr>
          </w:p>
        </w:tc>
        <w:tc>
          <w:tcPr>
            <w:tcW w:w="851" w:type="dxa"/>
            <w:vMerge/>
            <w:shd w:val="clear" w:color="auto" w:fill="auto"/>
            <w:vAlign w:val="center"/>
            <w:hideMark/>
          </w:tcPr>
          <w:p w14:paraId="2FE856F8" w14:textId="77777777" w:rsidR="00326533" w:rsidRPr="00522104" w:rsidRDefault="00326533" w:rsidP="000753D6">
            <w:pPr>
              <w:spacing w:after="0" w:line="240" w:lineRule="auto"/>
              <w:rPr>
                <w:rFonts w:ascii="Times New Roman" w:eastAsia="Times New Roman" w:hAnsi="Times New Roman" w:cs="Times New Roman"/>
                <w:b/>
                <w:bCs/>
                <w:sz w:val="16"/>
                <w:szCs w:val="16"/>
                <w:lang w:eastAsia="ru-RU"/>
              </w:rPr>
            </w:pPr>
          </w:p>
        </w:tc>
        <w:tc>
          <w:tcPr>
            <w:tcW w:w="851" w:type="dxa"/>
            <w:shd w:val="clear" w:color="auto" w:fill="auto"/>
            <w:vAlign w:val="center"/>
            <w:hideMark/>
          </w:tcPr>
          <w:p w14:paraId="7F5D3F29"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сумма</w:t>
            </w:r>
          </w:p>
        </w:tc>
        <w:tc>
          <w:tcPr>
            <w:tcW w:w="708" w:type="dxa"/>
            <w:shd w:val="clear" w:color="auto" w:fill="auto"/>
            <w:vAlign w:val="center"/>
            <w:hideMark/>
          </w:tcPr>
          <w:p w14:paraId="374CFB49"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w:t>
            </w:r>
          </w:p>
        </w:tc>
        <w:tc>
          <w:tcPr>
            <w:tcW w:w="851" w:type="dxa"/>
            <w:shd w:val="clear" w:color="auto" w:fill="auto"/>
            <w:vAlign w:val="center"/>
            <w:hideMark/>
          </w:tcPr>
          <w:p w14:paraId="1F50EEDF"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сумма</w:t>
            </w:r>
          </w:p>
        </w:tc>
        <w:tc>
          <w:tcPr>
            <w:tcW w:w="709" w:type="dxa"/>
            <w:shd w:val="clear" w:color="auto" w:fill="auto"/>
            <w:vAlign w:val="center"/>
            <w:hideMark/>
          </w:tcPr>
          <w:p w14:paraId="7EE8A232" w14:textId="77777777" w:rsidR="00326533" w:rsidRPr="00522104" w:rsidRDefault="00326533" w:rsidP="000753D6">
            <w:pPr>
              <w:spacing w:after="0" w:line="240" w:lineRule="auto"/>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w:t>
            </w:r>
          </w:p>
        </w:tc>
      </w:tr>
      <w:tr w:rsidR="00326533" w:rsidRPr="00522104" w14:paraId="6605F667" w14:textId="77777777" w:rsidTr="000753D6">
        <w:trPr>
          <w:trHeight w:val="20"/>
          <w:tblHeader/>
        </w:trPr>
        <w:tc>
          <w:tcPr>
            <w:tcW w:w="2141" w:type="dxa"/>
            <w:shd w:val="clear" w:color="auto" w:fill="auto"/>
            <w:vAlign w:val="center"/>
            <w:hideMark/>
          </w:tcPr>
          <w:p w14:paraId="3EAA1E16"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1</w:t>
            </w:r>
          </w:p>
        </w:tc>
        <w:tc>
          <w:tcPr>
            <w:tcW w:w="836" w:type="dxa"/>
            <w:shd w:val="clear" w:color="auto" w:fill="auto"/>
            <w:noWrap/>
            <w:vAlign w:val="center"/>
            <w:hideMark/>
          </w:tcPr>
          <w:p w14:paraId="1F50FF05"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2</w:t>
            </w:r>
          </w:p>
        </w:tc>
        <w:tc>
          <w:tcPr>
            <w:tcW w:w="851" w:type="dxa"/>
            <w:shd w:val="clear" w:color="auto" w:fill="auto"/>
            <w:noWrap/>
            <w:vAlign w:val="center"/>
            <w:hideMark/>
          </w:tcPr>
          <w:p w14:paraId="0154322B"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3</w:t>
            </w:r>
          </w:p>
        </w:tc>
        <w:tc>
          <w:tcPr>
            <w:tcW w:w="850" w:type="dxa"/>
            <w:shd w:val="clear" w:color="auto" w:fill="auto"/>
            <w:noWrap/>
            <w:vAlign w:val="center"/>
            <w:hideMark/>
          </w:tcPr>
          <w:p w14:paraId="16155CD0"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4</w:t>
            </w:r>
          </w:p>
        </w:tc>
        <w:tc>
          <w:tcPr>
            <w:tcW w:w="851" w:type="dxa"/>
            <w:shd w:val="clear" w:color="auto" w:fill="auto"/>
            <w:noWrap/>
            <w:vAlign w:val="center"/>
            <w:hideMark/>
          </w:tcPr>
          <w:p w14:paraId="4C964C17"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5</w:t>
            </w:r>
          </w:p>
        </w:tc>
        <w:tc>
          <w:tcPr>
            <w:tcW w:w="850" w:type="dxa"/>
            <w:shd w:val="clear" w:color="auto" w:fill="auto"/>
            <w:noWrap/>
            <w:vAlign w:val="center"/>
            <w:hideMark/>
          </w:tcPr>
          <w:p w14:paraId="3CF1D9FF"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6</w:t>
            </w:r>
          </w:p>
        </w:tc>
        <w:tc>
          <w:tcPr>
            <w:tcW w:w="851" w:type="dxa"/>
            <w:shd w:val="clear" w:color="auto" w:fill="auto"/>
            <w:noWrap/>
            <w:vAlign w:val="center"/>
            <w:hideMark/>
          </w:tcPr>
          <w:p w14:paraId="2544E04F"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7</w:t>
            </w:r>
          </w:p>
        </w:tc>
        <w:tc>
          <w:tcPr>
            <w:tcW w:w="851" w:type="dxa"/>
            <w:shd w:val="clear" w:color="auto" w:fill="auto"/>
            <w:noWrap/>
            <w:vAlign w:val="center"/>
            <w:hideMark/>
          </w:tcPr>
          <w:p w14:paraId="5E5DF3EA"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8=5-3</w:t>
            </w:r>
          </w:p>
        </w:tc>
        <w:tc>
          <w:tcPr>
            <w:tcW w:w="708" w:type="dxa"/>
            <w:shd w:val="clear" w:color="auto" w:fill="auto"/>
            <w:noWrap/>
            <w:vAlign w:val="center"/>
            <w:hideMark/>
          </w:tcPr>
          <w:p w14:paraId="55634135"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9=5/3</w:t>
            </w:r>
          </w:p>
        </w:tc>
        <w:tc>
          <w:tcPr>
            <w:tcW w:w="851" w:type="dxa"/>
            <w:shd w:val="clear" w:color="auto" w:fill="auto"/>
            <w:noWrap/>
            <w:vAlign w:val="center"/>
            <w:hideMark/>
          </w:tcPr>
          <w:p w14:paraId="5BC968FE"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10=5-4</w:t>
            </w:r>
          </w:p>
        </w:tc>
        <w:tc>
          <w:tcPr>
            <w:tcW w:w="709" w:type="dxa"/>
            <w:shd w:val="clear" w:color="auto" w:fill="auto"/>
            <w:noWrap/>
            <w:vAlign w:val="center"/>
            <w:hideMark/>
          </w:tcPr>
          <w:p w14:paraId="58CDB0D6" w14:textId="77777777" w:rsidR="00326533" w:rsidRPr="00522104" w:rsidRDefault="00326533" w:rsidP="000753D6">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11=5/4</w:t>
            </w:r>
          </w:p>
        </w:tc>
      </w:tr>
      <w:tr w:rsidR="00326533" w:rsidRPr="00522104" w14:paraId="07AED010" w14:textId="77777777" w:rsidTr="000753D6">
        <w:trPr>
          <w:trHeight w:val="20"/>
        </w:trPr>
        <w:tc>
          <w:tcPr>
            <w:tcW w:w="2141" w:type="dxa"/>
            <w:shd w:val="clear" w:color="auto" w:fill="BFBFBF" w:themeFill="background1" w:themeFillShade="BF"/>
            <w:vAlign w:val="center"/>
            <w:hideMark/>
          </w:tcPr>
          <w:p w14:paraId="0DCAC681" w14:textId="77777777" w:rsidR="00326533" w:rsidRPr="00522104" w:rsidRDefault="00326533" w:rsidP="000753D6">
            <w:pPr>
              <w:spacing w:after="0" w:line="240" w:lineRule="auto"/>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НАЛОГОВЫЕ И НЕНАЛОГОВЫЕ ДОХОДЫ</w:t>
            </w:r>
          </w:p>
        </w:tc>
        <w:tc>
          <w:tcPr>
            <w:tcW w:w="836" w:type="dxa"/>
            <w:shd w:val="clear" w:color="auto" w:fill="BFBFBF" w:themeFill="background1" w:themeFillShade="BF"/>
            <w:noWrap/>
            <w:vAlign w:val="bottom"/>
            <w:hideMark/>
          </w:tcPr>
          <w:p w14:paraId="372E0AB8" w14:textId="77777777" w:rsidR="00326533" w:rsidRPr="00522104" w:rsidRDefault="00326533" w:rsidP="000753D6">
            <w:pPr>
              <w:spacing w:after="0" w:line="240" w:lineRule="auto"/>
              <w:ind w:left="-122"/>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94 678,97</w:t>
            </w:r>
          </w:p>
        </w:tc>
        <w:tc>
          <w:tcPr>
            <w:tcW w:w="851" w:type="dxa"/>
            <w:shd w:val="clear" w:color="auto" w:fill="BFBFBF" w:themeFill="background1" w:themeFillShade="BF"/>
            <w:noWrap/>
            <w:vAlign w:val="bottom"/>
            <w:hideMark/>
          </w:tcPr>
          <w:p w14:paraId="7C5E1619" w14:textId="77777777" w:rsidR="00326533" w:rsidRPr="00522104" w:rsidRDefault="00326533" w:rsidP="000753D6">
            <w:pPr>
              <w:spacing w:after="0" w:line="240" w:lineRule="auto"/>
              <w:ind w:left="-108" w:righ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106 502,54</w:t>
            </w:r>
          </w:p>
        </w:tc>
        <w:tc>
          <w:tcPr>
            <w:tcW w:w="850" w:type="dxa"/>
            <w:shd w:val="clear" w:color="auto" w:fill="BFBFBF" w:themeFill="background1" w:themeFillShade="BF"/>
            <w:noWrap/>
            <w:vAlign w:val="bottom"/>
            <w:hideMark/>
          </w:tcPr>
          <w:p w14:paraId="4082B471" w14:textId="77777777" w:rsidR="00326533" w:rsidRPr="00522104" w:rsidRDefault="00326533" w:rsidP="000753D6">
            <w:pPr>
              <w:spacing w:after="0" w:line="240" w:lineRule="auto"/>
              <w:ind w:left="-108" w:righ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101 273,03</w:t>
            </w:r>
          </w:p>
        </w:tc>
        <w:tc>
          <w:tcPr>
            <w:tcW w:w="851" w:type="dxa"/>
            <w:shd w:val="clear" w:color="auto" w:fill="BFBFBF" w:themeFill="background1" w:themeFillShade="BF"/>
            <w:noWrap/>
            <w:vAlign w:val="bottom"/>
            <w:hideMark/>
          </w:tcPr>
          <w:p w14:paraId="71513A86" w14:textId="77777777" w:rsidR="00326533" w:rsidRPr="00522104" w:rsidRDefault="00326533" w:rsidP="000753D6">
            <w:pPr>
              <w:spacing w:after="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109 728,74</w:t>
            </w:r>
          </w:p>
        </w:tc>
        <w:tc>
          <w:tcPr>
            <w:tcW w:w="850" w:type="dxa"/>
            <w:shd w:val="clear" w:color="auto" w:fill="BFBFBF" w:themeFill="background1" w:themeFillShade="BF"/>
            <w:noWrap/>
            <w:vAlign w:val="bottom"/>
            <w:hideMark/>
          </w:tcPr>
          <w:p w14:paraId="543F20F6" w14:textId="77777777" w:rsidR="00326533" w:rsidRPr="00522104" w:rsidRDefault="00326533" w:rsidP="000753D6">
            <w:pPr>
              <w:spacing w:after="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113 760,09</w:t>
            </w:r>
          </w:p>
        </w:tc>
        <w:tc>
          <w:tcPr>
            <w:tcW w:w="851" w:type="dxa"/>
            <w:shd w:val="clear" w:color="auto" w:fill="BFBFBF" w:themeFill="background1" w:themeFillShade="BF"/>
            <w:noWrap/>
            <w:vAlign w:val="bottom"/>
            <w:hideMark/>
          </w:tcPr>
          <w:p w14:paraId="14E067FE" w14:textId="77777777" w:rsidR="00326533" w:rsidRPr="00522104" w:rsidRDefault="00326533" w:rsidP="000753D6">
            <w:pPr>
              <w:spacing w:after="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118 302,80</w:t>
            </w:r>
          </w:p>
        </w:tc>
        <w:tc>
          <w:tcPr>
            <w:tcW w:w="851" w:type="dxa"/>
            <w:shd w:val="clear" w:color="auto" w:fill="BFBFBF" w:themeFill="background1" w:themeFillShade="BF"/>
            <w:noWrap/>
            <w:vAlign w:val="bottom"/>
            <w:hideMark/>
          </w:tcPr>
          <w:p w14:paraId="000240F6" w14:textId="77777777" w:rsidR="00326533" w:rsidRPr="00522104" w:rsidRDefault="00326533" w:rsidP="000753D6">
            <w:pPr>
              <w:spacing w:after="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3 226,20</w:t>
            </w:r>
          </w:p>
        </w:tc>
        <w:tc>
          <w:tcPr>
            <w:tcW w:w="708" w:type="dxa"/>
            <w:shd w:val="clear" w:color="auto" w:fill="BFBFBF" w:themeFill="background1" w:themeFillShade="BF"/>
            <w:noWrap/>
            <w:vAlign w:val="bottom"/>
            <w:hideMark/>
          </w:tcPr>
          <w:p w14:paraId="7182CDFE" w14:textId="77777777" w:rsidR="00326533" w:rsidRPr="00522104" w:rsidRDefault="00326533" w:rsidP="000753D6">
            <w:pPr>
              <w:spacing w:after="0" w:line="240" w:lineRule="auto"/>
              <w:ind w:left="-250"/>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103,03</w:t>
            </w:r>
          </w:p>
        </w:tc>
        <w:tc>
          <w:tcPr>
            <w:tcW w:w="851" w:type="dxa"/>
            <w:shd w:val="clear" w:color="auto" w:fill="BFBFBF" w:themeFill="background1" w:themeFillShade="BF"/>
            <w:noWrap/>
            <w:vAlign w:val="bottom"/>
            <w:hideMark/>
          </w:tcPr>
          <w:p w14:paraId="4225850E" w14:textId="77777777" w:rsidR="00326533" w:rsidRPr="00522104" w:rsidRDefault="00326533" w:rsidP="000753D6">
            <w:pPr>
              <w:spacing w:after="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8 455,71</w:t>
            </w:r>
          </w:p>
        </w:tc>
        <w:tc>
          <w:tcPr>
            <w:tcW w:w="709" w:type="dxa"/>
            <w:shd w:val="clear" w:color="auto" w:fill="BFBFBF" w:themeFill="background1" w:themeFillShade="BF"/>
            <w:noWrap/>
            <w:vAlign w:val="bottom"/>
            <w:hideMark/>
          </w:tcPr>
          <w:p w14:paraId="346E548F" w14:textId="77777777" w:rsidR="00326533" w:rsidRPr="00522104" w:rsidRDefault="00326533" w:rsidP="000753D6">
            <w:pPr>
              <w:spacing w:after="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108,35</w:t>
            </w:r>
          </w:p>
        </w:tc>
      </w:tr>
      <w:tr w:rsidR="00326533" w:rsidRPr="00522104" w14:paraId="54832A0A" w14:textId="77777777" w:rsidTr="000753D6">
        <w:trPr>
          <w:trHeight w:val="20"/>
        </w:trPr>
        <w:tc>
          <w:tcPr>
            <w:tcW w:w="2141" w:type="dxa"/>
            <w:shd w:val="clear" w:color="auto" w:fill="auto"/>
            <w:vAlign w:val="center"/>
            <w:hideMark/>
          </w:tcPr>
          <w:p w14:paraId="5870AEAF"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Налог на прибыль организаций</w:t>
            </w:r>
          </w:p>
        </w:tc>
        <w:tc>
          <w:tcPr>
            <w:tcW w:w="836" w:type="dxa"/>
            <w:shd w:val="clear" w:color="auto" w:fill="auto"/>
            <w:noWrap/>
            <w:vAlign w:val="bottom"/>
            <w:hideMark/>
          </w:tcPr>
          <w:p w14:paraId="75EA443D"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20 595,09</w:t>
            </w:r>
          </w:p>
        </w:tc>
        <w:tc>
          <w:tcPr>
            <w:tcW w:w="851" w:type="dxa"/>
            <w:shd w:val="clear" w:color="auto" w:fill="auto"/>
            <w:noWrap/>
            <w:vAlign w:val="bottom"/>
            <w:hideMark/>
          </w:tcPr>
          <w:p w14:paraId="3748E21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27 969,38</w:t>
            </w:r>
          </w:p>
        </w:tc>
        <w:tc>
          <w:tcPr>
            <w:tcW w:w="850" w:type="dxa"/>
            <w:shd w:val="clear" w:color="auto" w:fill="auto"/>
            <w:noWrap/>
            <w:vAlign w:val="bottom"/>
            <w:hideMark/>
          </w:tcPr>
          <w:p w14:paraId="0216E8B9"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21 004,74</w:t>
            </w:r>
          </w:p>
        </w:tc>
        <w:tc>
          <w:tcPr>
            <w:tcW w:w="851" w:type="dxa"/>
            <w:shd w:val="clear" w:color="auto" w:fill="auto"/>
            <w:noWrap/>
            <w:vAlign w:val="bottom"/>
            <w:hideMark/>
          </w:tcPr>
          <w:p w14:paraId="43EABC8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29 155,03</w:t>
            </w:r>
          </w:p>
        </w:tc>
        <w:tc>
          <w:tcPr>
            <w:tcW w:w="850" w:type="dxa"/>
            <w:shd w:val="clear" w:color="auto" w:fill="auto"/>
            <w:noWrap/>
            <w:vAlign w:val="bottom"/>
            <w:hideMark/>
          </w:tcPr>
          <w:p w14:paraId="1F5041A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29 661,02</w:t>
            </w:r>
          </w:p>
        </w:tc>
        <w:tc>
          <w:tcPr>
            <w:tcW w:w="851" w:type="dxa"/>
            <w:shd w:val="clear" w:color="auto" w:fill="auto"/>
            <w:noWrap/>
            <w:vAlign w:val="bottom"/>
            <w:hideMark/>
          </w:tcPr>
          <w:p w14:paraId="64F422C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30 740,87</w:t>
            </w:r>
          </w:p>
        </w:tc>
        <w:tc>
          <w:tcPr>
            <w:tcW w:w="851" w:type="dxa"/>
            <w:shd w:val="clear" w:color="auto" w:fill="auto"/>
            <w:noWrap/>
            <w:vAlign w:val="bottom"/>
            <w:hideMark/>
          </w:tcPr>
          <w:p w14:paraId="04E7D89C" w14:textId="77777777" w:rsidR="00326533" w:rsidRPr="00522104" w:rsidRDefault="00326533" w:rsidP="000753D6">
            <w:pPr>
              <w:spacing w:after="0" w:line="240" w:lineRule="auto"/>
              <w:ind w:left="-126"/>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1 185,65</w:t>
            </w:r>
          </w:p>
        </w:tc>
        <w:tc>
          <w:tcPr>
            <w:tcW w:w="708" w:type="dxa"/>
            <w:shd w:val="clear" w:color="auto" w:fill="auto"/>
            <w:noWrap/>
            <w:vAlign w:val="bottom"/>
            <w:hideMark/>
          </w:tcPr>
          <w:p w14:paraId="4D6D8CBF"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104,24</w:t>
            </w:r>
          </w:p>
        </w:tc>
        <w:tc>
          <w:tcPr>
            <w:tcW w:w="851" w:type="dxa"/>
            <w:shd w:val="clear" w:color="auto" w:fill="auto"/>
            <w:noWrap/>
            <w:vAlign w:val="bottom"/>
            <w:hideMark/>
          </w:tcPr>
          <w:p w14:paraId="7EBD5E7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8 150,29</w:t>
            </w:r>
          </w:p>
        </w:tc>
        <w:tc>
          <w:tcPr>
            <w:tcW w:w="709" w:type="dxa"/>
            <w:shd w:val="clear" w:color="auto" w:fill="auto"/>
            <w:noWrap/>
            <w:vAlign w:val="bottom"/>
            <w:hideMark/>
          </w:tcPr>
          <w:p w14:paraId="41DCF3D6"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138,80</w:t>
            </w:r>
          </w:p>
        </w:tc>
      </w:tr>
      <w:tr w:rsidR="00326533" w:rsidRPr="00522104" w14:paraId="10B0E02A" w14:textId="77777777" w:rsidTr="000753D6">
        <w:trPr>
          <w:trHeight w:val="20"/>
        </w:trPr>
        <w:tc>
          <w:tcPr>
            <w:tcW w:w="2141" w:type="dxa"/>
            <w:shd w:val="clear" w:color="auto" w:fill="auto"/>
            <w:vAlign w:val="center"/>
            <w:hideMark/>
          </w:tcPr>
          <w:p w14:paraId="46F09E8B"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Налог на доходы физических лиц</w:t>
            </w:r>
          </w:p>
        </w:tc>
        <w:tc>
          <w:tcPr>
            <w:tcW w:w="836" w:type="dxa"/>
            <w:shd w:val="clear" w:color="auto" w:fill="auto"/>
            <w:noWrap/>
            <w:vAlign w:val="bottom"/>
            <w:hideMark/>
          </w:tcPr>
          <w:p w14:paraId="17FF1D54"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38 987,94</w:t>
            </w:r>
          </w:p>
        </w:tc>
        <w:tc>
          <w:tcPr>
            <w:tcW w:w="851" w:type="dxa"/>
            <w:shd w:val="clear" w:color="auto" w:fill="auto"/>
            <w:noWrap/>
            <w:vAlign w:val="bottom"/>
            <w:hideMark/>
          </w:tcPr>
          <w:p w14:paraId="3114E965"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41 328,91</w:t>
            </w:r>
          </w:p>
        </w:tc>
        <w:tc>
          <w:tcPr>
            <w:tcW w:w="850" w:type="dxa"/>
            <w:shd w:val="clear" w:color="auto" w:fill="auto"/>
            <w:noWrap/>
            <w:vAlign w:val="bottom"/>
            <w:hideMark/>
          </w:tcPr>
          <w:p w14:paraId="0A4AA54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41 405,19</w:t>
            </w:r>
          </w:p>
        </w:tc>
        <w:tc>
          <w:tcPr>
            <w:tcW w:w="851" w:type="dxa"/>
            <w:shd w:val="clear" w:color="auto" w:fill="auto"/>
            <w:noWrap/>
            <w:vAlign w:val="bottom"/>
            <w:hideMark/>
          </w:tcPr>
          <w:p w14:paraId="6CB3699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44 056,62</w:t>
            </w:r>
          </w:p>
        </w:tc>
        <w:tc>
          <w:tcPr>
            <w:tcW w:w="850" w:type="dxa"/>
            <w:shd w:val="clear" w:color="auto" w:fill="auto"/>
            <w:noWrap/>
            <w:vAlign w:val="bottom"/>
            <w:hideMark/>
          </w:tcPr>
          <w:p w14:paraId="39E7773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47 008,41</w:t>
            </w:r>
          </w:p>
        </w:tc>
        <w:tc>
          <w:tcPr>
            <w:tcW w:w="851" w:type="dxa"/>
            <w:shd w:val="clear" w:color="auto" w:fill="auto"/>
            <w:noWrap/>
            <w:vAlign w:val="bottom"/>
            <w:hideMark/>
          </w:tcPr>
          <w:p w14:paraId="7FD44D77"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50 110,97</w:t>
            </w:r>
          </w:p>
        </w:tc>
        <w:tc>
          <w:tcPr>
            <w:tcW w:w="851" w:type="dxa"/>
            <w:shd w:val="clear" w:color="auto" w:fill="auto"/>
            <w:noWrap/>
            <w:vAlign w:val="bottom"/>
            <w:hideMark/>
          </w:tcPr>
          <w:p w14:paraId="0EACD70E" w14:textId="77777777" w:rsidR="00326533" w:rsidRPr="00522104" w:rsidRDefault="00326533" w:rsidP="000753D6">
            <w:pPr>
              <w:spacing w:after="0" w:line="240" w:lineRule="auto"/>
              <w:ind w:left="-126"/>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2 727,71</w:t>
            </w:r>
          </w:p>
        </w:tc>
        <w:tc>
          <w:tcPr>
            <w:tcW w:w="708" w:type="dxa"/>
            <w:shd w:val="clear" w:color="auto" w:fill="auto"/>
            <w:noWrap/>
            <w:vAlign w:val="bottom"/>
            <w:hideMark/>
          </w:tcPr>
          <w:p w14:paraId="17C2DB47"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106,60</w:t>
            </w:r>
          </w:p>
        </w:tc>
        <w:tc>
          <w:tcPr>
            <w:tcW w:w="851" w:type="dxa"/>
            <w:shd w:val="clear" w:color="auto" w:fill="auto"/>
            <w:noWrap/>
            <w:vAlign w:val="bottom"/>
            <w:hideMark/>
          </w:tcPr>
          <w:p w14:paraId="2962E63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2 651,43</w:t>
            </w:r>
          </w:p>
        </w:tc>
        <w:tc>
          <w:tcPr>
            <w:tcW w:w="709" w:type="dxa"/>
            <w:shd w:val="clear" w:color="auto" w:fill="auto"/>
            <w:noWrap/>
            <w:vAlign w:val="bottom"/>
            <w:hideMark/>
          </w:tcPr>
          <w:p w14:paraId="5225D6DE"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106,40</w:t>
            </w:r>
          </w:p>
        </w:tc>
      </w:tr>
      <w:tr w:rsidR="00326533" w:rsidRPr="00522104" w14:paraId="78961F30" w14:textId="77777777" w:rsidTr="000753D6">
        <w:trPr>
          <w:trHeight w:val="20"/>
        </w:trPr>
        <w:tc>
          <w:tcPr>
            <w:tcW w:w="2141" w:type="dxa"/>
            <w:shd w:val="clear" w:color="auto" w:fill="auto"/>
            <w:vAlign w:val="center"/>
            <w:hideMark/>
          </w:tcPr>
          <w:p w14:paraId="6C9452BE"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Акцизы по подакцизным товарам (продукции), производимым на территории Российской Федерации</w:t>
            </w:r>
          </w:p>
        </w:tc>
        <w:tc>
          <w:tcPr>
            <w:tcW w:w="836" w:type="dxa"/>
            <w:shd w:val="clear" w:color="auto" w:fill="auto"/>
            <w:noWrap/>
            <w:vAlign w:val="bottom"/>
            <w:hideMark/>
          </w:tcPr>
          <w:p w14:paraId="113738AA"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10 928,62</w:t>
            </w:r>
          </w:p>
        </w:tc>
        <w:tc>
          <w:tcPr>
            <w:tcW w:w="851" w:type="dxa"/>
            <w:shd w:val="clear" w:color="auto" w:fill="auto"/>
            <w:noWrap/>
            <w:vAlign w:val="bottom"/>
            <w:hideMark/>
          </w:tcPr>
          <w:p w14:paraId="0E858C2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10 928,62</w:t>
            </w:r>
          </w:p>
        </w:tc>
        <w:tc>
          <w:tcPr>
            <w:tcW w:w="850" w:type="dxa"/>
            <w:shd w:val="clear" w:color="auto" w:fill="auto"/>
            <w:noWrap/>
            <w:vAlign w:val="bottom"/>
            <w:hideMark/>
          </w:tcPr>
          <w:p w14:paraId="345D949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12 928,02</w:t>
            </w:r>
          </w:p>
        </w:tc>
        <w:tc>
          <w:tcPr>
            <w:tcW w:w="851" w:type="dxa"/>
            <w:shd w:val="clear" w:color="auto" w:fill="auto"/>
            <w:noWrap/>
            <w:vAlign w:val="bottom"/>
            <w:hideMark/>
          </w:tcPr>
          <w:p w14:paraId="051982E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11 736,50</w:t>
            </w:r>
          </w:p>
        </w:tc>
        <w:tc>
          <w:tcPr>
            <w:tcW w:w="850" w:type="dxa"/>
            <w:shd w:val="clear" w:color="auto" w:fill="auto"/>
            <w:noWrap/>
            <w:vAlign w:val="bottom"/>
            <w:hideMark/>
          </w:tcPr>
          <w:p w14:paraId="3EC0886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11 833,90</w:t>
            </w:r>
          </w:p>
        </w:tc>
        <w:tc>
          <w:tcPr>
            <w:tcW w:w="851" w:type="dxa"/>
            <w:shd w:val="clear" w:color="auto" w:fill="auto"/>
            <w:noWrap/>
            <w:vAlign w:val="bottom"/>
            <w:hideMark/>
          </w:tcPr>
          <w:p w14:paraId="7B3E9EA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11 834,15</w:t>
            </w:r>
          </w:p>
        </w:tc>
        <w:tc>
          <w:tcPr>
            <w:tcW w:w="851" w:type="dxa"/>
            <w:shd w:val="clear" w:color="auto" w:fill="auto"/>
            <w:noWrap/>
            <w:vAlign w:val="bottom"/>
            <w:hideMark/>
          </w:tcPr>
          <w:p w14:paraId="2C5868F2" w14:textId="77777777" w:rsidR="00326533" w:rsidRPr="00522104" w:rsidRDefault="00326533" w:rsidP="000753D6">
            <w:pPr>
              <w:spacing w:after="0" w:line="240" w:lineRule="auto"/>
              <w:ind w:left="-126"/>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807,88</w:t>
            </w:r>
          </w:p>
        </w:tc>
        <w:tc>
          <w:tcPr>
            <w:tcW w:w="708" w:type="dxa"/>
            <w:shd w:val="clear" w:color="auto" w:fill="auto"/>
            <w:noWrap/>
            <w:vAlign w:val="bottom"/>
            <w:hideMark/>
          </w:tcPr>
          <w:p w14:paraId="56BED977"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107,39</w:t>
            </w:r>
          </w:p>
        </w:tc>
        <w:tc>
          <w:tcPr>
            <w:tcW w:w="851" w:type="dxa"/>
            <w:shd w:val="clear" w:color="auto" w:fill="auto"/>
            <w:noWrap/>
            <w:vAlign w:val="bottom"/>
            <w:hideMark/>
          </w:tcPr>
          <w:p w14:paraId="72A983F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-1 191,52</w:t>
            </w:r>
          </w:p>
        </w:tc>
        <w:tc>
          <w:tcPr>
            <w:tcW w:w="709" w:type="dxa"/>
            <w:shd w:val="clear" w:color="auto" w:fill="auto"/>
            <w:noWrap/>
            <w:vAlign w:val="bottom"/>
            <w:hideMark/>
          </w:tcPr>
          <w:p w14:paraId="6C399856"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90,78</w:t>
            </w:r>
          </w:p>
        </w:tc>
      </w:tr>
      <w:tr w:rsidR="00326533" w:rsidRPr="00522104" w14:paraId="47E292E8" w14:textId="77777777" w:rsidTr="000753D6">
        <w:trPr>
          <w:trHeight w:val="20"/>
        </w:trPr>
        <w:tc>
          <w:tcPr>
            <w:tcW w:w="2141" w:type="dxa"/>
            <w:shd w:val="clear" w:color="auto" w:fill="auto"/>
            <w:vAlign w:val="center"/>
            <w:hideMark/>
          </w:tcPr>
          <w:p w14:paraId="32376FB2"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Налог, взимаемый в связи с применением упрощенной системы налогообложения</w:t>
            </w:r>
          </w:p>
        </w:tc>
        <w:tc>
          <w:tcPr>
            <w:tcW w:w="836" w:type="dxa"/>
            <w:shd w:val="clear" w:color="auto" w:fill="auto"/>
            <w:noWrap/>
            <w:vAlign w:val="bottom"/>
            <w:hideMark/>
          </w:tcPr>
          <w:p w14:paraId="13C4D1DD"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7 192,36</w:t>
            </w:r>
          </w:p>
        </w:tc>
        <w:tc>
          <w:tcPr>
            <w:tcW w:w="851" w:type="dxa"/>
            <w:shd w:val="clear" w:color="auto" w:fill="auto"/>
            <w:noWrap/>
            <w:vAlign w:val="bottom"/>
            <w:hideMark/>
          </w:tcPr>
          <w:p w14:paraId="00B3C8B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8 753,35</w:t>
            </w:r>
          </w:p>
        </w:tc>
        <w:tc>
          <w:tcPr>
            <w:tcW w:w="850" w:type="dxa"/>
            <w:shd w:val="clear" w:color="auto" w:fill="auto"/>
            <w:noWrap/>
            <w:vAlign w:val="bottom"/>
            <w:hideMark/>
          </w:tcPr>
          <w:p w14:paraId="0C285F5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8 478,70</w:t>
            </w:r>
          </w:p>
        </w:tc>
        <w:tc>
          <w:tcPr>
            <w:tcW w:w="851" w:type="dxa"/>
            <w:shd w:val="clear" w:color="auto" w:fill="auto"/>
            <w:noWrap/>
            <w:vAlign w:val="bottom"/>
            <w:hideMark/>
          </w:tcPr>
          <w:p w14:paraId="03DD4E7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7 383,69</w:t>
            </w:r>
          </w:p>
        </w:tc>
        <w:tc>
          <w:tcPr>
            <w:tcW w:w="850" w:type="dxa"/>
            <w:shd w:val="clear" w:color="auto" w:fill="auto"/>
            <w:noWrap/>
            <w:vAlign w:val="bottom"/>
            <w:hideMark/>
          </w:tcPr>
          <w:p w14:paraId="5C1703E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7 664,27</w:t>
            </w:r>
          </w:p>
        </w:tc>
        <w:tc>
          <w:tcPr>
            <w:tcW w:w="851" w:type="dxa"/>
            <w:shd w:val="clear" w:color="auto" w:fill="auto"/>
            <w:noWrap/>
            <w:vAlign w:val="bottom"/>
            <w:hideMark/>
          </w:tcPr>
          <w:p w14:paraId="79FCA11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7 963,18</w:t>
            </w:r>
          </w:p>
        </w:tc>
        <w:tc>
          <w:tcPr>
            <w:tcW w:w="851" w:type="dxa"/>
            <w:shd w:val="clear" w:color="auto" w:fill="auto"/>
            <w:noWrap/>
            <w:vAlign w:val="bottom"/>
            <w:hideMark/>
          </w:tcPr>
          <w:p w14:paraId="6BBE0444" w14:textId="77777777" w:rsidR="00326533" w:rsidRPr="00522104" w:rsidRDefault="00326533" w:rsidP="000753D6">
            <w:pPr>
              <w:spacing w:after="0" w:line="240" w:lineRule="auto"/>
              <w:ind w:left="-126"/>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-1 369,66</w:t>
            </w:r>
          </w:p>
        </w:tc>
        <w:tc>
          <w:tcPr>
            <w:tcW w:w="708" w:type="dxa"/>
            <w:shd w:val="clear" w:color="auto" w:fill="auto"/>
            <w:noWrap/>
            <w:vAlign w:val="bottom"/>
            <w:hideMark/>
          </w:tcPr>
          <w:p w14:paraId="73B69505"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84,35</w:t>
            </w:r>
          </w:p>
        </w:tc>
        <w:tc>
          <w:tcPr>
            <w:tcW w:w="851" w:type="dxa"/>
            <w:shd w:val="clear" w:color="auto" w:fill="auto"/>
            <w:noWrap/>
            <w:vAlign w:val="bottom"/>
            <w:hideMark/>
          </w:tcPr>
          <w:p w14:paraId="3E7FC57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-1 095,01</w:t>
            </w:r>
          </w:p>
        </w:tc>
        <w:tc>
          <w:tcPr>
            <w:tcW w:w="709" w:type="dxa"/>
            <w:shd w:val="clear" w:color="auto" w:fill="auto"/>
            <w:noWrap/>
            <w:vAlign w:val="bottom"/>
            <w:hideMark/>
          </w:tcPr>
          <w:p w14:paraId="46C67E28"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87,09</w:t>
            </w:r>
          </w:p>
        </w:tc>
      </w:tr>
      <w:tr w:rsidR="00326533" w:rsidRPr="00522104" w14:paraId="08851A5B" w14:textId="77777777" w:rsidTr="000753D6">
        <w:trPr>
          <w:trHeight w:val="20"/>
        </w:trPr>
        <w:tc>
          <w:tcPr>
            <w:tcW w:w="2141" w:type="dxa"/>
            <w:shd w:val="clear" w:color="auto" w:fill="auto"/>
            <w:vAlign w:val="center"/>
            <w:hideMark/>
          </w:tcPr>
          <w:p w14:paraId="5A2AA7F8"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Налог на профессиональный доход</w:t>
            </w:r>
          </w:p>
        </w:tc>
        <w:tc>
          <w:tcPr>
            <w:tcW w:w="836" w:type="dxa"/>
            <w:shd w:val="clear" w:color="auto" w:fill="auto"/>
            <w:noWrap/>
            <w:vAlign w:val="bottom"/>
            <w:hideMark/>
          </w:tcPr>
          <w:p w14:paraId="317ABF32"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34,00</w:t>
            </w:r>
          </w:p>
        </w:tc>
        <w:tc>
          <w:tcPr>
            <w:tcW w:w="851" w:type="dxa"/>
            <w:shd w:val="clear" w:color="auto" w:fill="auto"/>
            <w:noWrap/>
            <w:vAlign w:val="bottom"/>
            <w:hideMark/>
          </w:tcPr>
          <w:p w14:paraId="4D059C6F"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54,20</w:t>
            </w:r>
          </w:p>
        </w:tc>
        <w:tc>
          <w:tcPr>
            <w:tcW w:w="850" w:type="dxa"/>
            <w:shd w:val="clear" w:color="auto" w:fill="auto"/>
            <w:noWrap/>
            <w:vAlign w:val="bottom"/>
            <w:hideMark/>
          </w:tcPr>
          <w:p w14:paraId="6B4F1BC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36,00</w:t>
            </w:r>
          </w:p>
        </w:tc>
        <w:tc>
          <w:tcPr>
            <w:tcW w:w="851" w:type="dxa"/>
            <w:shd w:val="clear" w:color="auto" w:fill="auto"/>
            <w:noWrap/>
            <w:vAlign w:val="bottom"/>
            <w:hideMark/>
          </w:tcPr>
          <w:p w14:paraId="54EA5A44"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72,35</w:t>
            </w:r>
          </w:p>
        </w:tc>
        <w:tc>
          <w:tcPr>
            <w:tcW w:w="850" w:type="dxa"/>
            <w:shd w:val="clear" w:color="auto" w:fill="auto"/>
            <w:noWrap/>
            <w:vAlign w:val="bottom"/>
            <w:hideMark/>
          </w:tcPr>
          <w:p w14:paraId="3D95D7F7"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75,24</w:t>
            </w:r>
          </w:p>
        </w:tc>
        <w:tc>
          <w:tcPr>
            <w:tcW w:w="851" w:type="dxa"/>
            <w:shd w:val="clear" w:color="auto" w:fill="auto"/>
            <w:noWrap/>
            <w:vAlign w:val="bottom"/>
            <w:hideMark/>
          </w:tcPr>
          <w:p w14:paraId="388B02D6"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78,25</w:t>
            </w:r>
          </w:p>
        </w:tc>
        <w:tc>
          <w:tcPr>
            <w:tcW w:w="851" w:type="dxa"/>
            <w:shd w:val="clear" w:color="auto" w:fill="auto"/>
            <w:noWrap/>
            <w:vAlign w:val="bottom"/>
            <w:hideMark/>
          </w:tcPr>
          <w:p w14:paraId="47F898F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18,15</w:t>
            </w:r>
          </w:p>
        </w:tc>
        <w:tc>
          <w:tcPr>
            <w:tcW w:w="708" w:type="dxa"/>
            <w:shd w:val="clear" w:color="auto" w:fill="auto"/>
            <w:noWrap/>
            <w:vAlign w:val="bottom"/>
            <w:hideMark/>
          </w:tcPr>
          <w:p w14:paraId="27122C88"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133,49</w:t>
            </w:r>
          </w:p>
        </w:tc>
        <w:tc>
          <w:tcPr>
            <w:tcW w:w="851" w:type="dxa"/>
            <w:shd w:val="clear" w:color="auto" w:fill="auto"/>
            <w:noWrap/>
            <w:vAlign w:val="bottom"/>
            <w:hideMark/>
          </w:tcPr>
          <w:p w14:paraId="7F43123A"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36,35</w:t>
            </w:r>
          </w:p>
        </w:tc>
        <w:tc>
          <w:tcPr>
            <w:tcW w:w="709" w:type="dxa"/>
            <w:shd w:val="clear" w:color="auto" w:fill="auto"/>
            <w:noWrap/>
            <w:vAlign w:val="bottom"/>
            <w:hideMark/>
          </w:tcPr>
          <w:p w14:paraId="4B1F3D72"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200,97</w:t>
            </w:r>
          </w:p>
        </w:tc>
      </w:tr>
      <w:tr w:rsidR="00326533" w:rsidRPr="00522104" w14:paraId="7B6310BE" w14:textId="77777777" w:rsidTr="000753D6">
        <w:trPr>
          <w:trHeight w:val="20"/>
        </w:trPr>
        <w:tc>
          <w:tcPr>
            <w:tcW w:w="2141" w:type="dxa"/>
            <w:shd w:val="clear" w:color="auto" w:fill="auto"/>
            <w:vAlign w:val="center"/>
            <w:hideMark/>
          </w:tcPr>
          <w:p w14:paraId="7550C3A9"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Налог на имущество организаций</w:t>
            </w:r>
          </w:p>
        </w:tc>
        <w:tc>
          <w:tcPr>
            <w:tcW w:w="836" w:type="dxa"/>
            <w:shd w:val="clear" w:color="auto" w:fill="auto"/>
            <w:noWrap/>
            <w:vAlign w:val="bottom"/>
            <w:hideMark/>
          </w:tcPr>
          <w:p w14:paraId="366F29D9"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12 448,14</w:t>
            </w:r>
          </w:p>
        </w:tc>
        <w:tc>
          <w:tcPr>
            <w:tcW w:w="851" w:type="dxa"/>
            <w:shd w:val="clear" w:color="auto" w:fill="auto"/>
            <w:noWrap/>
            <w:vAlign w:val="bottom"/>
            <w:hideMark/>
          </w:tcPr>
          <w:p w14:paraId="61A5429F"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12 448,14</w:t>
            </w:r>
          </w:p>
        </w:tc>
        <w:tc>
          <w:tcPr>
            <w:tcW w:w="850" w:type="dxa"/>
            <w:shd w:val="clear" w:color="auto" w:fill="auto"/>
            <w:noWrap/>
            <w:vAlign w:val="bottom"/>
            <w:hideMark/>
          </w:tcPr>
          <w:p w14:paraId="1BF9B0F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12 799,23</w:t>
            </w:r>
          </w:p>
        </w:tc>
        <w:tc>
          <w:tcPr>
            <w:tcW w:w="851" w:type="dxa"/>
            <w:shd w:val="clear" w:color="auto" w:fill="auto"/>
            <w:noWrap/>
            <w:vAlign w:val="bottom"/>
            <w:hideMark/>
          </w:tcPr>
          <w:p w14:paraId="5506E073"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12 575,36</w:t>
            </w:r>
          </w:p>
        </w:tc>
        <w:tc>
          <w:tcPr>
            <w:tcW w:w="850" w:type="dxa"/>
            <w:shd w:val="clear" w:color="auto" w:fill="auto"/>
            <w:noWrap/>
            <w:vAlign w:val="bottom"/>
            <w:hideMark/>
          </w:tcPr>
          <w:p w14:paraId="03DD8B2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12 785,36</w:t>
            </w:r>
          </w:p>
        </w:tc>
        <w:tc>
          <w:tcPr>
            <w:tcW w:w="851" w:type="dxa"/>
            <w:shd w:val="clear" w:color="auto" w:fill="auto"/>
            <w:noWrap/>
            <w:vAlign w:val="bottom"/>
            <w:hideMark/>
          </w:tcPr>
          <w:p w14:paraId="652EFAF4"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12 785,36</w:t>
            </w:r>
          </w:p>
        </w:tc>
        <w:tc>
          <w:tcPr>
            <w:tcW w:w="851" w:type="dxa"/>
            <w:shd w:val="clear" w:color="auto" w:fill="auto"/>
            <w:noWrap/>
            <w:vAlign w:val="bottom"/>
            <w:hideMark/>
          </w:tcPr>
          <w:p w14:paraId="565E428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127,22</w:t>
            </w:r>
          </w:p>
        </w:tc>
        <w:tc>
          <w:tcPr>
            <w:tcW w:w="708" w:type="dxa"/>
            <w:shd w:val="clear" w:color="auto" w:fill="auto"/>
            <w:noWrap/>
            <w:vAlign w:val="bottom"/>
            <w:hideMark/>
          </w:tcPr>
          <w:p w14:paraId="792BE1E0"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101,02</w:t>
            </w:r>
          </w:p>
        </w:tc>
        <w:tc>
          <w:tcPr>
            <w:tcW w:w="851" w:type="dxa"/>
            <w:shd w:val="clear" w:color="auto" w:fill="auto"/>
            <w:noWrap/>
            <w:vAlign w:val="bottom"/>
            <w:hideMark/>
          </w:tcPr>
          <w:p w14:paraId="2385599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-223,87</w:t>
            </w:r>
          </w:p>
        </w:tc>
        <w:tc>
          <w:tcPr>
            <w:tcW w:w="709" w:type="dxa"/>
            <w:shd w:val="clear" w:color="auto" w:fill="auto"/>
            <w:noWrap/>
            <w:vAlign w:val="bottom"/>
            <w:hideMark/>
          </w:tcPr>
          <w:p w14:paraId="4DCAE293"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98,25</w:t>
            </w:r>
          </w:p>
        </w:tc>
      </w:tr>
      <w:tr w:rsidR="00326533" w:rsidRPr="00522104" w14:paraId="688B59A6" w14:textId="77777777" w:rsidTr="000753D6">
        <w:trPr>
          <w:trHeight w:val="20"/>
        </w:trPr>
        <w:tc>
          <w:tcPr>
            <w:tcW w:w="2141" w:type="dxa"/>
            <w:shd w:val="clear" w:color="auto" w:fill="auto"/>
            <w:vAlign w:val="center"/>
            <w:hideMark/>
          </w:tcPr>
          <w:p w14:paraId="22864615"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Транспортный налог</w:t>
            </w:r>
          </w:p>
        </w:tc>
        <w:tc>
          <w:tcPr>
            <w:tcW w:w="836" w:type="dxa"/>
            <w:shd w:val="clear" w:color="auto" w:fill="auto"/>
            <w:noWrap/>
            <w:vAlign w:val="bottom"/>
            <w:hideMark/>
          </w:tcPr>
          <w:p w14:paraId="143B4D40"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2 269,25</w:t>
            </w:r>
          </w:p>
        </w:tc>
        <w:tc>
          <w:tcPr>
            <w:tcW w:w="851" w:type="dxa"/>
            <w:shd w:val="clear" w:color="auto" w:fill="auto"/>
            <w:noWrap/>
            <w:vAlign w:val="bottom"/>
            <w:hideMark/>
          </w:tcPr>
          <w:p w14:paraId="420F5DE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2 269,25</w:t>
            </w:r>
          </w:p>
        </w:tc>
        <w:tc>
          <w:tcPr>
            <w:tcW w:w="850" w:type="dxa"/>
            <w:shd w:val="clear" w:color="auto" w:fill="auto"/>
            <w:noWrap/>
            <w:vAlign w:val="bottom"/>
            <w:hideMark/>
          </w:tcPr>
          <w:p w14:paraId="62913B1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2 293,97</w:t>
            </w:r>
          </w:p>
        </w:tc>
        <w:tc>
          <w:tcPr>
            <w:tcW w:w="851" w:type="dxa"/>
            <w:shd w:val="clear" w:color="auto" w:fill="auto"/>
            <w:noWrap/>
            <w:vAlign w:val="bottom"/>
            <w:hideMark/>
          </w:tcPr>
          <w:p w14:paraId="789567C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2 290,35</w:t>
            </w:r>
          </w:p>
        </w:tc>
        <w:tc>
          <w:tcPr>
            <w:tcW w:w="850" w:type="dxa"/>
            <w:shd w:val="clear" w:color="auto" w:fill="auto"/>
            <w:noWrap/>
            <w:vAlign w:val="bottom"/>
            <w:hideMark/>
          </w:tcPr>
          <w:p w14:paraId="16BA350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2 290,35</w:t>
            </w:r>
          </w:p>
        </w:tc>
        <w:tc>
          <w:tcPr>
            <w:tcW w:w="851" w:type="dxa"/>
            <w:shd w:val="clear" w:color="auto" w:fill="auto"/>
            <w:noWrap/>
            <w:vAlign w:val="bottom"/>
            <w:hideMark/>
          </w:tcPr>
          <w:p w14:paraId="00900B6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2 290,35</w:t>
            </w:r>
          </w:p>
        </w:tc>
        <w:tc>
          <w:tcPr>
            <w:tcW w:w="851" w:type="dxa"/>
            <w:shd w:val="clear" w:color="auto" w:fill="auto"/>
            <w:noWrap/>
            <w:vAlign w:val="bottom"/>
            <w:hideMark/>
          </w:tcPr>
          <w:p w14:paraId="3112566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21,10</w:t>
            </w:r>
          </w:p>
        </w:tc>
        <w:tc>
          <w:tcPr>
            <w:tcW w:w="708" w:type="dxa"/>
            <w:shd w:val="clear" w:color="auto" w:fill="auto"/>
            <w:noWrap/>
            <w:vAlign w:val="bottom"/>
            <w:hideMark/>
          </w:tcPr>
          <w:p w14:paraId="278A2535"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100,93</w:t>
            </w:r>
          </w:p>
        </w:tc>
        <w:tc>
          <w:tcPr>
            <w:tcW w:w="851" w:type="dxa"/>
            <w:shd w:val="clear" w:color="auto" w:fill="auto"/>
            <w:noWrap/>
            <w:vAlign w:val="bottom"/>
            <w:hideMark/>
          </w:tcPr>
          <w:p w14:paraId="79C23B87"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-3,62</w:t>
            </w:r>
          </w:p>
        </w:tc>
        <w:tc>
          <w:tcPr>
            <w:tcW w:w="709" w:type="dxa"/>
            <w:shd w:val="clear" w:color="auto" w:fill="auto"/>
            <w:noWrap/>
            <w:vAlign w:val="bottom"/>
            <w:hideMark/>
          </w:tcPr>
          <w:p w14:paraId="2B72A75D"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99,84</w:t>
            </w:r>
          </w:p>
        </w:tc>
      </w:tr>
      <w:tr w:rsidR="00326533" w:rsidRPr="00522104" w14:paraId="5416EA40" w14:textId="77777777" w:rsidTr="000753D6">
        <w:trPr>
          <w:trHeight w:val="20"/>
        </w:trPr>
        <w:tc>
          <w:tcPr>
            <w:tcW w:w="2141" w:type="dxa"/>
            <w:shd w:val="clear" w:color="auto" w:fill="auto"/>
            <w:vAlign w:val="center"/>
            <w:hideMark/>
          </w:tcPr>
          <w:p w14:paraId="44FB1E5B"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Налог на игорный бизнес</w:t>
            </w:r>
          </w:p>
        </w:tc>
        <w:tc>
          <w:tcPr>
            <w:tcW w:w="836" w:type="dxa"/>
            <w:shd w:val="clear" w:color="auto" w:fill="auto"/>
            <w:noWrap/>
            <w:vAlign w:val="bottom"/>
            <w:hideMark/>
          </w:tcPr>
          <w:p w14:paraId="70C855DC"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115,44</w:t>
            </w:r>
          </w:p>
        </w:tc>
        <w:tc>
          <w:tcPr>
            <w:tcW w:w="851" w:type="dxa"/>
            <w:shd w:val="clear" w:color="auto" w:fill="auto"/>
            <w:noWrap/>
            <w:vAlign w:val="bottom"/>
            <w:hideMark/>
          </w:tcPr>
          <w:p w14:paraId="5092B9B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115,44</w:t>
            </w:r>
          </w:p>
        </w:tc>
        <w:tc>
          <w:tcPr>
            <w:tcW w:w="850" w:type="dxa"/>
            <w:shd w:val="clear" w:color="auto" w:fill="auto"/>
            <w:noWrap/>
            <w:vAlign w:val="bottom"/>
            <w:hideMark/>
          </w:tcPr>
          <w:p w14:paraId="27EC087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147,63</w:t>
            </w:r>
          </w:p>
        </w:tc>
        <w:tc>
          <w:tcPr>
            <w:tcW w:w="851" w:type="dxa"/>
            <w:shd w:val="clear" w:color="auto" w:fill="auto"/>
            <w:noWrap/>
            <w:vAlign w:val="bottom"/>
            <w:hideMark/>
          </w:tcPr>
          <w:p w14:paraId="250E56D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143,58</w:t>
            </w:r>
          </w:p>
        </w:tc>
        <w:tc>
          <w:tcPr>
            <w:tcW w:w="850" w:type="dxa"/>
            <w:shd w:val="clear" w:color="auto" w:fill="auto"/>
            <w:noWrap/>
            <w:vAlign w:val="bottom"/>
            <w:hideMark/>
          </w:tcPr>
          <w:p w14:paraId="32253444"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160,26</w:t>
            </w:r>
          </w:p>
        </w:tc>
        <w:tc>
          <w:tcPr>
            <w:tcW w:w="851" w:type="dxa"/>
            <w:shd w:val="clear" w:color="auto" w:fill="auto"/>
            <w:noWrap/>
            <w:vAlign w:val="bottom"/>
            <w:hideMark/>
          </w:tcPr>
          <w:p w14:paraId="5852F236"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209,76</w:t>
            </w:r>
          </w:p>
        </w:tc>
        <w:tc>
          <w:tcPr>
            <w:tcW w:w="851" w:type="dxa"/>
            <w:shd w:val="clear" w:color="auto" w:fill="auto"/>
            <w:noWrap/>
            <w:vAlign w:val="bottom"/>
            <w:hideMark/>
          </w:tcPr>
          <w:p w14:paraId="0122F5D6"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28,14</w:t>
            </w:r>
          </w:p>
        </w:tc>
        <w:tc>
          <w:tcPr>
            <w:tcW w:w="708" w:type="dxa"/>
            <w:shd w:val="clear" w:color="auto" w:fill="auto"/>
            <w:noWrap/>
            <w:vAlign w:val="bottom"/>
            <w:hideMark/>
          </w:tcPr>
          <w:p w14:paraId="353DBBA7"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124,38</w:t>
            </w:r>
          </w:p>
        </w:tc>
        <w:tc>
          <w:tcPr>
            <w:tcW w:w="851" w:type="dxa"/>
            <w:shd w:val="clear" w:color="auto" w:fill="auto"/>
            <w:noWrap/>
            <w:vAlign w:val="bottom"/>
            <w:hideMark/>
          </w:tcPr>
          <w:p w14:paraId="1C54D64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-4,05</w:t>
            </w:r>
          </w:p>
        </w:tc>
        <w:tc>
          <w:tcPr>
            <w:tcW w:w="709" w:type="dxa"/>
            <w:shd w:val="clear" w:color="auto" w:fill="auto"/>
            <w:noWrap/>
            <w:vAlign w:val="bottom"/>
            <w:hideMark/>
          </w:tcPr>
          <w:p w14:paraId="7DAC3FC2"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97,26</w:t>
            </w:r>
          </w:p>
        </w:tc>
      </w:tr>
      <w:tr w:rsidR="00326533" w:rsidRPr="00522104" w14:paraId="555D59B5" w14:textId="77777777" w:rsidTr="000753D6">
        <w:trPr>
          <w:trHeight w:val="20"/>
        </w:trPr>
        <w:tc>
          <w:tcPr>
            <w:tcW w:w="2141" w:type="dxa"/>
            <w:shd w:val="clear" w:color="auto" w:fill="auto"/>
            <w:vAlign w:val="center"/>
            <w:hideMark/>
          </w:tcPr>
          <w:p w14:paraId="0E2589B9"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Налог на добычу полезных ископаемых</w:t>
            </w:r>
          </w:p>
        </w:tc>
        <w:tc>
          <w:tcPr>
            <w:tcW w:w="836" w:type="dxa"/>
            <w:shd w:val="clear" w:color="auto" w:fill="auto"/>
            <w:noWrap/>
            <w:vAlign w:val="bottom"/>
            <w:hideMark/>
          </w:tcPr>
          <w:p w14:paraId="512123F8"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276,27</w:t>
            </w:r>
          </w:p>
        </w:tc>
        <w:tc>
          <w:tcPr>
            <w:tcW w:w="851" w:type="dxa"/>
            <w:shd w:val="clear" w:color="auto" w:fill="auto"/>
            <w:noWrap/>
            <w:vAlign w:val="bottom"/>
            <w:hideMark/>
          </w:tcPr>
          <w:p w14:paraId="7F6DCFE9"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276,28</w:t>
            </w:r>
          </w:p>
        </w:tc>
        <w:tc>
          <w:tcPr>
            <w:tcW w:w="850" w:type="dxa"/>
            <w:shd w:val="clear" w:color="auto" w:fill="auto"/>
            <w:noWrap/>
            <w:vAlign w:val="bottom"/>
            <w:hideMark/>
          </w:tcPr>
          <w:p w14:paraId="32CE1049"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285,92</w:t>
            </w:r>
          </w:p>
        </w:tc>
        <w:tc>
          <w:tcPr>
            <w:tcW w:w="851" w:type="dxa"/>
            <w:shd w:val="clear" w:color="auto" w:fill="auto"/>
            <w:noWrap/>
            <w:vAlign w:val="bottom"/>
            <w:hideMark/>
          </w:tcPr>
          <w:p w14:paraId="2653971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309,40</w:t>
            </w:r>
          </w:p>
        </w:tc>
        <w:tc>
          <w:tcPr>
            <w:tcW w:w="850" w:type="dxa"/>
            <w:shd w:val="clear" w:color="auto" w:fill="auto"/>
            <w:noWrap/>
            <w:vAlign w:val="bottom"/>
            <w:hideMark/>
          </w:tcPr>
          <w:p w14:paraId="6FD712C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319,11</w:t>
            </w:r>
          </w:p>
        </w:tc>
        <w:tc>
          <w:tcPr>
            <w:tcW w:w="851" w:type="dxa"/>
            <w:shd w:val="clear" w:color="auto" w:fill="auto"/>
            <w:noWrap/>
            <w:vAlign w:val="bottom"/>
            <w:hideMark/>
          </w:tcPr>
          <w:p w14:paraId="28F877E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327,37</w:t>
            </w:r>
          </w:p>
        </w:tc>
        <w:tc>
          <w:tcPr>
            <w:tcW w:w="851" w:type="dxa"/>
            <w:shd w:val="clear" w:color="auto" w:fill="auto"/>
            <w:noWrap/>
            <w:vAlign w:val="bottom"/>
            <w:hideMark/>
          </w:tcPr>
          <w:p w14:paraId="5F1D568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33,12</w:t>
            </w:r>
          </w:p>
        </w:tc>
        <w:tc>
          <w:tcPr>
            <w:tcW w:w="708" w:type="dxa"/>
            <w:shd w:val="clear" w:color="auto" w:fill="auto"/>
            <w:noWrap/>
            <w:vAlign w:val="bottom"/>
            <w:hideMark/>
          </w:tcPr>
          <w:p w14:paraId="038E3372"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111,99</w:t>
            </w:r>
          </w:p>
        </w:tc>
        <w:tc>
          <w:tcPr>
            <w:tcW w:w="851" w:type="dxa"/>
            <w:shd w:val="clear" w:color="auto" w:fill="auto"/>
            <w:noWrap/>
            <w:vAlign w:val="bottom"/>
            <w:hideMark/>
          </w:tcPr>
          <w:p w14:paraId="0158563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23,48</w:t>
            </w:r>
          </w:p>
        </w:tc>
        <w:tc>
          <w:tcPr>
            <w:tcW w:w="709" w:type="dxa"/>
            <w:shd w:val="clear" w:color="auto" w:fill="auto"/>
            <w:noWrap/>
            <w:vAlign w:val="bottom"/>
            <w:hideMark/>
          </w:tcPr>
          <w:p w14:paraId="34EF24A3"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108,21</w:t>
            </w:r>
          </w:p>
        </w:tc>
      </w:tr>
      <w:tr w:rsidR="00326533" w:rsidRPr="00522104" w14:paraId="1B96509B" w14:textId="77777777" w:rsidTr="000753D6">
        <w:trPr>
          <w:trHeight w:val="20"/>
        </w:trPr>
        <w:tc>
          <w:tcPr>
            <w:tcW w:w="2141" w:type="dxa"/>
            <w:shd w:val="clear" w:color="auto" w:fill="auto"/>
            <w:vAlign w:val="center"/>
            <w:hideMark/>
          </w:tcPr>
          <w:p w14:paraId="79474795"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Сборы за пользование объектами животного мира и за пользование объектами водных биологических ресурсов</w:t>
            </w:r>
          </w:p>
        </w:tc>
        <w:tc>
          <w:tcPr>
            <w:tcW w:w="836" w:type="dxa"/>
            <w:shd w:val="clear" w:color="auto" w:fill="auto"/>
            <w:noWrap/>
            <w:vAlign w:val="bottom"/>
            <w:hideMark/>
          </w:tcPr>
          <w:p w14:paraId="3E922AF2"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366,18</w:t>
            </w:r>
          </w:p>
        </w:tc>
        <w:tc>
          <w:tcPr>
            <w:tcW w:w="851" w:type="dxa"/>
            <w:shd w:val="clear" w:color="auto" w:fill="auto"/>
            <w:noWrap/>
            <w:vAlign w:val="bottom"/>
            <w:hideMark/>
          </w:tcPr>
          <w:p w14:paraId="08865DA9"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366,18</w:t>
            </w:r>
          </w:p>
        </w:tc>
        <w:tc>
          <w:tcPr>
            <w:tcW w:w="850" w:type="dxa"/>
            <w:shd w:val="clear" w:color="auto" w:fill="auto"/>
            <w:noWrap/>
            <w:vAlign w:val="bottom"/>
            <w:hideMark/>
          </w:tcPr>
          <w:p w14:paraId="25C3C46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377,76</w:t>
            </w:r>
          </w:p>
        </w:tc>
        <w:tc>
          <w:tcPr>
            <w:tcW w:w="851" w:type="dxa"/>
            <w:shd w:val="clear" w:color="auto" w:fill="auto"/>
            <w:noWrap/>
            <w:vAlign w:val="bottom"/>
            <w:hideMark/>
          </w:tcPr>
          <w:p w14:paraId="6252A37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314,00</w:t>
            </w:r>
          </w:p>
        </w:tc>
        <w:tc>
          <w:tcPr>
            <w:tcW w:w="850" w:type="dxa"/>
            <w:shd w:val="clear" w:color="auto" w:fill="auto"/>
            <w:noWrap/>
            <w:vAlign w:val="bottom"/>
            <w:hideMark/>
          </w:tcPr>
          <w:p w14:paraId="17561CB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320,08</w:t>
            </w:r>
          </w:p>
        </w:tc>
        <w:tc>
          <w:tcPr>
            <w:tcW w:w="851" w:type="dxa"/>
            <w:shd w:val="clear" w:color="auto" w:fill="auto"/>
            <w:noWrap/>
            <w:vAlign w:val="bottom"/>
            <w:hideMark/>
          </w:tcPr>
          <w:p w14:paraId="5D9793E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326,24</w:t>
            </w:r>
          </w:p>
        </w:tc>
        <w:tc>
          <w:tcPr>
            <w:tcW w:w="851" w:type="dxa"/>
            <w:shd w:val="clear" w:color="auto" w:fill="auto"/>
            <w:noWrap/>
            <w:vAlign w:val="bottom"/>
            <w:hideMark/>
          </w:tcPr>
          <w:p w14:paraId="1B13054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-52,18</w:t>
            </w:r>
          </w:p>
        </w:tc>
        <w:tc>
          <w:tcPr>
            <w:tcW w:w="708" w:type="dxa"/>
            <w:shd w:val="clear" w:color="auto" w:fill="auto"/>
            <w:noWrap/>
            <w:vAlign w:val="bottom"/>
            <w:hideMark/>
          </w:tcPr>
          <w:p w14:paraId="43BF2DC5"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85,75</w:t>
            </w:r>
          </w:p>
        </w:tc>
        <w:tc>
          <w:tcPr>
            <w:tcW w:w="851" w:type="dxa"/>
            <w:shd w:val="clear" w:color="auto" w:fill="auto"/>
            <w:noWrap/>
            <w:vAlign w:val="bottom"/>
            <w:hideMark/>
          </w:tcPr>
          <w:p w14:paraId="184BAD65"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-63,76</w:t>
            </w:r>
          </w:p>
        </w:tc>
        <w:tc>
          <w:tcPr>
            <w:tcW w:w="709" w:type="dxa"/>
            <w:shd w:val="clear" w:color="auto" w:fill="auto"/>
            <w:noWrap/>
            <w:vAlign w:val="bottom"/>
            <w:hideMark/>
          </w:tcPr>
          <w:p w14:paraId="2A47B277"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83,12</w:t>
            </w:r>
          </w:p>
        </w:tc>
      </w:tr>
      <w:tr w:rsidR="00326533" w:rsidRPr="00522104" w14:paraId="4B2AECEA" w14:textId="77777777" w:rsidTr="000753D6">
        <w:trPr>
          <w:trHeight w:val="20"/>
        </w:trPr>
        <w:tc>
          <w:tcPr>
            <w:tcW w:w="2141" w:type="dxa"/>
            <w:shd w:val="clear" w:color="auto" w:fill="auto"/>
            <w:vAlign w:val="center"/>
            <w:hideMark/>
          </w:tcPr>
          <w:p w14:paraId="709F07D2" w14:textId="77777777" w:rsidR="00326533" w:rsidRPr="00522104" w:rsidRDefault="00326533" w:rsidP="000753D6">
            <w:pPr>
              <w:spacing w:after="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Государственная пошлина</w:t>
            </w:r>
          </w:p>
        </w:tc>
        <w:tc>
          <w:tcPr>
            <w:tcW w:w="836" w:type="dxa"/>
            <w:shd w:val="clear" w:color="auto" w:fill="auto"/>
            <w:noWrap/>
            <w:vAlign w:val="bottom"/>
            <w:hideMark/>
          </w:tcPr>
          <w:p w14:paraId="1FFC085D"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346,85</w:t>
            </w:r>
          </w:p>
        </w:tc>
        <w:tc>
          <w:tcPr>
            <w:tcW w:w="851" w:type="dxa"/>
            <w:shd w:val="clear" w:color="auto" w:fill="auto"/>
            <w:noWrap/>
            <w:vAlign w:val="bottom"/>
            <w:hideMark/>
          </w:tcPr>
          <w:p w14:paraId="22D9A20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346,85</w:t>
            </w:r>
          </w:p>
        </w:tc>
        <w:tc>
          <w:tcPr>
            <w:tcW w:w="850" w:type="dxa"/>
            <w:shd w:val="clear" w:color="auto" w:fill="auto"/>
            <w:noWrap/>
            <w:vAlign w:val="bottom"/>
            <w:hideMark/>
          </w:tcPr>
          <w:p w14:paraId="122A33B3"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346,81</w:t>
            </w:r>
          </w:p>
        </w:tc>
        <w:tc>
          <w:tcPr>
            <w:tcW w:w="851" w:type="dxa"/>
            <w:shd w:val="clear" w:color="auto" w:fill="auto"/>
            <w:noWrap/>
            <w:vAlign w:val="bottom"/>
            <w:hideMark/>
          </w:tcPr>
          <w:p w14:paraId="780E1A3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332,66</w:t>
            </w:r>
          </w:p>
        </w:tc>
        <w:tc>
          <w:tcPr>
            <w:tcW w:w="850" w:type="dxa"/>
            <w:shd w:val="clear" w:color="auto" w:fill="auto"/>
            <w:noWrap/>
            <w:vAlign w:val="bottom"/>
            <w:hideMark/>
          </w:tcPr>
          <w:p w14:paraId="5011898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322,22</w:t>
            </w:r>
          </w:p>
        </w:tc>
        <w:tc>
          <w:tcPr>
            <w:tcW w:w="851" w:type="dxa"/>
            <w:shd w:val="clear" w:color="auto" w:fill="auto"/>
            <w:noWrap/>
            <w:vAlign w:val="bottom"/>
            <w:hideMark/>
          </w:tcPr>
          <w:p w14:paraId="4BD6B59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322,38</w:t>
            </w:r>
          </w:p>
        </w:tc>
        <w:tc>
          <w:tcPr>
            <w:tcW w:w="851" w:type="dxa"/>
            <w:shd w:val="clear" w:color="auto" w:fill="auto"/>
            <w:noWrap/>
            <w:vAlign w:val="bottom"/>
            <w:hideMark/>
          </w:tcPr>
          <w:p w14:paraId="0700899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-14,19</w:t>
            </w:r>
          </w:p>
        </w:tc>
        <w:tc>
          <w:tcPr>
            <w:tcW w:w="708" w:type="dxa"/>
            <w:shd w:val="clear" w:color="auto" w:fill="auto"/>
            <w:noWrap/>
            <w:vAlign w:val="bottom"/>
            <w:hideMark/>
          </w:tcPr>
          <w:p w14:paraId="3AAB40BE"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95,91</w:t>
            </w:r>
          </w:p>
        </w:tc>
        <w:tc>
          <w:tcPr>
            <w:tcW w:w="851" w:type="dxa"/>
            <w:shd w:val="clear" w:color="auto" w:fill="auto"/>
            <w:noWrap/>
            <w:vAlign w:val="bottom"/>
            <w:hideMark/>
          </w:tcPr>
          <w:p w14:paraId="56DF9F86"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-14,15</w:t>
            </w:r>
          </w:p>
        </w:tc>
        <w:tc>
          <w:tcPr>
            <w:tcW w:w="709" w:type="dxa"/>
            <w:shd w:val="clear" w:color="auto" w:fill="auto"/>
            <w:noWrap/>
            <w:vAlign w:val="bottom"/>
            <w:hideMark/>
          </w:tcPr>
          <w:p w14:paraId="5BF7C419"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95,92</w:t>
            </w:r>
          </w:p>
        </w:tc>
      </w:tr>
      <w:tr w:rsidR="00326533" w:rsidRPr="00522104" w14:paraId="7A784657" w14:textId="77777777" w:rsidTr="000753D6">
        <w:trPr>
          <w:trHeight w:val="20"/>
        </w:trPr>
        <w:tc>
          <w:tcPr>
            <w:tcW w:w="2141" w:type="dxa"/>
            <w:shd w:val="clear" w:color="auto" w:fill="BFBFBF" w:themeFill="background1" w:themeFillShade="BF"/>
            <w:vAlign w:val="center"/>
            <w:hideMark/>
          </w:tcPr>
          <w:p w14:paraId="48CFB42F" w14:textId="77777777" w:rsidR="00326533" w:rsidRPr="00522104" w:rsidRDefault="00326533" w:rsidP="000753D6">
            <w:pPr>
              <w:spacing w:after="0" w:line="240" w:lineRule="auto"/>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Налоговые доходы всего</w:t>
            </w:r>
          </w:p>
        </w:tc>
        <w:tc>
          <w:tcPr>
            <w:tcW w:w="836" w:type="dxa"/>
            <w:shd w:val="clear" w:color="auto" w:fill="BFBFBF" w:themeFill="background1" w:themeFillShade="BF"/>
            <w:noWrap/>
            <w:vAlign w:val="bottom"/>
            <w:hideMark/>
          </w:tcPr>
          <w:p w14:paraId="63404D7B" w14:textId="77777777" w:rsidR="00326533" w:rsidRPr="00522104" w:rsidRDefault="00326533" w:rsidP="000753D6">
            <w:pPr>
              <w:spacing w:after="0" w:line="240" w:lineRule="auto"/>
              <w:ind w:left="-122"/>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93 560,14</w:t>
            </w:r>
          </w:p>
        </w:tc>
        <w:tc>
          <w:tcPr>
            <w:tcW w:w="851" w:type="dxa"/>
            <w:shd w:val="clear" w:color="auto" w:fill="BFBFBF" w:themeFill="background1" w:themeFillShade="BF"/>
            <w:noWrap/>
            <w:vAlign w:val="bottom"/>
            <w:hideMark/>
          </w:tcPr>
          <w:p w14:paraId="34E962CB"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104 856,60</w:t>
            </w:r>
          </w:p>
        </w:tc>
        <w:tc>
          <w:tcPr>
            <w:tcW w:w="850" w:type="dxa"/>
            <w:shd w:val="clear" w:color="auto" w:fill="BFBFBF" w:themeFill="background1" w:themeFillShade="BF"/>
            <w:noWrap/>
            <w:vAlign w:val="bottom"/>
            <w:hideMark/>
          </w:tcPr>
          <w:p w14:paraId="787FC9ED"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100 103,97</w:t>
            </w:r>
          </w:p>
        </w:tc>
        <w:tc>
          <w:tcPr>
            <w:tcW w:w="851" w:type="dxa"/>
            <w:shd w:val="clear" w:color="auto" w:fill="BFBFBF" w:themeFill="background1" w:themeFillShade="BF"/>
            <w:noWrap/>
            <w:vAlign w:val="bottom"/>
            <w:hideMark/>
          </w:tcPr>
          <w:p w14:paraId="5972948A"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108 369,54</w:t>
            </w:r>
          </w:p>
        </w:tc>
        <w:tc>
          <w:tcPr>
            <w:tcW w:w="850" w:type="dxa"/>
            <w:shd w:val="clear" w:color="auto" w:fill="BFBFBF" w:themeFill="background1" w:themeFillShade="BF"/>
            <w:noWrap/>
            <w:vAlign w:val="bottom"/>
            <w:hideMark/>
          </w:tcPr>
          <w:p w14:paraId="1BB94D53"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112 440,22</w:t>
            </w:r>
          </w:p>
        </w:tc>
        <w:tc>
          <w:tcPr>
            <w:tcW w:w="851" w:type="dxa"/>
            <w:shd w:val="clear" w:color="auto" w:fill="BFBFBF" w:themeFill="background1" w:themeFillShade="BF"/>
            <w:noWrap/>
            <w:vAlign w:val="bottom"/>
            <w:hideMark/>
          </w:tcPr>
          <w:p w14:paraId="2ED81ECD"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116 988,88</w:t>
            </w:r>
          </w:p>
        </w:tc>
        <w:tc>
          <w:tcPr>
            <w:tcW w:w="851" w:type="dxa"/>
            <w:shd w:val="clear" w:color="auto" w:fill="BFBFBF" w:themeFill="background1" w:themeFillShade="BF"/>
            <w:noWrap/>
            <w:vAlign w:val="bottom"/>
            <w:hideMark/>
          </w:tcPr>
          <w:p w14:paraId="34227A69"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3 512,94</w:t>
            </w:r>
          </w:p>
        </w:tc>
        <w:tc>
          <w:tcPr>
            <w:tcW w:w="708" w:type="dxa"/>
            <w:shd w:val="clear" w:color="auto" w:fill="BFBFBF" w:themeFill="background1" w:themeFillShade="BF"/>
            <w:noWrap/>
            <w:vAlign w:val="bottom"/>
            <w:hideMark/>
          </w:tcPr>
          <w:p w14:paraId="29BEE31D" w14:textId="77777777" w:rsidR="00326533" w:rsidRPr="00522104" w:rsidRDefault="00326533" w:rsidP="000753D6">
            <w:pPr>
              <w:spacing w:after="0" w:line="240" w:lineRule="auto"/>
              <w:ind w:left="-250"/>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103,35</w:t>
            </w:r>
          </w:p>
        </w:tc>
        <w:tc>
          <w:tcPr>
            <w:tcW w:w="851" w:type="dxa"/>
            <w:shd w:val="clear" w:color="auto" w:fill="BFBFBF" w:themeFill="background1" w:themeFillShade="BF"/>
            <w:noWrap/>
            <w:vAlign w:val="bottom"/>
            <w:hideMark/>
          </w:tcPr>
          <w:p w14:paraId="1B1BA8A1"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8 265,57</w:t>
            </w:r>
          </w:p>
        </w:tc>
        <w:tc>
          <w:tcPr>
            <w:tcW w:w="709" w:type="dxa"/>
            <w:shd w:val="clear" w:color="auto" w:fill="BFBFBF" w:themeFill="background1" w:themeFillShade="BF"/>
            <w:noWrap/>
            <w:vAlign w:val="bottom"/>
            <w:hideMark/>
          </w:tcPr>
          <w:p w14:paraId="0F20DAD8" w14:textId="77777777" w:rsidR="00326533" w:rsidRPr="00522104" w:rsidRDefault="00326533" w:rsidP="000753D6">
            <w:pPr>
              <w:spacing w:after="0" w:line="240" w:lineRule="auto"/>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108,26</w:t>
            </w:r>
          </w:p>
        </w:tc>
      </w:tr>
      <w:tr w:rsidR="00326533" w:rsidRPr="00522104" w14:paraId="73EE5B70" w14:textId="77777777" w:rsidTr="000753D6">
        <w:trPr>
          <w:trHeight w:val="20"/>
        </w:trPr>
        <w:tc>
          <w:tcPr>
            <w:tcW w:w="2141" w:type="dxa"/>
            <w:shd w:val="clear" w:color="auto" w:fill="auto"/>
            <w:vAlign w:val="center"/>
            <w:hideMark/>
          </w:tcPr>
          <w:p w14:paraId="732F6872" w14:textId="77777777" w:rsidR="00326533" w:rsidRPr="00522104" w:rsidRDefault="00326533" w:rsidP="000753D6">
            <w:pPr>
              <w:spacing w:after="0" w:line="240" w:lineRule="auto"/>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Доходы от использования имущества, находящегося в государственной и муниципальной собственности</w:t>
            </w:r>
          </w:p>
        </w:tc>
        <w:tc>
          <w:tcPr>
            <w:tcW w:w="836" w:type="dxa"/>
            <w:shd w:val="clear" w:color="auto" w:fill="auto"/>
            <w:noWrap/>
            <w:vAlign w:val="bottom"/>
            <w:hideMark/>
          </w:tcPr>
          <w:p w14:paraId="7CC6CC88"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144,36</w:t>
            </w:r>
          </w:p>
        </w:tc>
        <w:tc>
          <w:tcPr>
            <w:tcW w:w="851" w:type="dxa"/>
            <w:shd w:val="clear" w:color="auto" w:fill="auto"/>
            <w:noWrap/>
            <w:vAlign w:val="bottom"/>
            <w:hideMark/>
          </w:tcPr>
          <w:p w14:paraId="71A165A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359,03</w:t>
            </w:r>
          </w:p>
        </w:tc>
        <w:tc>
          <w:tcPr>
            <w:tcW w:w="850" w:type="dxa"/>
            <w:shd w:val="clear" w:color="auto" w:fill="auto"/>
            <w:noWrap/>
            <w:vAlign w:val="bottom"/>
            <w:hideMark/>
          </w:tcPr>
          <w:p w14:paraId="57C4C4C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232,25</w:t>
            </w:r>
          </w:p>
        </w:tc>
        <w:tc>
          <w:tcPr>
            <w:tcW w:w="851" w:type="dxa"/>
            <w:shd w:val="clear" w:color="auto" w:fill="auto"/>
            <w:noWrap/>
            <w:vAlign w:val="bottom"/>
            <w:hideMark/>
          </w:tcPr>
          <w:p w14:paraId="32BEDB4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141,31</w:t>
            </w:r>
          </w:p>
        </w:tc>
        <w:tc>
          <w:tcPr>
            <w:tcW w:w="850" w:type="dxa"/>
            <w:shd w:val="clear" w:color="auto" w:fill="auto"/>
            <w:noWrap/>
            <w:vAlign w:val="bottom"/>
            <w:hideMark/>
          </w:tcPr>
          <w:p w14:paraId="5EEF9886"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102,06</w:t>
            </w:r>
          </w:p>
        </w:tc>
        <w:tc>
          <w:tcPr>
            <w:tcW w:w="851" w:type="dxa"/>
            <w:shd w:val="clear" w:color="auto" w:fill="auto"/>
            <w:noWrap/>
            <w:vAlign w:val="bottom"/>
            <w:hideMark/>
          </w:tcPr>
          <w:p w14:paraId="28BB2313"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82,26</w:t>
            </w:r>
          </w:p>
        </w:tc>
        <w:tc>
          <w:tcPr>
            <w:tcW w:w="851" w:type="dxa"/>
            <w:shd w:val="clear" w:color="auto" w:fill="auto"/>
            <w:noWrap/>
            <w:vAlign w:val="bottom"/>
            <w:hideMark/>
          </w:tcPr>
          <w:p w14:paraId="2E3D53F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-217,72</w:t>
            </w:r>
          </w:p>
        </w:tc>
        <w:tc>
          <w:tcPr>
            <w:tcW w:w="708" w:type="dxa"/>
            <w:shd w:val="clear" w:color="auto" w:fill="auto"/>
            <w:noWrap/>
            <w:vAlign w:val="bottom"/>
            <w:hideMark/>
          </w:tcPr>
          <w:p w14:paraId="01C9F555"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39,36</w:t>
            </w:r>
          </w:p>
        </w:tc>
        <w:tc>
          <w:tcPr>
            <w:tcW w:w="851" w:type="dxa"/>
            <w:shd w:val="clear" w:color="auto" w:fill="auto"/>
            <w:noWrap/>
            <w:vAlign w:val="bottom"/>
            <w:hideMark/>
          </w:tcPr>
          <w:p w14:paraId="3BD57ADF"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-90,94</w:t>
            </w:r>
          </w:p>
        </w:tc>
        <w:tc>
          <w:tcPr>
            <w:tcW w:w="709" w:type="dxa"/>
            <w:shd w:val="clear" w:color="auto" w:fill="auto"/>
            <w:noWrap/>
            <w:vAlign w:val="bottom"/>
            <w:hideMark/>
          </w:tcPr>
          <w:p w14:paraId="07D79150"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60,84</w:t>
            </w:r>
          </w:p>
        </w:tc>
      </w:tr>
      <w:tr w:rsidR="00326533" w:rsidRPr="00522104" w14:paraId="671F3892" w14:textId="77777777" w:rsidTr="000753D6">
        <w:trPr>
          <w:trHeight w:val="20"/>
        </w:trPr>
        <w:tc>
          <w:tcPr>
            <w:tcW w:w="2141" w:type="dxa"/>
            <w:shd w:val="clear" w:color="auto" w:fill="auto"/>
            <w:vAlign w:val="center"/>
            <w:hideMark/>
          </w:tcPr>
          <w:p w14:paraId="1A36CC6E" w14:textId="77777777" w:rsidR="00326533" w:rsidRPr="00522104" w:rsidRDefault="00326533" w:rsidP="000753D6">
            <w:pPr>
              <w:spacing w:after="0" w:line="240" w:lineRule="auto"/>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 xml:space="preserve">Платежи при пользовании природными ресурсами </w:t>
            </w:r>
          </w:p>
        </w:tc>
        <w:tc>
          <w:tcPr>
            <w:tcW w:w="836" w:type="dxa"/>
            <w:shd w:val="clear" w:color="auto" w:fill="auto"/>
            <w:noWrap/>
            <w:vAlign w:val="bottom"/>
            <w:hideMark/>
          </w:tcPr>
          <w:p w14:paraId="434D4B70"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154,53</w:t>
            </w:r>
          </w:p>
        </w:tc>
        <w:tc>
          <w:tcPr>
            <w:tcW w:w="851" w:type="dxa"/>
            <w:shd w:val="clear" w:color="auto" w:fill="auto"/>
            <w:noWrap/>
            <w:vAlign w:val="bottom"/>
            <w:hideMark/>
          </w:tcPr>
          <w:p w14:paraId="0753D95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265,63</w:t>
            </w:r>
          </w:p>
        </w:tc>
        <w:tc>
          <w:tcPr>
            <w:tcW w:w="850" w:type="dxa"/>
            <w:shd w:val="clear" w:color="auto" w:fill="auto"/>
            <w:noWrap/>
            <w:vAlign w:val="bottom"/>
            <w:hideMark/>
          </w:tcPr>
          <w:p w14:paraId="36C677D0"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164,52</w:t>
            </w:r>
          </w:p>
        </w:tc>
        <w:tc>
          <w:tcPr>
            <w:tcW w:w="851" w:type="dxa"/>
            <w:shd w:val="clear" w:color="auto" w:fill="auto"/>
            <w:noWrap/>
            <w:vAlign w:val="bottom"/>
            <w:hideMark/>
          </w:tcPr>
          <w:p w14:paraId="76EF34C9"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260,25</w:t>
            </w:r>
          </w:p>
        </w:tc>
        <w:tc>
          <w:tcPr>
            <w:tcW w:w="850" w:type="dxa"/>
            <w:shd w:val="clear" w:color="auto" w:fill="auto"/>
            <w:noWrap/>
            <w:vAlign w:val="bottom"/>
            <w:hideMark/>
          </w:tcPr>
          <w:p w14:paraId="51C8F52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272,32</w:t>
            </w:r>
          </w:p>
        </w:tc>
        <w:tc>
          <w:tcPr>
            <w:tcW w:w="851" w:type="dxa"/>
            <w:shd w:val="clear" w:color="auto" w:fill="auto"/>
            <w:noWrap/>
            <w:vAlign w:val="bottom"/>
            <w:hideMark/>
          </w:tcPr>
          <w:p w14:paraId="25710BC5"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282,44</w:t>
            </w:r>
          </w:p>
        </w:tc>
        <w:tc>
          <w:tcPr>
            <w:tcW w:w="851" w:type="dxa"/>
            <w:shd w:val="clear" w:color="auto" w:fill="auto"/>
            <w:noWrap/>
            <w:vAlign w:val="bottom"/>
            <w:hideMark/>
          </w:tcPr>
          <w:p w14:paraId="7CDD460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-5,38</w:t>
            </w:r>
          </w:p>
        </w:tc>
        <w:tc>
          <w:tcPr>
            <w:tcW w:w="708" w:type="dxa"/>
            <w:shd w:val="clear" w:color="auto" w:fill="auto"/>
            <w:noWrap/>
            <w:vAlign w:val="bottom"/>
            <w:hideMark/>
          </w:tcPr>
          <w:p w14:paraId="4FD5577C"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97,97</w:t>
            </w:r>
          </w:p>
        </w:tc>
        <w:tc>
          <w:tcPr>
            <w:tcW w:w="851" w:type="dxa"/>
            <w:shd w:val="clear" w:color="auto" w:fill="auto"/>
            <w:noWrap/>
            <w:vAlign w:val="bottom"/>
            <w:hideMark/>
          </w:tcPr>
          <w:p w14:paraId="468A0624"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95,73</w:t>
            </w:r>
          </w:p>
        </w:tc>
        <w:tc>
          <w:tcPr>
            <w:tcW w:w="709" w:type="dxa"/>
            <w:shd w:val="clear" w:color="auto" w:fill="auto"/>
            <w:noWrap/>
            <w:vAlign w:val="bottom"/>
            <w:hideMark/>
          </w:tcPr>
          <w:p w14:paraId="381A619B"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158,19</w:t>
            </w:r>
          </w:p>
        </w:tc>
      </w:tr>
      <w:tr w:rsidR="00326533" w:rsidRPr="00522104" w14:paraId="7447FDC3" w14:textId="77777777" w:rsidTr="000753D6">
        <w:trPr>
          <w:trHeight w:val="20"/>
        </w:trPr>
        <w:tc>
          <w:tcPr>
            <w:tcW w:w="2141" w:type="dxa"/>
            <w:shd w:val="clear" w:color="auto" w:fill="auto"/>
            <w:vAlign w:val="center"/>
            <w:hideMark/>
          </w:tcPr>
          <w:p w14:paraId="33CA1AE5" w14:textId="34186285" w:rsidR="00326533" w:rsidRPr="00522104" w:rsidRDefault="00326533" w:rsidP="00C30487">
            <w:pPr>
              <w:spacing w:after="0" w:line="240" w:lineRule="auto"/>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Доходы от оказания платных услуг (работ) и компенсации затрат государства</w:t>
            </w:r>
          </w:p>
        </w:tc>
        <w:tc>
          <w:tcPr>
            <w:tcW w:w="836" w:type="dxa"/>
            <w:shd w:val="clear" w:color="auto" w:fill="auto"/>
            <w:noWrap/>
            <w:vAlign w:val="bottom"/>
            <w:hideMark/>
          </w:tcPr>
          <w:p w14:paraId="6B76A592"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45,4</w:t>
            </w:r>
          </w:p>
        </w:tc>
        <w:tc>
          <w:tcPr>
            <w:tcW w:w="851" w:type="dxa"/>
            <w:shd w:val="clear" w:color="auto" w:fill="auto"/>
            <w:noWrap/>
            <w:vAlign w:val="bottom"/>
            <w:hideMark/>
          </w:tcPr>
          <w:p w14:paraId="41BABED6"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122,06</w:t>
            </w:r>
          </w:p>
        </w:tc>
        <w:tc>
          <w:tcPr>
            <w:tcW w:w="850" w:type="dxa"/>
            <w:shd w:val="clear" w:color="auto" w:fill="auto"/>
            <w:noWrap/>
            <w:vAlign w:val="bottom"/>
            <w:hideMark/>
          </w:tcPr>
          <w:p w14:paraId="3437E7B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44,34</w:t>
            </w:r>
          </w:p>
        </w:tc>
        <w:tc>
          <w:tcPr>
            <w:tcW w:w="851" w:type="dxa"/>
            <w:shd w:val="clear" w:color="auto" w:fill="auto"/>
            <w:noWrap/>
            <w:vAlign w:val="bottom"/>
            <w:hideMark/>
          </w:tcPr>
          <w:p w14:paraId="5FC043DF" w14:textId="14173CEB"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56,1</w:t>
            </w:r>
            <w:r w:rsidR="00FB0F0D" w:rsidRPr="00522104">
              <w:rPr>
                <w:rFonts w:ascii="Times New Roman" w:eastAsia="Times New Roman" w:hAnsi="Times New Roman" w:cs="Times New Roman"/>
                <w:sz w:val="16"/>
                <w:szCs w:val="16"/>
                <w:lang w:eastAsia="ru-RU"/>
              </w:rPr>
              <w:t>0</w:t>
            </w:r>
          </w:p>
        </w:tc>
        <w:tc>
          <w:tcPr>
            <w:tcW w:w="850" w:type="dxa"/>
            <w:shd w:val="clear" w:color="auto" w:fill="auto"/>
            <w:noWrap/>
            <w:vAlign w:val="bottom"/>
            <w:hideMark/>
          </w:tcPr>
          <w:p w14:paraId="6DF8A24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56,26</w:t>
            </w:r>
          </w:p>
        </w:tc>
        <w:tc>
          <w:tcPr>
            <w:tcW w:w="851" w:type="dxa"/>
            <w:shd w:val="clear" w:color="auto" w:fill="auto"/>
            <w:noWrap/>
            <w:vAlign w:val="bottom"/>
            <w:hideMark/>
          </w:tcPr>
          <w:p w14:paraId="767700B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56,22</w:t>
            </w:r>
          </w:p>
        </w:tc>
        <w:tc>
          <w:tcPr>
            <w:tcW w:w="851" w:type="dxa"/>
            <w:shd w:val="clear" w:color="auto" w:fill="auto"/>
            <w:noWrap/>
            <w:vAlign w:val="bottom"/>
            <w:hideMark/>
          </w:tcPr>
          <w:p w14:paraId="4E646FA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-65,96</w:t>
            </w:r>
          </w:p>
        </w:tc>
        <w:tc>
          <w:tcPr>
            <w:tcW w:w="708" w:type="dxa"/>
            <w:shd w:val="clear" w:color="auto" w:fill="auto"/>
            <w:noWrap/>
            <w:vAlign w:val="bottom"/>
            <w:hideMark/>
          </w:tcPr>
          <w:p w14:paraId="7E1B885E"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45,96</w:t>
            </w:r>
          </w:p>
        </w:tc>
        <w:tc>
          <w:tcPr>
            <w:tcW w:w="851" w:type="dxa"/>
            <w:shd w:val="clear" w:color="auto" w:fill="auto"/>
            <w:noWrap/>
            <w:vAlign w:val="bottom"/>
            <w:hideMark/>
          </w:tcPr>
          <w:p w14:paraId="014B7B4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11,76</w:t>
            </w:r>
          </w:p>
        </w:tc>
        <w:tc>
          <w:tcPr>
            <w:tcW w:w="709" w:type="dxa"/>
            <w:shd w:val="clear" w:color="auto" w:fill="auto"/>
            <w:noWrap/>
            <w:vAlign w:val="bottom"/>
            <w:hideMark/>
          </w:tcPr>
          <w:p w14:paraId="47C539D2"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126,53</w:t>
            </w:r>
          </w:p>
        </w:tc>
      </w:tr>
      <w:tr w:rsidR="00326533" w:rsidRPr="00522104" w14:paraId="76DC7BEA" w14:textId="77777777" w:rsidTr="000753D6">
        <w:trPr>
          <w:trHeight w:val="20"/>
        </w:trPr>
        <w:tc>
          <w:tcPr>
            <w:tcW w:w="2141" w:type="dxa"/>
            <w:shd w:val="clear" w:color="auto" w:fill="auto"/>
            <w:vAlign w:val="center"/>
            <w:hideMark/>
          </w:tcPr>
          <w:p w14:paraId="08DF0A4B" w14:textId="77777777" w:rsidR="00326533" w:rsidRPr="00522104" w:rsidRDefault="00326533" w:rsidP="000753D6">
            <w:pPr>
              <w:spacing w:after="0" w:line="240" w:lineRule="auto"/>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Доходы от продажи материальных и нематериальных активов</w:t>
            </w:r>
          </w:p>
        </w:tc>
        <w:tc>
          <w:tcPr>
            <w:tcW w:w="836" w:type="dxa"/>
            <w:shd w:val="clear" w:color="auto" w:fill="auto"/>
            <w:noWrap/>
            <w:vAlign w:val="bottom"/>
            <w:hideMark/>
          </w:tcPr>
          <w:p w14:paraId="6F9A9AD0"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86,67</w:t>
            </w:r>
          </w:p>
        </w:tc>
        <w:tc>
          <w:tcPr>
            <w:tcW w:w="851" w:type="dxa"/>
            <w:shd w:val="clear" w:color="auto" w:fill="auto"/>
            <w:noWrap/>
            <w:vAlign w:val="bottom"/>
            <w:hideMark/>
          </w:tcPr>
          <w:p w14:paraId="193206EA"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87,78</w:t>
            </w:r>
          </w:p>
        </w:tc>
        <w:tc>
          <w:tcPr>
            <w:tcW w:w="850" w:type="dxa"/>
            <w:shd w:val="clear" w:color="auto" w:fill="auto"/>
            <w:noWrap/>
            <w:vAlign w:val="bottom"/>
            <w:hideMark/>
          </w:tcPr>
          <w:p w14:paraId="2F40017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38,43</w:t>
            </w:r>
          </w:p>
        </w:tc>
        <w:tc>
          <w:tcPr>
            <w:tcW w:w="851" w:type="dxa"/>
            <w:shd w:val="clear" w:color="auto" w:fill="auto"/>
            <w:noWrap/>
            <w:vAlign w:val="bottom"/>
            <w:hideMark/>
          </w:tcPr>
          <w:p w14:paraId="458536D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48,18</w:t>
            </w:r>
          </w:p>
        </w:tc>
        <w:tc>
          <w:tcPr>
            <w:tcW w:w="850" w:type="dxa"/>
            <w:shd w:val="clear" w:color="auto" w:fill="auto"/>
            <w:noWrap/>
            <w:vAlign w:val="bottom"/>
            <w:hideMark/>
          </w:tcPr>
          <w:p w14:paraId="2296365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35,37</w:t>
            </w:r>
          </w:p>
        </w:tc>
        <w:tc>
          <w:tcPr>
            <w:tcW w:w="851" w:type="dxa"/>
            <w:shd w:val="clear" w:color="auto" w:fill="auto"/>
            <w:noWrap/>
            <w:vAlign w:val="bottom"/>
            <w:hideMark/>
          </w:tcPr>
          <w:p w14:paraId="77B0809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38,82</w:t>
            </w:r>
          </w:p>
        </w:tc>
        <w:tc>
          <w:tcPr>
            <w:tcW w:w="851" w:type="dxa"/>
            <w:shd w:val="clear" w:color="auto" w:fill="auto"/>
            <w:noWrap/>
            <w:vAlign w:val="bottom"/>
            <w:hideMark/>
          </w:tcPr>
          <w:p w14:paraId="49416BBB"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-39,6</w:t>
            </w:r>
          </w:p>
        </w:tc>
        <w:tc>
          <w:tcPr>
            <w:tcW w:w="708" w:type="dxa"/>
            <w:shd w:val="clear" w:color="auto" w:fill="auto"/>
            <w:noWrap/>
            <w:vAlign w:val="bottom"/>
            <w:hideMark/>
          </w:tcPr>
          <w:p w14:paraId="6DCEC72A"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54,89</w:t>
            </w:r>
          </w:p>
        </w:tc>
        <w:tc>
          <w:tcPr>
            <w:tcW w:w="851" w:type="dxa"/>
            <w:shd w:val="clear" w:color="auto" w:fill="auto"/>
            <w:noWrap/>
            <w:vAlign w:val="bottom"/>
            <w:hideMark/>
          </w:tcPr>
          <w:p w14:paraId="30BB751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9,75</w:t>
            </w:r>
          </w:p>
        </w:tc>
        <w:tc>
          <w:tcPr>
            <w:tcW w:w="709" w:type="dxa"/>
            <w:shd w:val="clear" w:color="auto" w:fill="auto"/>
            <w:noWrap/>
            <w:vAlign w:val="bottom"/>
            <w:hideMark/>
          </w:tcPr>
          <w:p w14:paraId="2288D83E"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125,35</w:t>
            </w:r>
          </w:p>
        </w:tc>
      </w:tr>
      <w:tr w:rsidR="00326533" w:rsidRPr="00522104" w14:paraId="581E525F" w14:textId="77777777" w:rsidTr="000753D6">
        <w:trPr>
          <w:trHeight w:val="20"/>
        </w:trPr>
        <w:tc>
          <w:tcPr>
            <w:tcW w:w="2141" w:type="dxa"/>
            <w:shd w:val="clear" w:color="auto" w:fill="auto"/>
            <w:vAlign w:val="center"/>
            <w:hideMark/>
          </w:tcPr>
          <w:p w14:paraId="038AC576" w14:textId="77777777" w:rsidR="00326533" w:rsidRPr="00522104" w:rsidRDefault="00326533" w:rsidP="000753D6">
            <w:pPr>
              <w:spacing w:after="0" w:line="240" w:lineRule="auto"/>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Административные платежи и сборы</w:t>
            </w:r>
          </w:p>
        </w:tc>
        <w:tc>
          <w:tcPr>
            <w:tcW w:w="836" w:type="dxa"/>
            <w:shd w:val="clear" w:color="auto" w:fill="auto"/>
            <w:noWrap/>
            <w:vAlign w:val="bottom"/>
            <w:hideMark/>
          </w:tcPr>
          <w:p w14:paraId="7DC5E04F"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10,62</w:t>
            </w:r>
          </w:p>
        </w:tc>
        <w:tc>
          <w:tcPr>
            <w:tcW w:w="851" w:type="dxa"/>
            <w:shd w:val="clear" w:color="auto" w:fill="auto"/>
            <w:noWrap/>
            <w:vAlign w:val="bottom"/>
            <w:hideMark/>
          </w:tcPr>
          <w:p w14:paraId="2B3B297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10,62</w:t>
            </w:r>
          </w:p>
        </w:tc>
        <w:tc>
          <w:tcPr>
            <w:tcW w:w="850" w:type="dxa"/>
            <w:shd w:val="clear" w:color="auto" w:fill="auto"/>
            <w:noWrap/>
            <w:vAlign w:val="bottom"/>
            <w:hideMark/>
          </w:tcPr>
          <w:p w14:paraId="17B384B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11,12</w:t>
            </w:r>
          </w:p>
        </w:tc>
        <w:tc>
          <w:tcPr>
            <w:tcW w:w="851" w:type="dxa"/>
            <w:shd w:val="clear" w:color="auto" w:fill="auto"/>
            <w:noWrap/>
            <w:vAlign w:val="bottom"/>
            <w:hideMark/>
          </w:tcPr>
          <w:p w14:paraId="5CF828D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8,19</w:t>
            </w:r>
          </w:p>
        </w:tc>
        <w:tc>
          <w:tcPr>
            <w:tcW w:w="850" w:type="dxa"/>
            <w:shd w:val="clear" w:color="auto" w:fill="auto"/>
            <w:noWrap/>
            <w:vAlign w:val="bottom"/>
            <w:hideMark/>
          </w:tcPr>
          <w:p w14:paraId="3742B1D1"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8,58</w:t>
            </w:r>
          </w:p>
        </w:tc>
        <w:tc>
          <w:tcPr>
            <w:tcW w:w="851" w:type="dxa"/>
            <w:shd w:val="clear" w:color="auto" w:fill="auto"/>
            <w:noWrap/>
            <w:vAlign w:val="bottom"/>
            <w:hideMark/>
          </w:tcPr>
          <w:p w14:paraId="14AC7B3E"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8,97</w:t>
            </w:r>
          </w:p>
        </w:tc>
        <w:tc>
          <w:tcPr>
            <w:tcW w:w="851" w:type="dxa"/>
            <w:shd w:val="clear" w:color="auto" w:fill="auto"/>
            <w:noWrap/>
            <w:vAlign w:val="bottom"/>
            <w:hideMark/>
          </w:tcPr>
          <w:p w14:paraId="3800A49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-2,43</w:t>
            </w:r>
          </w:p>
        </w:tc>
        <w:tc>
          <w:tcPr>
            <w:tcW w:w="708" w:type="dxa"/>
            <w:shd w:val="clear" w:color="auto" w:fill="auto"/>
            <w:noWrap/>
            <w:vAlign w:val="bottom"/>
            <w:hideMark/>
          </w:tcPr>
          <w:p w14:paraId="0BB7B929"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77,12</w:t>
            </w:r>
          </w:p>
        </w:tc>
        <w:tc>
          <w:tcPr>
            <w:tcW w:w="851" w:type="dxa"/>
            <w:shd w:val="clear" w:color="auto" w:fill="auto"/>
            <w:noWrap/>
            <w:vAlign w:val="bottom"/>
            <w:hideMark/>
          </w:tcPr>
          <w:p w14:paraId="22470E1F"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-2,93</w:t>
            </w:r>
          </w:p>
        </w:tc>
        <w:tc>
          <w:tcPr>
            <w:tcW w:w="709" w:type="dxa"/>
            <w:shd w:val="clear" w:color="auto" w:fill="auto"/>
            <w:noWrap/>
            <w:vAlign w:val="bottom"/>
            <w:hideMark/>
          </w:tcPr>
          <w:p w14:paraId="1AF585E5"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73,65</w:t>
            </w:r>
          </w:p>
        </w:tc>
      </w:tr>
      <w:tr w:rsidR="00326533" w:rsidRPr="00522104" w14:paraId="4D0DB6B1" w14:textId="77777777" w:rsidTr="000753D6">
        <w:trPr>
          <w:trHeight w:val="20"/>
        </w:trPr>
        <w:tc>
          <w:tcPr>
            <w:tcW w:w="2141" w:type="dxa"/>
            <w:shd w:val="clear" w:color="auto" w:fill="auto"/>
            <w:vAlign w:val="center"/>
            <w:hideMark/>
          </w:tcPr>
          <w:p w14:paraId="1E4AD87C" w14:textId="77777777" w:rsidR="00326533" w:rsidRPr="00522104" w:rsidRDefault="00326533" w:rsidP="000753D6">
            <w:pPr>
              <w:spacing w:after="0" w:line="240" w:lineRule="auto"/>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Штрафы, санкции, возмещение ущерба</w:t>
            </w:r>
          </w:p>
        </w:tc>
        <w:tc>
          <w:tcPr>
            <w:tcW w:w="836" w:type="dxa"/>
            <w:shd w:val="clear" w:color="auto" w:fill="auto"/>
            <w:noWrap/>
            <w:vAlign w:val="bottom"/>
            <w:hideMark/>
          </w:tcPr>
          <w:p w14:paraId="385FDBF2" w14:textId="77777777" w:rsidR="00326533" w:rsidRPr="00522104" w:rsidRDefault="00326533" w:rsidP="000753D6">
            <w:pPr>
              <w:spacing w:after="0" w:line="240" w:lineRule="auto"/>
              <w:ind w:left="-122"/>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677,25</w:t>
            </w:r>
          </w:p>
        </w:tc>
        <w:tc>
          <w:tcPr>
            <w:tcW w:w="851" w:type="dxa"/>
            <w:shd w:val="clear" w:color="auto" w:fill="auto"/>
            <w:noWrap/>
            <w:vAlign w:val="bottom"/>
            <w:hideMark/>
          </w:tcPr>
          <w:p w14:paraId="5085B704"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800,82</w:t>
            </w:r>
          </w:p>
        </w:tc>
        <w:tc>
          <w:tcPr>
            <w:tcW w:w="850" w:type="dxa"/>
            <w:shd w:val="clear" w:color="auto" w:fill="auto"/>
            <w:noWrap/>
            <w:vAlign w:val="bottom"/>
            <w:hideMark/>
          </w:tcPr>
          <w:p w14:paraId="34CB0812"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678,4</w:t>
            </w:r>
          </w:p>
        </w:tc>
        <w:tc>
          <w:tcPr>
            <w:tcW w:w="851" w:type="dxa"/>
            <w:shd w:val="clear" w:color="auto" w:fill="auto"/>
            <w:noWrap/>
            <w:vAlign w:val="bottom"/>
            <w:hideMark/>
          </w:tcPr>
          <w:p w14:paraId="6C01586D"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845,17</w:t>
            </w:r>
          </w:p>
        </w:tc>
        <w:tc>
          <w:tcPr>
            <w:tcW w:w="850" w:type="dxa"/>
            <w:shd w:val="clear" w:color="auto" w:fill="auto"/>
            <w:noWrap/>
            <w:vAlign w:val="bottom"/>
            <w:hideMark/>
          </w:tcPr>
          <w:p w14:paraId="0AAA4F27"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845,28</w:t>
            </w:r>
          </w:p>
        </w:tc>
        <w:tc>
          <w:tcPr>
            <w:tcW w:w="851" w:type="dxa"/>
            <w:shd w:val="clear" w:color="auto" w:fill="auto"/>
            <w:noWrap/>
            <w:vAlign w:val="bottom"/>
            <w:hideMark/>
          </w:tcPr>
          <w:p w14:paraId="42AB40E4"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845,21</w:t>
            </w:r>
          </w:p>
        </w:tc>
        <w:tc>
          <w:tcPr>
            <w:tcW w:w="851" w:type="dxa"/>
            <w:shd w:val="clear" w:color="auto" w:fill="auto"/>
            <w:noWrap/>
            <w:vAlign w:val="bottom"/>
            <w:hideMark/>
          </w:tcPr>
          <w:p w14:paraId="3EE54DBC"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44,35</w:t>
            </w:r>
          </w:p>
        </w:tc>
        <w:tc>
          <w:tcPr>
            <w:tcW w:w="708" w:type="dxa"/>
            <w:shd w:val="clear" w:color="auto" w:fill="auto"/>
            <w:noWrap/>
            <w:vAlign w:val="bottom"/>
            <w:hideMark/>
          </w:tcPr>
          <w:p w14:paraId="7DE3F624" w14:textId="77777777" w:rsidR="00326533" w:rsidRPr="00522104" w:rsidRDefault="00326533" w:rsidP="000753D6">
            <w:pPr>
              <w:spacing w:after="0" w:line="240" w:lineRule="auto"/>
              <w:ind w:left="-25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105,54</w:t>
            </w:r>
          </w:p>
        </w:tc>
        <w:tc>
          <w:tcPr>
            <w:tcW w:w="851" w:type="dxa"/>
            <w:shd w:val="clear" w:color="auto" w:fill="auto"/>
            <w:noWrap/>
            <w:vAlign w:val="bottom"/>
            <w:hideMark/>
          </w:tcPr>
          <w:p w14:paraId="2D66C2E8" w14:textId="77777777" w:rsidR="00326533" w:rsidRPr="00522104" w:rsidRDefault="00326533" w:rsidP="000753D6">
            <w:pPr>
              <w:spacing w:after="0" w:line="240" w:lineRule="auto"/>
              <w:ind w:left="-108"/>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166,77</w:t>
            </w:r>
          </w:p>
        </w:tc>
        <w:tc>
          <w:tcPr>
            <w:tcW w:w="709" w:type="dxa"/>
            <w:shd w:val="clear" w:color="auto" w:fill="auto"/>
            <w:noWrap/>
            <w:vAlign w:val="bottom"/>
            <w:hideMark/>
          </w:tcPr>
          <w:p w14:paraId="5A5013A0" w14:textId="77777777" w:rsidR="00326533" w:rsidRPr="00522104" w:rsidRDefault="00326533" w:rsidP="000753D6">
            <w:pPr>
              <w:spacing w:after="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124,58</w:t>
            </w:r>
          </w:p>
        </w:tc>
      </w:tr>
      <w:tr w:rsidR="00326533" w:rsidRPr="00522104" w14:paraId="59FA3150" w14:textId="77777777" w:rsidTr="000753D6">
        <w:trPr>
          <w:trHeight w:val="20"/>
        </w:trPr>
        <w:tc>
          <w:tcPr>
            <w:tcW w:w="2141" w:type="dxa"/>
            <w:shd w:val="clear" w:color="auto" w:fill="BFBFBF" w:themeFill="background1" w:themeFillShade="BF"/>
            <w:vAlign w:val="center"/>
            <w:hideMark/>
          </w:tcPr>
          <w:p w14:paraId="22268EC7" w14:textId="77777777" w:rsidR="00326533" w:rsidRPr="00522104" w:rsidRDefault="00326533" w:rsidP="000753D6">
            <w:pPr>
              <w:spacing w:after="0" w:line="240" w:lineRule="auto"/>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Неналоговые доходы всего</w:t>
            </w:r>
          </w:p>
        </w:tc>
        <w:tc>
          <w:tcPr>
            <w:tcW w:w="836" w:type="dxa"/>
            <w:shd w:val="clear" w:color="auto" w:fill="BFBFBF" w:themeFill="background1" w:themeFillShade="BF"/>
            <w:noWrap/>
            <w:vAlign w:val="bottom"/>
            <w:hideMark/>
          </w:tcPr>
          <w:p w14:paraId="3C40200A" w14:textId="77777777" w:rsidR="00326533" w:rsidRPr="00522104" w:rsidRDefault="00326533" w:rsidP="000753D6">
            <w:pPr>
              <w:spacing w:after="0" w:line="240" w:lineRule="auto"/>
              <w:ind w:left="-122"/>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1 118,83</w:t>
            </w:r>
          </w:p>
        </w:tc>
        <w:tc>
          <w:tcPr>
            <w:tcW w:w="851" w:type="dxa"/>
            <w:shd w:val="clear" w:color="auto" w:fill="BFBFBF" w:themeFill="background1" w:themeFillShade="BF"/>
            <w:noWrap/>
            <w:vAlign w:val="bottom"/>
            <w:hideMark/>
          </w:tcPr>
          <w:p w14:paraId="0319FEDF"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1 645,94</w:t>
            </w:r>
          </w:p>
        </w:tc>
        <w:tc>
          <w:tcPr>
            <w:tcW w:w="850" w:type="dxa"/>
            <w:shd w:val="clear" w:color="auto" w:fill="BFBFBF" w:themeFill="background1" w:themeFillShade="BF"/>
            <w:noWrap/>
            <w:vAlign w:val="bottom"/>
            <w:hideMark/>
          </w:tcPr>
          <w:p w14:paraId="17535F52"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1 169,06</w:t>
            </w:r>
          </w:p>
        </w:tc>
        <w:tc>
          <w:tcPr>
            <w:tcW w:w="851" w:type="dxa"/>
            <w:shd w:val="clear" w:color="auto" w:fill="BFBFBF" w:themeFill="background1" w:themeFillShade="BF"/>
            <w:noWrap/>
            <w:vAlign w:val="bottom"/>
            <w:hideMark/>
          </w:tcPr>
          <w:p w14:paraId="747C8A01"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1 359,20</w:t>
            </w:r>
          </w:p>
        </w:tc>
        <w:tc>
          <w:tcPr>
            <w:tcW w:w="850" w:type="dxa"/>
            <w:shd w:val="clear" w:color="auto" w:fill="BFBFBF" w:themeFill="background1" w:themeFillShade="BF"/>
            <w:noWrap/>
            <w:vAlign w:val="bottom"/>
            <w:hideMark/>
          </w:tcPr>
          <w:p w14:paraId="68C74890"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1 319,87</w:t>
            </w:r>
          </w:p>
        </w:tc>
        <w:tc>
          <w:tcPr>
            <w:tcW w:w="851" w:type="dxa"/>
            <w:shd w:val="clear" w:color="auto" w:fill="BFBFBF" w:themeFill="background1" w:themeFillShade="BF"/>
            <w:noWrap/>
            <w:vAlign w:val="bottom"/>
            <w:hideMark/>
          </w:tcPr>
          <w:p w14:paraId="4037B46C"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1 313,92</w:t>
            </w:r>
          </w:p>
        </w:tc>
        <w:tc>
          <w:tcPr>
            <w:tcW w:w="851" w:type="dxa"/>
            <w:shd w:val="clear" w:color="auto" w:fill="BFBFBF" w:themeFill="background1" w:themeFillShade="BF"/>
            <w:noWrap/>
            <w:vAlign w:val="bottom"/>
            <w:hideMark/>
          </w:tcPr>
          <w:p w14:paraId="34117398"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-286,74</w:t>
            </w:r>
          </w:p>
        </w:tc>
        <w:tc>
          <w:tcPr>
            <w:tcW w:w="708" w:type="dxa"/>
            <w:shd w:val="clear" w:color="auto" w:fill="BFBFBF" w:themeFill="background1" w:themeFillShade="BF"/>
            <w:noWrap/>
            <w:vAlign w:val="bottom"/>
            <w:hideMark/>
          </w:tcPr>
          <w:p w14:paraId="1C8C5853" w14:textId="77777777" w:rsidR="00326533" w:rsidRPr="00522104" w:rsidRDefault="00326533" w:rsidP="000753D6">
            <w:pPr>
              <w:spacing w:after="0" w:line="240" w:lineRule="auto"/>
              <w:ind w:left="-250"/>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82,58</w:t>
            </w:r>
          </w:p>
        </w:tc>
        <w:tc>
          <w:tcPr>
            <w:tcW w:w="851" w:type="dxa"/>
            <w:shd w:val="clear" w:color="auto" w:fill="BFBFBF" w:themeFill="background1" w:themeFillShade="BF"/>
            <w:noWrap/>
            <w:vAlign w:val="bottom"/>
            <w:hideMark/>
          </w:tcPr>
          <w:p w14:paraId="4F253447" w14:textId="77777777" w:rsidR="00326533" w:rsidRPr="00522104" w:rsidRDefault="00326533" w:rsidP="000753D6">
            <w:pPr>
              <w:spacing w:after="0" w:line="240" w:lineRule="auto"/>
              <w:ind w:left="-108"/>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190,14</w:t>
            </w:r>
          </w:p>
        </w:tc>
        <w:tc>
          <w:tcPr>
            <w:tcW w:w="709" w:type="dxa"/>
            <w:shd w:val="clear" w:color="auto" w:fill="BFBFBF" w:themeFill="background1" w:themeFillShade="BF"/>
            <w:noWrap/>
            <w:vAlign w:val="bottom"/>
            <w:hideMark/>
          </w:tcPr>
          <w:p w14:paraId="6153769C" w14:textId="77777777" w:rsidR="00326533" w:rsidRPr="00522104" w:rsidRDefault="00326533" w:rsidP="000753D6">
            <w:pPr>
              <w:spacing w:after="0" w:line="240" w:lineRule="auto"/>
              <w:jc w:val="right"/>
              <w:rPr>
                <w:rFonts w:ascii="Times New Roman" w:eastAsia="Times New Roman" w:hAnsi="Times New Roman" w:cs="Times New Roman"/>
                <w:b/>
                <w:sz w:val="16"/>
                <w:szCs w:val="16"/>
                <w:lang w:eastAsia="ru-RU"/>
              </w:rPr>
            </w:pPr>
            <w:r w:rsidRPr="00522104">
              <w:rPr>
                <w:rFonts w:ascii="Times New Roman" w:eastAsia="Times New Roman" w:hAnsi="Times New Roman" w:cs="Times New Roman"/>
                <w:b/>
                <w:sz w:val="16"/>
                <w:szCs w:val="16"/>
                <w:lang w:eastAsia="ru-RU"/>
              </w:rPr>
              <w:t>116,26</w:t>
            </w:r>
          </w:p>
        </w:tc>
      </w:tr>
    </w:tbl>
    <w:p w14:paraId="6E42A074" w14:textId="77777777" w:rsidR="00326533" w:rsidRPr="00522104" w:rsidRDefault="00326533" w:rsidP="00326533">
      <w:pPr>
        <w:spacing w:after="0" w:line="240" w:lineRule="auto"/>
        <w:ind w:firstLine="708"/>
        <w:jc w:val="both"/>
        <w:rPr>
          <w:rFonts w:ascii="Times New Roman" w:eastAsia="Times New Roman" w:hAnsi="Times New Roman" w:cs="Times New Roman"/>
          <w:sz w:val="28"/>
          <w:szCs w:val="28"/>
          <w:lang w:eastAsia="ru-RU"/>
        </w:rPr>
      </w:pPr>
    </w:p>
    <w:p w14:paraId="0D126C8B" w14:textId="3D8B9283" w:rsidR="00326533" w:rsidRPr="00522104" w:rsidRDefault="00326533" w:rsidP="00326533">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В составе налоговых доходов законопроектом в 2022 году по сравнению с плановыми назначениями 2022 года, утвержденными Законом № 969-КЗ, планируется увеличение поступлений таких налогов, как: налог на прибыль организаций (рост на 38,80 %, или на 8150,29 млн рублей), налог на доходы физических лиц (рост на 6,40 % или на 2651,43 млн рублей), налог на профессиональный доход (рост в 2 раза, или на 36,35 млн рублей), налог на добычу полезных ископаемых (рост на 8,21 %, или на 23,48 млн рублей.  В свою очередь рост неналоговых доходов в 2022 году по сравнению с утвержденными плановыми назначениями на 2022 год  обеспечат такие неналоговые доходы</w:t>
      </w:r>
      <w:r w:rsidR="00C30487"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как: платежи при пользовании природными ресурсами (рост на 58,19 %, или на 95,73 млн рублей), доходы от оказания платных услуг (работ) и компенсации затрат государства (на 26,53 %, или на 11,76 млн рублей) доходы от продажи материальных и нематериальных активов (на 25,35</w:t>
      </w:r>
      <w:r w:rsidRPr="00522104">
        <w:rPr>
          <w:rFonts w:ascii="Times New Roman" w:hAnsi="Times New Roman" w:cs="Times New Roman"/>
          <w:sz w:val="28"/>
          <w:szCs w:val="28"/>
        </w:rPr>
        <w:t> %, или на 9,75 млн рублей), штрафы, санкции, возмещение ущерба (24,58 %, или на 166,77 млн рублей).</w:t>
      </w:r>
    </w:p>
    <w:p w14:paraId="16DAC147" w14:textId="77777777" w:rsidR="00326533" w:rsidRPr="00522104" w:rsidRDefault="00326533" w:rsidP="00326533">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сравнении с утвержденными плановыми назначениями на 2021 год, в 2022 году планируется снижение поступлений таких налогов, как:</w:t>
      </w:r>
      <w:r w:rsidRPr="00522104">
        <w:t xml:space="preserve"> </w:t>
      </w:r>
      <w:r w:rsidRPr="00522104">
        <w:rPr>
          <w:rFonts w:ascii="Times New Roman" w:hAnsi="Times New Roman" w:cs="Times New Roman"/>
          <w:sz w:val="28"/>
          <w:szCs w:val="28"/>
        </w:rPr>
        <w:t>налог, взимаемый в связи с применением упрощенной системы налогообложения (ожидается снижение поступлений на 15,65 %, или на 1369,66 млн рублей), сборы за пользование объектами животного мира и за пользование объектами водных биологических ресурсов (на 14,25 %, или на 52,18 млн рублей), государственная пошлина (на 4,09 %, или на 14,19 млн рублей). В то же время все неналоговые доходы в 2022 году планируются ниже утвержденных на 2021 год, кроме поступления доходов от штрафов, санкций, возмещений ущерба (рост на 5,54 %, или на 44,35 млн рублей).</w:t>
      </w:r>
    </w:p>
    <w:p w14:paraId="61357DC8" w14:textId="1172DDA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Налог на доходы физических</w:t>
      </w:r>
      <w:r w:rsidRPr="00522104">
        <w:rPr>
          <w:rFonts w:ascii="Times New Roman" w:eastAsia="Times New Roman" w:hAnsi="Times New Roman" w:cs="Times New Roman"/>
          <w:sz w:val="28"/>
          <w:szCs w:val="28"/>
          <w:lang w:eastAsia="ru-RU"/>
        </w:rPr>
        <w:t xml:space="preserve"> лиц в 2022 году запланирован в объеме 44056,62 млн рублей с ростом к плановым назначениям на 2022 год на 6,40 %, или на 2651,43 млн рублей, </w:t>
      </w:r>
      <w:r w:rsidR="004F0E1F" w:rsidRPr="00522104">
        <w:rPr>
          <w:rFonts w:ascii="Times New Roman" w:eastAsia="Times New Roman" w:hAnsi="Times New Roman" w:cs="Times New Roman"/>
          <w:sz w:val="28"/>
          <w:szCs w:val="28"/>
          <w:lang w:eastAsia="ru-RU"/>
        </w:rPr>
        <w:t>а</w:t>
      </w:r>
      <w:r w:rsidRPr="00522104">
        <w:rPr>
          <w:rFonts w:ascii="Times New Roman" w:eastAsia="Times New Roman" w:hAnsi="Times New Roman" w:cs="Times New Roman"/>
          <w:sz w:val="28"/>
          <w:szCs w:val="28"/>
          <w:lang w:eastAsia="ru-RU"/>
        </w:rPr>
        <w:t xml:space="preserve"> к плановым назначениям на 2021 год на 6,60 %, на 2727,71 млн рублей. Доля налога на доходы физических лиц в общем объеме налоговых и неналоговых доходов в 2022 году составит 40,15 %.</w:t>
      </w:r>
    </w:p>
    <w:p w14:paraId="5C275C50"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Прогноз поступлений налога на доходы физических лиц определен исходя из налогооблагаемой базы по налогу в соответствии с фондом оплаты труда на 2022 год в объеме 393758,40 млн рублей.</w:t>
      </w:r>
    </w:p>
    <w:p w14:paraId="6D0D5029" w14:textId="45AD73EB" w:rsidR="00326533" w:rsidRPr="00522104" w:rsidRDefault="00326533" w:rsidP="00326533">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В плановом периоде на 2023 и 2024 годы поступления налога на доходы физических лиц ожидаются с ростом к уровню предыдущего года на 6,70 % и 6,60 %, что составит 47008,41 млн рублей и 50110,97 млн рублей соответственно</w:t>
      </w:r>
      <w:r w:rsidR="004F0E1F" w:rsidRPr="00522104">
        <w:rPr>
          <w:rFonts w:ascii="Times New Roman" w:eastAsia="Times New Roman" w:hAnsi="Times New Roman" w:cs="Times New Roman"/>
          <w:sz w:val="28"/>
          <w:szCs w:val="24"/>
          <w:lang w:eastAsia="ru-RU"/>
        </w:rPr>
        <w:t xml:space="preserve"> по годам</w:t>
      </w:r>
      <w:r w:rsidRPr="00522104">
        <w:rPr>
          <w:rFonts w:ascii="Times New Roman" w:eastAsia="Times New Roman" w:hAnsi="Times New Roman" w:cs="Times New Roman"/>
          <w:sz w:val="28"/>
          <w:szCs w:val="24"/>
          <w:lang w:eastAsia="ru-RU"/>
        </w:rPr>
        <w:t>.</w:t>
      </w:r>
    </w:p>
    <w:p w14:paraId="32C932B3"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 xml:space="preserve">Налог на прибыль организаций </w:t>
      </w:r>
      <w:r w:rsidRPr="00522104">
        <w:rPr>
          <w:rFonts w:ascii="Times New Roman" w:eastAsia="Times New Roman" w:hAnsi="Times New Roman" w:cs="Times New Roman"/>
          <w:sz w:val="28"/>
          <w:szCs w:val="28"/>
          <w:lang w:eastAsia="ru-RU"/>
        </w:rPr>
        <w:t xml:space="preserve">в структуре налоговых и неналоговых доходов на 2022 год занимает 26,57 %. Законопроектом на 2022 год объем поступлений по налогу на прибыль организаций ожидается в сумме 29155,03 млн рублей, что выше плановых назначений, утвержденных Законом № 969-КЗ на 2022 год на 38,80 %, или на 8150,29 млн рублей, и выше плановых назначений на 2021 год на 4,24 %, или 1185,65 млн рублей. </w:t>
      </w:r>
    </w:p>
    <w:p w14:paraId="6BAAD5F7" w14:textId="7DDEC7D9"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При расчете поступлений налога на прибыль организаций использованы сведения о налоговой базе (отчет ФНС России по форме № 5-П), о поступлении налога в бюджетную систему Российской Федерации, а также о задолженности по налогам и сборам в бюджетную систему Российской Федерации на 01.09.2021. Также в расчете налога на прибыль организаций учтена сумма налогов от филиалов, находящихся на территории Приморского края (головная организация которых находится за пределами Приморского края), от организаций, входящих в консолидированную группу налогоплательщиков и за счет погашения задолженности в сумме 4742,87 млн рублей. Кроме того, сумма выпадающих доходов по налогу на прибыль организаций по расчетам на 2022 год составила 2071,26 млн рублей в связи с предоставлением льгот и преференций, предусмотренных действующим законодательством Российской Федерации. Применен индекс физического объема ВРП на 2021 год – 104,40 % (согласно базовому варианту развития экономики Приморского края). </w:t>
      </w:r>
    </w:p>
    <w:p w14:paraId="13DF55E0" w14:textId="77777777" w:rsidR="00326533" w:rsidRPr="00522104" w:rsidRDefault="00326533" w:rsidP="00326533">
      <w:pPr>
        <w:shd w:val="clear" w:color="auto" w:fill="FFFFFF"/>
        <w:spacing w:after="0" w:line="240" w:lineRule="auto"/>
        <w:ind w:firstLine="709"/>
        <w:jc w:val="both"/>
        <w:rPr>
          <w:rFonts w:ascii="Times New Roman" w:eastAsia="Calibri" w:hAnsi="Times New Roman" w:cs="Times New Roman"/>
          <w:sz w:val="28"/>
          <w:szCs w:val="28"/>
          <w:lang w:eastAsia="ru-RU"/>
        </w:rPr>
      </w:pPr>
      <w:r w:rsidRPr="00522104">
        <w:rPr>
          <w:rFonts w:ascii="Times New Roman" w:eastAsia="Calibri" w:hAnsi="Times New Roman" w:cs="Times New Roman"/>
          <w:sz w:val="28"/>
          <w:szCs w:val="28"/>
          <w:lang w:eastAsia="ru-RU"/>
        </w:rPr>
        <w:t>Поступления налога на прибыль организаций прогнозируются с ростом в 2023 году и составят 29661,02 млн рублей, в 2024 году – 30740,87 млн рублей.</w:t>
      </w:r>
    </w:p>
    <w:p w14:paraId="79EE30A3"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акцизов по подакцизным товарам (продукции), производимым на территории Российской Федерации,</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 xml:space="preserve">законопроектом на 2022 год предусмотрено в объеме 11736,50 млн рублей, что на 1191,52 млн рублей, или на 9,22 % ниже утвержденных Законом № 969-КЗ плановых назначений на 2022 год, и выше плановых назначений на 2021 год на 807,88 млн рублей, или на 7,39 %. В структуре налоговых и неналоговых доходов акцизы занимают 10,70 %.  </w:t>
      </w:r>
    </w:p>
    <w:p w14:paraId="41CCDB3F" w14:textId="77777777" w:rsidR="00326533" w:rsidRPr="00522104" w:rsidRDefault="00326533" w:rsidP="0032653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sz w:val="28"/>
          <w:szCs w:val="28"/>
          <w:lang w:eastAsia="ru-RU"/>
        </w:rPr>
        <w:t>Объем поступлений акцизов</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на алкогольную продукцию и нефтепродукты</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на 2022 год запланирован с учетом планируемых поступлений за текущий год, изменения ставок акцизов, установленных главой 22 части второй Налогового кодекса Российской Федерации и изменений в соответствии с Федеральным законом от 30.11.2016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(далее – Федеральный закон от 30.11.2016 № 409-ФЗ) нормативов распределения между бюджетами бюджетной системы Российской Федерации акцизов на нефтепродукты.</w:t>
      </w:r>
    </w:p>
    <w:p w14:paraId="6B03C771" w14:textId="77777777" w:rsidR="00326533" w:rsidRPr="00522104" w:rsidRDefault="00326533" w:rsidP="0032653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Доходы от уплаты акцизов на нефтепродукты планируются в сумме 7007,89 млн рублей. В соответствии с изменениями, внесенными Федеральным законом от 30.11.2016 № 409-ФЗ</w:t>
      </w:r>
      <w:r w:rsidRPr="00522104">
        <w:rPr>
          <w:rStyle w:val="af"/>
          <w:rFonts w:ascii="Times New Roman" w:hAnsi="Times New Roman" w:cs="Times New Roman"/>
          <w:sz w:val="28"/>
          <w:szCs w:val="28"/>
        </w:rPr>
        <w:footnoteReference w:id="7"/>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 xml:space="preserve">в 2021-2024 годах норматив зачислений </w:t>
      </w:r>
      <w:r w:rsidRPr="00522104">
        <w:rPr>
          <w:rFonts w:ascii="Times New Roman" w:hAnsi="Times New Roman" w:cs="Times New Roman"/>
          <w:sz w:val="28"/>
          <w:szCs w:val="28"/>
        </w:rPr>
        <w:t xml:space="preserve">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установлен: </w:t>
      </w:r>
      <w:r w:rsidRPr="00522104">
        <w:rPr>
          <w:rFonts w:ascii="Times New Roman" w:eastAsia="Times New Roman" w:hAnsi="Times New Roman" w:cs="Times New Roman"/>
          <w:sz w:val="28"/>
          <w:szCs w:val="28"/>
          <w:lang w:eastAsia="ru-RU"/>
        </w:rPr>
        <w:t>в федеральный бюджет – 25,1 %, в краевой бюджет – 74,9 %.</w:t>
      </w:r>
    </w:p>
    <w:p w14:paraId="0B0725CD" w14:textId="77777777" w:rsidR="00326533" w:rsidRPr="00522104" w:rsidRDefault="00326533" w:rsidP="00326533">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Согласно приложению 3 к законопроекту на 2022 год и плановый период 2023 и 2024 годов предусмотрены дифференцированные нормативы отчислений в местные бюджеты доходов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(зачисление 10 % от налоговых доходов консолидированного бюджета Приморского края согласно статье 4 законопроекта).</w:t>
      </w:r>
    </w:p>
    <w:p w14:paraId="2C41E4BE" w14:textId="3B5EA7DA" w:rsidR="00326533" w:rsidRPr="00522104" w:rsidRDefault="00326533" w:rsidP="00326533">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522104">
        <w:rPr>
          <w:rFonts w:ascii="Times New Roman" w:eastAsia="Calibri" w:hAnsi="Times New Roman" w:cs="Times New Roman"/>
          <w:sz w:val="28"/>
          <w:szCs w:val="28"/>
          <w:lang w:eastAsia="ru-RU"/>
        </w:rPr>
        <w:t xml:space="preserve">Кроме того, согласно пояснительной записке к законопроекту учтены изменения налогового законодательства. Так, с 01.01.2022 Федеральным </w:t>
      </w:r>
      <w:r w:rsidR="005E1CDC" w:rsidRPr="00522104">
        <w:rPr>
          <w:rFonts w:ascii="Times New Roman" w:eastAsia="Calibri" w:hAnsi="Times New Roman" w:cs="Times New Roman"/>
          <w:sz w:val="28"/>
          <w:szCs w:val="28"/>
          <w:lang w:eastAsia="ru-RU"/>
        </w:rPr>
        <w:t>законом от 02.07.2020 № 305-ФЗ</w:t>
      </w:r>
      <w:r w:rsidRPr="00522104">
        <w:rPr>
          <w:rFonts w:ascii="Times New Roman" w:eastAsia="Calibri" w:hAnsi="Times New Roman" w:cs="Times New Roman"/>
          <w:sz w:val="28"/>
          <w:szCs w:val="28"/>
          <w:lang w:eastAsia="ru-RU"/>
        </w:rPr>
        <w:t xml:space="preserve"> "О внесении изменений в част</w:t>
      </w:r>
      <w:r w:rsidR="00B64032" w:rsidRPr="00522104">
        <w:rPr>
          <w:rFonts w:ascii="Times New Roman" w:eastAsia="Calibri" w:hAnsi="Times New Roman" w:cs="Times New Roman"/>
          <w:sz w:val="28"/>
          <w:szCs w:val="28"/>
          <w:lang w:eastAsia="ru-RU"/>
        </w:rPr>
        <w:t>и</w:t>
      </w:r>
      <w:r w:rsidRPr="00522104">
        <w:rPr>
          <w:rFonts w:ascii="Times New Roman" w:eastAsia="Calibri" w:hAnsi="Times New Roman" w:cs="Times New Roman"/>
          <w:sz w:val="28"/>
          <w:szCs w:val="28"/>
          <w:lang w:eastAsia="ru-RU"/>
        </w:rPr>
        <w:t xml:space="preserve"> первую и вторую Налогового кодекса Российской Федерации и отдельные законодательные акты Российской Федерации" налоговые ставки на нефтепродукты увеличены в среднем на 4,70 % (пп. 28-39 п.</w:t>
      </w:r>
      <w:r w:rsidR="00146FB7" w:rsidRPr="00522104">
        <w:rPr>
          <w:rFonts w:ascii="Times New Roman" w:eastAsia="Calibri" w:hAnsi="Times New Roman" w:cs="Times New Roman"/>
          <w:sz w:val="28"/>
          <w:szCs w:val="28"/>
          <w:lang w:eastAsia="ru-RU"/>
        </w:rPr>
        <w:t xml:space="preserve"> </w:t>
      </w:r>
      <w:r w:rsidRPr="00522104">
        <w:rPr>
          <w:rFonts w:ascii="Times New Roman" w:eastAsia="Calibri" w:hAnsi="Times New Roman" w:cs="Times New Roman"/>
          <w:sz w:val="28"/>
          <w:szCs w:val="28"/>
          <w:lang w:eastAsia="ru-RU"/>
        </w:rPr>
        <w:t>1 ст. 193 Налогового кодекса Российской Федерации).</w:t>
      </w:r>
    </w:p>
    <w:p w14:paraId="76F11A7F" w14:textId="77777777" w:rsidR="00326533" w:rsidRPr="00522104" w:rsidRDefault="00326533" w:rsidP="00326533">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522104">
        <w:rPr>
          <w:rFonts w:ascii="Times New Roman" w:eastAsia="Calibri" w:hAnsi="Times New Roman" w:cs="Times New Roman"/>
          <w:sz w:val="28"/>
          <w:szCs w:val="28"/>
          <w:lang w:eastAsia="ru-RU"/>
        </w:rPr>
        <w:t xml:space="preserve">Прогнозный объем поступлений акцизов на пиво и алкогольную продукцию в 2022 году планируется в объеме 4728,61 млн рублей, в том числе: сумма акциза на алкогольную продукцию с объемной долей спирта этилового свыше 9 % составит 2376,60 млн рублей; сумма акциза на спирт этиловый – 20,40 млн рублей; сумма акциза на пиво – 2329,45 млн рублей, сумма акциза на сидр, пуаре, медовуху – 2,16 млн рублей. </w:t>
      </w:r>
    </w:p>
    <w:p w14:paraId="1A92734C" w14:textId="77777777" w:rsidR="00326533" w:rsidRPr="00522104" w:rsidRDefault="00326533" w:rsidP="00326533">
      <w:pPr>
        <w:shd w:val="clear" w:color="auto" w:fill="FFFFFF"/>
        <w:spacing w:after="0" w:line="240" w:lineRule="auto"/>
        <w:ind w:firstLine="709"/>
        <w:jc w:val="both"/>
        <w:rPr>
          <w:rFonts w:ascii="Times New Roman" w:eastAsia="Calibri" w:hAnsi="Times New Roman" w:cs="Times New Roman"/>
          <w:sz w:val="28"/>
          <w:szCs w:val="28"/>
          <w:lang w:eastAsia="ru-RU"/>
        </w:rPr>
      </w:pPr>
      <w:r w:rsidRPr="00522104">
        <w:rPr>
          <w:rFonts w:ascii="Times New Roman" w:eastAsia="Calibri" w:hAnsi="Times New Roman" w:cs="Times New Roman"/>
          <w:sz w:val="28"/>
          <w:szCs w:val="28"/>
          <w:lang w:eastAsia="ru-RU"/>
        </w:rPr>
        <w:t xml:space="preserve">На плановый период поступления акцизов в доход краевого бюджета прогнозируются с ростом и составят в 2023 году 11833,90 млн рублей, в 2024 году – 11834,15 млн рублей. </w:t>
      </w:r>
    </w:p>
    <w:p w14:paraId="7F5DF981"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налога, взимаемого в связи с применением упрощенной системы налогообложения, в соответствии с законопроектом на 2022 год планируется в объеме 7383,69 млн рублей, что ниже утвержденных Законом № 969-КЗ плановых назначений на 2022 год на 1095,01 млн рублей, или на 12,91 %, и ниже плановых назначений на 2021 год на 1369,66 млн рублей, или на 15,65 %. В структуре налоговых и неналоговых доходов указанный налог занимает 6,73 %.</w:t>
      </w:r>
    </w:p>
    <w:p w14:paraId="5339D454"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Расчет плановых поступлений налога произведен исходя из фактических поступлений налога за 8 месяцев 2021 года, фактических поступлений за 2020 год и ожидаемых поступлений 2021 года, с учетом индекса потребительских цен на 2022 год в размере 104,00 %</w:t>
      </w:r>
      <w:r w:rsidRPr="00522104">
        <w:rPr>
          <w:rStyle w:val="af"/>
          <w:rFonts w:ascii="Times New Roman" w:eastAsia="Times New Roman" w:hAnsi="Times New Roman" w:cs="Times New Roman"/>
          <w:sz w:val="28"/>
          <w:szCs w:val="28"/>
          <w:lang w:eastAsia="ru-RU"/>
        </w:rPr>
        <w:footnoteReference w:id="8"/>
      </w:r>
      <w:r w:rsidRPr="00522104">
        <w:rPr>
          <w:rFonts w:ascii="Times New Roman" w:eastAsia="Times New Roman" w:hAnsi="Times New Roman" w:cs="Times New Roman"/>
          <w:sz w:val="28"/>
          <w:szCs w:val="28"/>
          <w:lang w:eastAsia="ru-RU"/>
        </w:rPr>
        <w:t>. Кроме того, в расчете поступлений налога учтено установление дифференцированных нормативов отчислений в местные бюджеты от налога, взимаемого в связи с применением упрощенной системы налогообложения в соответствии со статьей 5 законопроекта на 2022 год (приложение 4 к законопроекту на 2022 год).</w:t>
      </w:r>
    </w:p>
    <w:p w14:paraId="6C938E21"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 данного налога в 2023 году ожидаются с ростом и составят 7664,27 млн рублей, в 2024 году – 7963,17 млн рублей.</w:t>
      </w:r>
    </w:p>
    <w:p w14:paraId="380561DD" w14:textId="1DD175E3" w:rsidR="00326533" w:rsidRPr="00522104" w:rsidRDefault="00326533" w:rsidP="009966CD">
      <w:pPr>
        <w:spacing w:after="0" w:line="240" w:lineRule="auto"/>
        <w:ind w:firstLine="709"/>
        <w:jc w:val="both"/>
        <w:rPr>
          <w:rFonts w:ascii="Times New Roman" w:hAnsi="Times New Roman"/>
          <w:i/>
          <w:sz w:val="28"/>
          <w:szCs w:val="28"/>
        </w:rPr>
      </w:pPr>
      <w:r w:rsidRPr="00522104">
        <w:rPr>
          <w:rFonts w:ascii="Times New Roman" w:eastAsia="Times New Roman" w:hAnsi="Times New Roman" w:cs="Times New Roman"/>
          <w:sz w:val="28"/>
          <w:szCs w:val="28"/>
          <w:lang w:eastAsia="ru-RU"/>
        </w:rPr>
        <w:t>Налог на профессиональный доход</w:t>
      </w:r>
      <w:r w:rsidR="009966CD" w:rsidRPr="00522104">
        <w:rPr>
          <w:rFonts w:ascii="Times New Roman" w:eastAsia="Times New Roman" w:hAnsi="Times New Roman" w:cs="Times New Roman"/>
          <w:b/>
          <w:sz w:val="28"/>
          <w:szCs w:val="28"/>
          <w:lang w:eastAsia="ru-RU"/>
        </w:rPr>
        <w:t xml:space="preserve"> </w:t>
      </w:r>
      <w:r w:rsidR="009966CD" w:rsidRPr="00522104">
        <w:rPr>
          <w:rFonts w:ascii="Times New Roman" w:eastAsia="Times New Roman" w:hAnsi="Times New Roman" w:cs="Times New Roman"/>
          <w:sz w:val="28"/>
          <w:szCs w:val="28"/>
          <w:lang w:eastAsia="ru-RU"/>
        </w:rPr>
        <w:t>з</w:t>
      </w:r>
      <w:r w:rsidRPr="00522104">
        <w:rPr>
          <w:rFonts w:ascii="Times New Roman" w:eastAsia="Times New Roman" w:hAnsi="Times New Roman" w:cs="Times New Roman"/>
          <w:sz w:val="28"/>
          <w:szCs w:val="28"/>
          <w:lang w:eastAsia="ru-RU"/>
        </w:rPr>
        <w:t>аконопроектом на 2022 год запланирован в сумме 72,35 млн рублей, что выше плановых назначений, утвержденных Законом № 969-КЗ на 2022 год в 2,0 раза, или на 36,35 млн рублей, и выше плановых назначений на 2021 год на 33,49 %, или на 18,15 млн рублей. За 9 месяцев 2021 года объем поступлений данного налога составил 55,71 млн рублей, или 102,78 % от плановых назначений (54,20 млн рублей).</w:t>
      </w:r>
      <w:r w:rsidRPr="00522104">
        <w:rPr>
          <w:rFonts w:ascii="Times New Roman" w:hAnsi="Times New Roman"/>
          <w:sz w:val="28"/>
          <w:szCs w:val="28"/>
        </w:rPr>
        <w:t xml:space="preserve"> Прогноз поступлений на 2022 год рассчитан главным администратором доходов – Управлением Федеральной налоговой службы по Приморскому краю. В соответствии со статьей</w:t>
      </w:r>
      <w:r w:rsidRPr="00522104">
        <w:rPr>
          <w:rFonts w:ascii="Times New Roman" w:hAnsi="Times New Roman" w:cs="Times New Roman"/>
          <w:sz w:val="28"/>
          <w:szCs w:val="28"/>
        </w:rPr>
        <w:t xml:space="preserve"> 56 и 146 Бюджетного кодекса Российской Федерации налог на профессиональный доход, подлежат зачислению по нормативу 63 % в бюджеты субъектов Российской Федерации и 37 % в бюджет Федерального фонда обязательного медицинского страхования.</w:t>
      </w:r>
      <w:r w:rsidRPr="00522104">
        <w:rPr>
          <w:rFonts w:ascii="Times New Roman" w:hAnsi="Times New Roman"/>
          <w:sz w:val="28"/>
          <w:szCs w:val="28"/>
        </w:rPr>
        <w:t xml:space="preserve"> </w:t>
      </w:r>
    </w:p>
    <w:p w14:paraId="41881EF2"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плановый период поступления по налогу на профессиональный доход в 2023 году планируются с ростом и составят 75,24 млн рублей, в 2024 году – 78,25 млн рублей.</w:t>
      </w:r>
    </w:p>
    <w:p w14:paraId="1A74735D" w14:textId="1E356535" w:rsidR="00326533" w:rsidRPr="00522104" w:rsidRDefault="00293370"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 по н</w:t>
      </w:r>
      <w:r w:rsidR="00326533" w:rsidRPr="00522104">
        <w:rPr>
          <w:rFonts w:ascii="Times New Roman" w:eastAsia="Times New Roman" w:hAnsi="Times New Roman" w:cs="Times New Roman"/>
          <w:sz w:val="28"/>
          <w:szCs w:val="28"/>
          <w:lang w:eastAsia="ru-RU"/>
        </w:rPr>
        <w:t>алог</w:t>
      </w:r>
      <w:r w:rsidRPr="00522104">
        <w:rPr>
          <w:rFonts w:ascii="Times New Roman" w:eastAsia="Times New Roman" w:hAnsi="Times New Roman" w:cs="Times New Roman"/>
          <w:sz w:val="28"/>
          <w:szCs w:val="28"/>
          <w:lang w:eastAsia="ru-RU"/>
        </w:rPr>
        <w:t>у</w:t>
      </w:r>
      <w:r w:rsidR="00326533" w:rsidRPr="00522104">
        <w:rPr>
          <w:rFonts w:ascii="Times New Roman" w:eastAsia="Times New Roman" w:hAnsi="Times New Roman" w:cs="Times New Roman"/>
          <w:sz w:val="28"/>
          <w:szCs w:val="28"/>
          <w:lang w:eastAsia="ru-RU"/>
        </w:rPr>
        <w:t xml:space="preserve"> на имущество организаций</w:t>
      </w:r>
      <w:r w:rsidRPr="00522104">
        <w:rPr>
          <w:rFonts w:ascii="Times New Roman" w:eastAsia="Times New Roman" w:hAnsi="Times New Roman" w:cs="Times New Roman"/>
          <w:b/>
          <w:sz w:val="28"/>
          <w:szCs w:val="28"/>
          <w:lang w:eastAsia="ru-RU"/>
        </w:rPr>
        <w:t xml:space="preserve"> </w:t>
      </w:r>
      <w:r w:rsidR="00326533" w:rsidRPr="00522104">
        <w:rPr>
          <w:rFonts w:ascii="Times New Roman" w:eastAsia="Times New Roman" w:hAnsi="Times New Roman" w:cs="Times New Roman"/>
          <w:sz w:val="28"/>
          <w:szCs w:val="28"/>
          <w:lang w:eastAsia="ru-RU"/>
        </w:rPr>
        <w:t xml:space="preserve">законопроектом на 2022 год предусмотрены в сумме 12575,36 млн рублей, что ниже плановых назначений, утвержденных Законом № 969-КЗ на 2022 год на 223,87 млн рублей, или на 1,75 %, и выше плановых назначений на 2021 год на 127,22 млн рублей, или на 1,02 %. В структуре налоговых и неналоговых доходов налог на имущество организаций занимает 11,46 %. </w:t>
      </w:r>
    </w:p>
    <w:p w14:paraId="007A8936" w14:textId="77777777" w:rsidR="00326533" w:rsidRPr="00522104" w:rsidRDefault="00326533" w:rsidP="00326533">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При расчете налога на имущество организаций на 2022 год были учтены поправки, внесенные Законом Приморского края от 29.03.2021 № 1019-КЗ "О внесении изменения в статью 2 Закона Приморского края "О налоге на имущество организаций".</w:t>
      </w:r>
    </w:p>
    <w:p w14:paraId="77EE8899" w14:textId="77777777" w:rsidR="00326533" w:rsidRPr="00522104" w:rsidRDefault="00326533" w:rsidP="00326533">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Кроме того, в результате отмены ряда налоговых льгот по налогу на имущество организаций, сумма дополнительных доходов на 2022 год по расчетам Правительства Приморского края составит 127,22 млн рублей.</w:t>
      </w:r>
    </w:p>
    <w:p w14:paraId="14FB4754" w14:textId="77777777" w:rsidR="00326533" w:rsidRPr="00522104" w:rsidRDefault="00326533" w:rsidP="003265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 налога на плановый период прогнозируются с ростом и составят в 2023 году 12785,36 млн рублей, в 2024 году – 12785,36 млн рублей.</w:t>
      </w:r>
    </w:p>
    <w:p w14:paraId="06EC1632" w14:textId="05210641"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транспортного налога на 2022 год предусмотрены в сумме 2290,35 млн рублей, что ниже утвержденных Законом № 969-КЗ планов</w:t>
      </w:r>
      <w:r w:rsidR="00FB0F0D" w:rsidRPr="00522104">
        <w:rPr>
          <w:rFonts w:ascii="Times New Roman" w:eastAsia="Times New Roman" w:hAnsi="Times New Roman" w:cs="Times New Roman"/>
          <w:sz w:val="28"/>
          <w:szCs w:val="28"/>
          <w:lang w:eastAsia="ru-RU"/>
        </w:rPr>
        <w:t>ых назначений на 2022 год на 3,6</w:t>
      </w:r>
      <w:r w:rsidRPr="00522104">
        <w:rPr>
          <w:rFonts w:ascii="Times New Roman" w:eastAsia="Times New Roman" w:hAnsi="Times New Roman" w:cs="Times New Roman"/>
          <w:sz w:val="28"/>
          <w:szCs w:val="28"/>
          <w:lang w:eastAsia="ru-RU"/>
        </w:rPr>
        <w:t>2 млн рублей, или на 0,16 %, и выше плановых назначений на 2021 год на 21,10 млн рублей, или на 0,93 %. В структуре налоговых и неналоговых доходов транспортный налог занимает 2,09 %.</w:t>
      </w:r>
    </w:p>
    <w:p w14:paraId="2A1C23E1" w14:textId="1C75B43D"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 от орга</w:t>
      </w:r>
      <w:r w:rsidR="00FB0F0D" w:rsidRPr="00522104">
        <w:rPr>
          <w:rFonts w:ascii="Times New Roman" w:eastAsia="Times New Roman" w:hAnsi="Times New Roman" w:cs="Times New Roman"/>
          <w:sz w:val="28"/>
          <w:szCs w:val="28"/>
          <w:lang w:eastAsia="ru-RU"/>
        </w:rPr>
        <w:t>низаций в 2022 году ожидаются в сумме 389,35</w:t>
      </w:r>
      <w:r w:rsidRPr="00522104">
        <w:rPr>
          <w:rFonts w:ascii="Times New Roman" w:eastAsia="Times New Roman" w:hAnsi="Times New Roman" w:cs="Times New Roman"/>
          <w:sz w:val="28"/>
          <w:szCs w:val="28"/>
          <w:lang w:eastAsia="ru-RU"/>
        </w:rPr>
        <w:t xml:space="preserve"> млн рублей (доля </w:t>
      </w:r>
      <w:r w:rsidR="00FB0F0D" w:rsidRPr="00522104">
        <w:rPr>
          <w:rFonts w:ascii="Times New Roman" w:eastAsia="Times New Roman" w:hAnsi="Times New Roman" w:cs="Times New Roman"/>
          <w:sz w:val="28"/>
          <w:szCs w:val="28"/>
          <w:lang w:eastAsia="ru-RU"/>
        </w:rPr>
        <w:t>в общем объеме по налогу – 17,00</w:t>
      </w:r>
      <w:r w:rsidRPr="00522104">
        <w:rPr>
          <w:rFonts w:ascii="Times New Roman" w:eastAsia="Times New Roman" w:hAnsi="Times New Roman" w:cs="Times New Roman"/>
          <w:sz w:val="28"/>
          <w:szCs w:val="28"/>
          <w:lang w:eastAsia="ru-RU"/>
        </w:rPr>
        <w:t> %), от физических</w:t>
      </w:r>
      <w:r w:rsidR="00FB0F0D" w:rsidRPr="00522104">
        <w:rPr>
          <w:rFonts w:ascii="Times New Roman" w:eastAsia="Times New Roman" w:hAnsi="Times New Roman" w:cs="Times New Roman"/>
          <w:sz w:val="28"/>
          <w:szCs w:val="28"/>
          <w:lang w:eastAsia="ru-RU"/>
        </w:rPr>
        <w:t xml:space="preserve"> лиц – 1900,99 млн рублей (83,00</w:t>
      </w:r>
      <w:r w:rsidRPr="00522104">
        <w:rPr>
          <w:rFonts w:ascii="Times New Roman" w:eastAsia="Times New Roman" w:hAnsi="Times New Roman" w:cs="Times New Roman"/>
          <w:sz w:val="28"/>
          <w:szCs w:val="28"/>
          <w:lang w:eastAsia="ru-RU"/>
        </w:rPr>
        <w:t xml:space="preserve"> %). </w:t>
      </w:r>
    </w:p>
    <w:p w14:paraId="14992C8F" w14:textId="5D3ACD8B"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 по транспортному налогу в 2023 году и 2024 году запланированы на уровне 2022 года – 2290,35 мл</w:t>
      </w:r>
      <w:r w:rsidR="00FB0F0D" w:rsidRPr="00522104">
        <w:rPr>
          <w:rFonts w:ascii="Times New Roman" w:eastAsia="Times New Roman" w:hAnsi="Times New Roman" w:cs="Times New Roman"/>
          <w:sz w:val="28"/>
          <w:szCs w:val="28"/>
          <w:lang w:eastAsia="ru-RU"/>
        </w:rPr>
        <w:t>н рублей.</w:t>
      </w:r>
      <w:r w:rsidRPr="00522104">
        <w:rPr>
          <w:rFonts w:ascii="Times New Roman" w:eastAsia="Times New Roman" w:hAnsi="Times New Roman" w:cs="Times New Roman"/>
          <w:sz w:val="28"/>
          <w:szCs w:val="28"/>
          <w:lang w:eastAsia="ru-RU"/>
        </w:rPr>
        <w:t xml:space="preserve"> </w:t>
      </w:r>
    </w:p>
    <w:p w14:paraId="534F17CE" w14:textId="77777777" w:rsidR="00326533" w:rsidRPr="00522104" w:rsidRDefault="00326533" w:rsidP="00326533">
      <w:pPr>
        <w:spacing w:after="0" w:line="240" w:lineRule="auto"/>
        <w:ind w:firstLine="709"/>
        <w:jc w:val="both"/>
        <w:rPr>
          <w:rFonts w:ascii="Times New Roman" w:eastAsia="Calibri" w:hAnsi="Times New Roman" w:cs="Times New Roman"/>
          <w:bCs/>
          <w:sz w:val="28"/>
          <w:szCs w:val="28"/>
          <w:lang w:eastAsia="ru-RU"/>
        </w:rPr>
      </w:pPr>
      <w:r w:rsidRPr="00522104">
        <w:rPr>
          <w:rFonts w:ascii="Times New Roman" w:eastAsia="Calibri" w:hAnsi="Times New Roman" w:cs="Times New Roman"/>
          <w:bCs/>
          <w:sz w:val="28"/>
          <w:szCs w:val="28"/>
          <w:lang w:eastAsia="ru-RU"/>
        </w:rPr>
        <w:t>Поступления</w:t>
      </w:r>
      <w:r w:rsidRPr="00522104">
        <w:rPr>
          <w:rFonts w:ascii="Times New Roman" w:eastAsia="Calibri" w:hAnsi="Times New Roman" w:cs="Times New Roman"/>
          <w:b/>
          <w:bCs/>
          <w:sz w:val="28"/>
          <w:szCs w:val="28"/>
          <w:lang w:eastAsia="ru-RU"/>
        </w:rPr>
        <w:t xml:space="preserve"> </w:t>
      </w:r>
      <w:r w:rsidRPr="00522104">
        <w:rPr>
          <w:rFonts w:ascii="Times New Roman" w:eastAsia="Calibri" w:hAnsi="Times New Roman" w:cs="Times New Roman"/>
          <w:bCs/>
          <w:sz w:val="28"/>
          <w:szCs w:val="28"/>
          <w:lang w:eastAsia="ru-RU"/>
        </w:rPr>
        <w:t>налога на игорный бизнес в 2022 году прогнозируются в сумме 143,58 млн рублей,</w:t>
      </w:r>
      <w:r w:rsidRPr="00522104">
        <w:rPr>
          <w:rFonts w:ascii="Times New Roman" w:eastAsia="Times New Roman" w:hAnsi="Times New Roman" w:cs="Times New Roman"/>
          <w:sz w:val="28"/>
          <w:szCs w:val="28"/>
          <w:lang w:eastAsia="ru-RU"/>
        </w:rPr>
        <w:t xml:space="preserve"> что ниже утвержденных Законом № 969-КЗ назначений на 2022 год на 4,05 млн рублей, или на 2,74 %, и выше плановых назначений на 2021 год на 28,14 млн рублей, или 24,38 %. Прогноз поступления налога </w:t>
      </w:r>
      <w:r w:rsidRPr="00522104">
        <w:rPr>
          <w:rFonts w:ascii="Times New Roman" w:eastAsia="Calibri" w:hAnsi="Times New Roman" w:cs="Times New Roman"/>
          <w:bCs/>
          <w:sz w:val="28"/>
          <w:szCs w:val="28"/>
          <w:lang w:eastAsia="ru-RU"/>
        </w:rPr>
        <w:t xml:space="preserve">рассчитан исходя из данных, предоставленных УФНС России по Приморскому краю о количестве объектов налога (пунктов приема ставок букмекерских контор, игровых автоматов, игровых столов), поставленных на налоговый учет на территории Приморского края. </w:t>
      </w:r>
    </w:p>
    <w:p w14:paraId="1C5119F9"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плановый период поступления по налогу планируются с ростом и составят в 2023 году 160,26 млн рублей, в 2024 году – 209,76 млн рублей.</w:t>
      </w:r>
    </w:p>
    <w:p w14:paraId="6E5E1AA7" w14:textId="3A10509A"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по налогам, сборам и регулярным платежам за пользование природными ресурсами законопроектом на 2022 год предусмотрены в объеме 623,40 млн рублей, что ниже утвержденных Законом № 969-КЗ назначений на 2022 год на 40,27 млн рублей, или на 6,07 %, и ниже плановых назначений на 2021 год 19,06 млн рублей, или на 2,97 %. В 2023 году поступления по данному дох</w:t>
      </w:r>
      <w:r w:rsidR="00FB0F0D" w:rsidRPr="00522104">
        <w:rPr>
          <w:rFonts w:ascii="Times New Roman" w:eastAsia="Times New Roman" w:hAnsi="Times New Roman" w:cs="Times New Roman"/>
          <w:sz w:val="28"/>
          <w:szCs w:val="28"/>
          <w:lang w:eastAsia="ru-RU"/>
        </w:rPr>
        <w:t>одному источнику составят 639,18</w:t>
      </w:r>
      <w:r w:rsidRPr="00522104">
        <w:rPr>
          <w:rFonts w:ascii="Times New Roman" w:eastAsia="Times New Roman" w:hAnsi="Times New Roman" w:cs="Times New Roman"/>
          <w:sz w:val="28"/>
          <w:szCs w:val="28"/>
          <w:lang w:eastAsia="ru-RU"/>
        </w:rPr>
        <w:t> млн рублей, в 2024 году – 653,61 млн рублей.</w:t>
      </w:r>
    </w:p>
    <w:p w14:paraId="2B317786"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разрезе видов поступлений предусмотрены плановые назначения по:</w:t>
      </w:r>
    </w:p>
    <w:p w14:paraId="23C31717" w14:textId="1FAC298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налогу на добычу полезных ископаемых</w:t>
      </w:r>
      <w:r w:rsidRPr="00522104">
        <w:rPr>
          <w:rFonts w:ascii="Times New Roman" w:eastAsia="Times New Roman" w:hAnsi="Times New Roman" w:cs="Times New Roman"/>
          <w:sz w:val="28"/>
          <w:szCs w:val="28"/>
          <w:lang w:eastAsia="ru-RU"/>
        </w:rPr>
        <w:t xml:space="preserve"> в сумме 309,40 млн рублей, что выше утвержденных Законом № 969-КЗ назначений на 2022 год на 23,48 млн рублей, или на 8,21 %, и выше плано</w:t>
      </w:r>
      <w:r w:rsidR="00FB0F0D" w:rsidRPr="00522104">
        <w:rPr>
          <w:rFonts w:ascii="Times New Roman" w:eastAsia="Times New Roman" w:hAnsi="Times New Roman" w:cs="Times New Roman"/>
          <w:sz w:val="28"/>
          <w:szCs w:val="28"/>
          <w:lang w:eastAsia="ru-RU"/>
        </w:rPr>
        <w:t>вых назначений на 2021 год на 33</w:t>
      </w:r>
      <w:r w:rsidRPr="00522104">
        <w:rPr>
          <w:rFonts w:ascii="Times New Roman" w:eastAsia="Times New Roman" w:hAnsi="Times New Roman" w:cs="Times New Roman"/>
          <w:sz w:val="28"/>
          <w:szCs w:val="28"/>
          <w:lang w:eastAsia="ru-RU"/>
        </w:rPr>
        <w:t>,12 млн рублей, или на 11,99 %. В 2023 году поступления по налогу на добычу полезных ископаемых прогнозируются с ростом и составят 319,11 млн рублей, в 2024 году – 327,37 млн рублей;</w:t>
      </w:r>
    </w:p>
    <w:p w14:paraId="0E5984CE"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сборам за пользование объектами животного мира и за пользование объектами водных биологических ресурсов</w:t>
      </w:r>
      <w:r w:rsidRPr="00522104">
        <w:rPr>
          <w:rFonts w:ascii="Times New Roman" w:eastAsia="Times New Roman" w:hAnsi="Times New Roman" w:cs="Times New Roman"/>
          <w:sz w:val="28"/>
          <w:szCs w:val="28"/>
          <w:lang w:eastAsia="ru-RU"/>
        </w:rPr>
        <w:t xml:space="preserve"> – 314,00 млн рублей, что ниже утвержденных Законом № 969-КЗ плановых назначений на 2022 год на 63,76 млн рублей, или на 16,88 %, и ниже плановых назначений на 2021 год на 52,18 млн рублей, или на 14,25 %. Расчет планируемого на 2022 год налога за пользование объектами животного мира произведен с учетом действующего законодательства, а также предполагаемой суммы сбора за выдачу лицензий. В 2022 году планируется получить сборов за пользование объектами животного мира в объеме 16,73 млн рублей. Сборы за пользование объектами водных биологических ресурсов на 2022 год запланированы в сумме 297,27 млн рублей, исходя из прогноза освоения квот на вылов водных биологических ресурсов, а также с учетом дополнительных поступлений по задолженности в результате контрольной работы налоговых органов. </w:t>
      </w:r>
    </w:p>
    <w:p w14:paraId="1B489633"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плановом периоде 2023-2024 годов поступления сборов за пользование объектами животного мира и за пользование объектами водных биологических ресурсов составят 320,08 млн рублей и 326,24 млн рублей соответственно.</w:t>
      </w:r>
    </w:p>
    <w:p w14:paraId="4AB6E151"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Государственная пошлина законопроектом на 2022 год предусмотрена в размере 332,66 млн рублей, что ниже утвержденных Законом № 969-КЗ назначений на 2022 год на 14,15 млн рублей, или на 4,08 %, и ниже плановых назначений на 2021 года на 14,19 млн рублей, на 4,09 %.</w:t>
      </w:r>
    </w:p>
    <w:p w14:paraId="64EEC281"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Поступление государственной пошлины на плановый период прогнозируется в 2023 году 322,22 млн рублей, в 2024 году – 322,38 млн рублей. </w:t>
      </w:r>
    </w:p>
    <w:p w14:paraId="36A8C626"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Доходы от использования имущества, находящегося в государственной и муниципальной собственности, представлены законопроектом на 2022 год в объеме 141,31 млн рублей, что ниже утвержденных Законом № 969-КЗ назначений на 2022 год на 90,94 млн рублей, или на 39,16 %, и ниже плановых назначений на 2021 год на 217,72 млн рублей, или в 2,54 раза. </w:t>
      </w:r>
    </w:p>
    <w:p w14:paraId="03C6803E"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Прогноз поступлений доходов от использования имущества, находящегося в государственной и муниципальной собственности, на 2023 год составит 102,06 млн рублей, на 2024 год – 82,26 млн рублей.</w:t>
      </w:r>
    </w:p>
    <w:p w14:paraId="7132753B"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составе указанных доходов в 2022 году занимают:</w:t>
      </w:r>
    </w:p>
    <w:p w14:paraId="37C846CE" w14:textId="77777777" w:rsidR="00326533" w:rsidRPr="00522104" w:rsidRDefault="00326533" w:rsidP="003265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а также плата по соглашениям об установлении сервитута в отношении земельных участков, находящихся в государственной или муниципальной собственности</w:t>
      </w:r>
      <w:r w:rsidRPr="00522104">
        <w:rPr>
          <w:rFonts w:ascii="Times New Roman" w:eastAsia="Times New Roman" w:hAnsi="Times New Roman" w:cs="Times New Roman"/>
          <w:sz w:val="28"/>
          <w:szCs w:val="28"/>
          <w:lang w:eastAsia="ru-RU"/>
        </w:rPr>
        <w:t xml:space="preserve"> – 64,88 млн рублей. На 2023 год и 2024 год данные доходы спрогнозированы в объеме 66,93 млн рублей и 67,32 млн рублей;</w:t>
      </w:r>
    </w:p>
    <w:p w14:paraId="195115BE" w14:textId="7D8B2646" w:rsidR="00326533" w:rsidRPr="00522104" w:rsidRDefault="00326533" w:rsidP="003265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доходы от размещения средств бюджетов</w:t>
      </w:r>
      <w:r w:rsidRPr="00522104">
        <w:rPr>
          <w:rFonts w:ascii="Times New Roman" w:eastAsia="Times New Roman" w:hAnsi="Times New Roman" w:cs="Times New Roman"/>
          <w:sz w:val="28"/>
          <w:szCs w:val="28"/>
          <w:lang w:eastAsia="ru-RU"/>
        </w:rPr>
        <w:t xml:space="preserve"> – сумма процентов, по договору банковского депозита запланирована в сумме 62,66 млн рублей. На плановый период 2023-2024 годов данные доходы не запланированы</w:t>
      </w:r>
      <w:r w:rsidR="00D47E92" w:rsidRPr="00522104">
        <w:rPr>
          <w:rFonts w:ascii="Times New Roman" w:eastAsia="Times New Roman" w:hAnsi="Times New Roman" w:cs="Times New Roman"/>
          <w:sz w:val="28"/>
          <w:szCs w:val="28"/>
          <w:lang w:eastAsia="ru-RU"/>
        </w:rPr>
        <w:t>;</w:t>
      </w:r>
    </w:p>
    <w:p w14:paraId="56BBE9BF"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 xml:space="preserve">платежи от государственных и муниципальных унитарных предприятий </w:t>
      </w:r>
      <w:r w:rsidRPr="00522104">
        <w:rPr>
          <w:rFonts w:ascii="Times New Roman" w:eastAsia="Times New Roman" w:hAnsi="Times New Roman" w:cs="Times New Roman"/>
          <w:sz w:val="28"/>
          <w:szCs w:val="28"/>
          <w:lang w:eastAsia="ru-RU"/>
        </w:rPr>
        <w:t>в сумме 5,85 млн рублей от КГУП "Приморский экологический оператор", прогноз данных поступлений произведен в соответствии с программой деятельности унитарного предприятия и графиками гашения задолженности. Поступления по данным доходам в 2023-2024 годах запланированы на уровне 2022 года;</w:t>
      </w:r>
    </w:p>
    <w:p w14:paraId="0203286C"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проценты, полученные от предоставления бюджетных кредитов внутри страны,</w:t>
      </w:r>
      <w:r w:rsidRPr="00522104">
        <w:rPr>
          <w:rFonts w:ascii="Times New Roman" w:eastAsia="Times New Roman" w:hAnsi="Times New Roman" w:cs="Times New Roman"/>
          <w:sz w:val="28"/>
          <w:szCs w:val="28"/>
          <w:lang w:eastAsia="ru-RU"/>
        </w:rPr>
        <w:t xml:space="preserve"> – 5,68 млн рублей по муниципальным образованиям Приморского края. Расчет поступлений данных доходов осуществлен на основании заключенных кредитных договоров с муниципальными образованиями Приморского края и мировых соглашений с юридическими лицами. По расчетам, представленным Правительством Приморского края, в 2023 году планируется получить 1,87 млн рублей, в 2024 году – 1,15 млн рублей;</w:t>
      </w:r>
    </w:p>
    <w:p w14:paraId="4E325727"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w:t>
      </w:r>
      <w:r w:rsidRPr="00522104">
        <w:rPr>
          <w:rFonts w:ascii="Times New Roman" w:eastAsia="Times New Roman" w:hAnsi="Times New Roman" w:cs="Times New Roman"/>
          <w:sz w:val="28"/>
          <w:szCs w:val="28"/>
          <w:lang w:eastAsia="ru-RU"/>
        </w:rPr>
        <w:t>– 0,89 млн рублей составят доходы от эксплуатации и использования имущества автомобильных дорог по договору аренды с ООО "Спецморнефтепорт". Поступления по данным доходам в плановом периоде 2023-2024 годов запланированы на уровне 2022 года;</w:t>
      </w:r>
    </w:p>
    <w:p w14:paraId="7C465B8B" w14:textId="3D9860F8"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r w:rsidRPr="00522104">
        <w:rPr>
          <w:rFonts w:ascii="Times New Roman" w:eastAsia="Times New Roman" w:hAnsi="Times New Roman" w:cs="Times New Roman"/>
          <w:sz w:val="28"/>
          <w:szCs w:val="28"/>
          <w:lang w:eastAsia="ru-RU"/>
        </w:rPr>
        <w:t xml:space="preserve"> – 1,35 млн рублей, в том числе: от АО "Романовское" – 0,25 млн рублей, АО "Троицкое" – 0,08 млн рублей, от АО </w:t>
      </w:r>
      <w:r w:rsidR="005E1CD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Большой Уссурийский" – 0,02 млн рублей, от АО "Корпорация развития Приморского края" – 1,00 млн рублей. </w:t>
      </w:r>
      <w:r w:rsidRPr="00522104">
        <w:rPr>
          <w:rFonts w:ascii="Times New Roman" w:eastAsia="Times New Roman" w:hAnsi="Times New Roman" w:cs="Times New Roman"/>
          <w:i/>
          <w:sz w:val="28"/>
          <w:szCs w:val="28"/>
          <w:lang w:eastAsia="ru-RU"/>
        </w:rPr>
        <w:t>Справочно: Законом № 969-КЗ (в действующей редакции) данные доходы на 2022 год утверждены в сумме 44,85 млн рублей.</w:t>
      </w:r>
      <w:r w:rsidRPr="00522104">
        <w:rPr>
          <w:rFonts w:ascii="Times New Roman" w:eastAsia="Times New Roman" w:hAnsi="Times New Roman" w:cs="Times New Roman"/>
          <w:sz w:val="28"/>
          <w:szCs w:val="28"/>
          <w:lang w:eastAsia="ru-RU"/>
        </w:rPr>
        <w:t xml:space="preserve"> Поступления по данным доходам, согласно законопроекту, в 2023 году и 2024 году ожидается в сумме 26,53 млн рублей и 7,05 млн рублей соответственно. </w:t>
      </w:r>
    </w:p>
    <w:p w14:paraId="3232D550" w14:textId="5352513A"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Платежи при пользовании природными ресурсами</w:t>
      </w:r>
      <w:r w:rsidRPr="00522104">
        <w:rPr>
          <w:rFonts w:ascii="Times New Roman" w:eastAsia="Times New Roman" w:hAnsi="Times New Roman" w:cs="Times New Roman"/>
          <w:sz w:val="28"/>
          <w:szCs w:val="28"/>
          <w:lang w:eastAsia="ru-RU"/>
        </w:rPr>
        <w:t xml:space="preserve"> на 2022 год </w:t>
      </w:r>
      <w:r w:rsidR="00B049E5" w:rsidRPr="00522104">
        <w:rPr>
          <w:rFonts w:ascii="Times New Roman" w:eastAsia="Times New Roman" w:hAnsi="Times New Roman" w:cs="Times New Roman"/>
          <w:sz w:val="28"/>
          <w:szCs w:val="28"/>
          <w:lang w:eastAsia="ru-RU"/>
        </w:rPr>
        <w:t>составят</w:t>
      </w:r>
      <w:r w:rsidRPr="00522104">
        <w:rPr>
          <w:rFonts w:ascii="Times New Roman" w:eastAsia="Times New Roman" w:hAnsi="Times New Roman" w:cs="Times New Roman"/>
          <w:sz w:val="28"/>
          <w:szCs w:val="28"/>
          <w:lang w:eastAsia="ru-RU"/>
        </w:rPr>
        <w:t xml:space="preserve"> 260,25 млн рублей, что выше утвержденных Законом № 969-КЗ назначений на 2022 год на 95,73 млн рублей, или на 58,19 %, и ниже плановых назначений на 2021 год на 5,38 млн рублей, или на 2,03 %.</w:t>
      </w:r>
    </w:p>
    <w:p w14:paraId="632E349A" w14:textId="7CD2D16F" w:rsidR="00326533" w:rsidRPr="00522104" w:rsidRDefault="00326533" w:rsidP="00326533">
      <w:pPr>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Плата за негативное воздействие на окружающую среду</w:t>
      </w:r>
      <w:r w:rsidRPr="00522104">
        <w:rPr>
          <w:rFonts w:ascii="Times New Roman" w:eastAsia="Times New Roman" w:hAnsi="Times New Roman" w:cs="Times New Roman"/>
          <w:sz w:val="28"/>
          <w:szCs w:val="28"/>
          <w:lang w:eastAsia="ru-RU"/>
        </w:rPr>
        <w:t xml:space="preserve"> в 2022 году запланирована </w:t>
      </w:r>
      <w:r w:rsidR="00B049E5" w:rsidRPr="00522104">
        <w:rPr>
          <w:rFonts w:ascii="Times New Roman" w:eastAsia="Times New Roman" w:hAnsi="Times New Roman" w:cs="Times New Roman"/>
          <w:sz w:val="28"/>
          <w:szCs w:val="28"/>
          <w:lang w:eastAsia="ru-RU"/>
        </w:rPr>
        <w:t>на</w:t>
      </w:r>
      <w:r w:rsidRPr="00522104">
        <w:rPr>
          <w:rFonts w:ascii="Times New Roman" w:eastAsia="Times New Roman" w:hAnsi="Times New Roman" w:cs="Times New Roman"/>
          <w:sz w:val="28"/>
          <w:szCs w:val="28"/>
          <w:lang w:eastAsia="ru-RU"/>
        </w:rPr>
        <w:t xml:space="preserve"> 69,60 млн рублей, что выше утвержденных Законом № 969-КЗ бюджетных назначений на 2022 год на 32,57 %, или на 17,10 млн рублей, и выше годовых назначений на 2021 год на 10,48 %, или на </w:t>
      </w:r>
      <w:r w:rsidR="00B049E5" w:rsidRPr="00522104">
        <w:rPr>
          <w:rFonts w:ascii="Times New Roman" w:eastAsia="Times New Roman" w:hAnsi="Times New Roman" w:cs="Times New Roman"/>
          <w:sz w:val="28"/>
          <w:szCs w:val="28"/>
          <w:lang w:eastAsia="ru-RU"/>
        </w:rPr>
        <w:br/>
      </w:r>
      <w:r w:rsidRPr="00522104">
        <w:rPr>
          <w:rFonts w:ascii="Times New Roman" w:eastAsia="Times New Roman" w:hAnsi="Times New Roman" w:cs="Times New Roman"/>
          <w:sz w:val="28"/>
          <w:szCs w:val="28"/>
          <w:lang w:eastAsia="ru-RU"/>
        </w:rPr>
        <w:t>6,60 млн рублей.</w:t>
      </w:r>
      <w:r w:rsidRPr="00522104">
        <w:rPr>
          <w:rFonts w:ascii="Times New Roman" w:eastAsia="Times New Roman" w:hAnsi="Times New Roman" w:cs="Times New Roman"/>
          <w:i/>
          <w:sz w:val="28"/>
          <w:szCs w:val="28"/>
          <w:lang w:eastAsia="ru-RU"/>
        </w:rPr>
        <w:t xml:space="preserve"> Справочно: за 9 месяцев 2021 года плата за негативное воздействие на окружающую среду поступила в объеме 63,98 млн рублей, что составляет 101,56 % от утвержденных на 2021 год назначений (63,00 млн рублей).</w:t>
      </w:r>
    </w:p>
    <w:p w14:paraId="7EA4F047"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Платежи при пользовании недрами</w:t>
      </w:r>
      <w:r w:rsidRPr="00522104">
        <w:rPr>
          <w:rFonts w:ascii="Times New Roman" w:eastAsia="Times New Roman" w:hAnsi="Times New Roman" w:cs="Times New Roman"/>
          <w:sz w:val="28"/>
          <w:szCs w:val="28"/>
          <w:lang w:eastAsia="ru-RU"/>
        </w:rPr>
        <w:t xml:space="preserve"> законопроектом на 2022 год предусмотрены в объеме 6,76 млн рублей, что выше утвержденных Законом № 969-КЗ бюджетных назначений на 2022 год на 39,18 %, или на 1,90 млн рублей, и ниже годовых назначений на 2021 год на 17,18 %, или на 1,40 млн рублей.</w:t>
      </w:r>
    </w:p>
    <w:p w14:paraId="18A2C90F" w14:textId="77777777" w:rsidR="00326533" w:rsidRPr="00522104" w:rsidRDefault="00326533" w:rsidP="00326533">
      <w:pPr>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Плата за использование лесов</w:t>
      </w:r>
      <w:r w:rsidRPr="00522104">
        <w:rPr>
          <w:rFonts w:ascii="Times New Roman" w:eastAsia="Times New Roman" w:hAnsi="Times New Roman" w:cs="Times New Roman"/>
          <w:sz w:val="28"/>
          <w:szCs w:val="28"/>
          <w:lang w:eastAsia="ru-RU"/>
        </w:rPr>
        <w:t xml:space="preserve"> в 2022 году запланирована в сумме 183,89 млн рублей, что выше утвержденных Законом № 969-КЗ бюджетных назначений на 2022 год на 71,60 %, или на 76,73 млн рублей, и ниже годовых назначений на 2021 год на 5,44 %, или на 10,58 млн рублей. Расчет платы за использование лесов на 2022 год произведен на основании действующих и переходящих на 2022 год договоров купли-продажи лесных насаждений и договоров арендной платы. </w:t>
      </w:r>
      <w:r w:rsidRPr="00522104">
        <w:rPr>
          <w:rFonts w:ascii="Times New Roman" w:eastAsia="Times New Roman" w:hAnsi="Times New Roman" w:cs="Times New Roman"/>
          <w:i/>
          <w:sz w:val="28"/>
          <w:szCs w:val="28"/>
          <w:lang w:eastAsia="ru-RU"/>
        </w:rPr>
        <w:t>Справочно: за 9 месяцев 2021 года плата за использование лесов поступила в объеме 254,50 млн рублей, что составляет 130,87 % от утвержденных на 2021 год назначений (194,47 млн рублей).</w:t>
      </w:r>
    </w:p>
    <w:p w14:paraId="38080244" w14:textId="14D84B0E"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Объем поступлений от платежей при пользовании природными ресурсами согласно законопроекту запланирован на 2023 год в сумме 272,32 млн рублей, на 2024 год </w:t>
      </w:r>
      <w:r w:rsidR="00D47E92"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282,44 млн рублей.</w:t>
      </w:r>
    </w:p>
    <w:p w14:paraId="501223C1" w14:textId="77777777" w:rsidR="00476D5F" w:rsidRPr="00522104" w:rsidRDefault="00476D5F" w:rsidP="00476D5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Доходы от оказания платных услуг и компенсации затрат государства</w:t>
      </w:r>
      <w:r w:rsidRPr="00522104">
        <w:rPr>
          <w:rFonts w:ascii="Times New Roman" w:eastAsia="Times New Roman" w:hAnsi="Times New Roman" w:cs="Times New Roman"/>
          <w:sz w:val="28"/>
          <w:szCs w:val="28"/>
          <w:lang w:eastAsia="ru-RU"/>
        </w:rPr>
        <w:t xml:space="preserve"> на 2022 год запланированы в общей сумме 56,10 млн рублей, что выше утвержденных Законом № 969-КЗ бюджетных назначений на 2022 год на 26,53 %, или на 11,76 млн рублей, и ниже плановых назначений на 2021 год в 2,18 раза, или на 65,96 млн рублей. </w:t>
      </w:r>
    </w:p>
    <w:p w14:paraId="62F295CA" w14:textId="77777777" w:rsidR="00476D5F" w:rsidRPr="00522104" w:rsidRDefault="00476D5F" w:rsidP="00476D5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представленным расчетам данные поступления в 2022 году ожидаются от 10 главных администраторов доходов, из них: 20,50 млн рублей от министерства труда и социальной политики Приморского края, 15,11 млн рублей от министерства имущественных и земельных отношений Приморского края, 10,00 млн рублей от министерства здравоохранения Приморского края.</w:t>
      </w:r>
    </w:p>
    <w:p w14:paraId="0F69537B" w14:textId="77777777" w:rsidR="00476D5F" w:rsidRPr="00522104" w:rsidRDefault="00476D5F" w:rsidP="00476D5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составе доходов от оказания платных услуг и компенсации затрат государства на 2022 год доходы от оказания платных услуг составят 17,47 млн рублей, доходы от оказания компенсации затрат государства – 38,63 млн рублей. </w:t>
      </w:r>
    </w:p>
    <w:p w14:paraId="56B45B24" w14:textId="507FCEB0" w:rsidR="00476D5F" w:rsidRPr="00522104" w:rsidRDefault="00476D5F" w:rsidP="00476D5F">
      <w:pPr>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sz w:val="28"/>
          <w:szCs w:val="28"/>
          <w:lang w:eastAsia="ru-RU"/>
        </w:rPr>
        <w:t xml:space="preserve">В сравнении с 2021 годом доходы от компенсации затрат государства на 2022 год запланированы ниже в 2,67 раза. </w:t>
      </w:r>
      <w:r w:rsidRPr="00522104">
        <w:rPr>
          <w:rFonts w:ascii="Times New Roman" w:eastAsia="Times New Roman" w:hAnsi="Times New Roman" w:cs="Times New Roman"/>
          <w:i/>
          <w:sz w:val="28"/>
          <w:szCs w:val="28"/>
          <w:lang w:eastAsia="ru-RU"/>
        </w:rPr>
        <w:t xml:space="preserve">Справочно: </w:t>
      </w:r>
      <w:r w:rsidR="00BA30A0" w:rsidRPr="00522104">
        <w:rPr>
          <w:rFonts w:ascii="Times New Roman" w:eastAsia="Times New Roman" w:hAnsi="Times New Roman" w:cs="Times New Roman"/>
          <w:i/>
          <w:sz w:val="28"/>
          <w:szCs w:val="28"/>
          <w:lang w:eastAsia="ru-RU"/>
        </w:rPr>
        <w:t>п</w:t>
      </w:r>
      <w:r w:rsidRPr="00522104">
        <w:rPr>
          <w:rFonts w:ascii="Times New Roman" w:eastAsia="Times New Roman" w:hAnsi="Times New Roman" w:cs="Times New Roman"/>
          <w:i/>
          <w:sz w:val="28"/>
          <w:szCs w:val="28"/>
          <w:lang w:eastAsia="ru-RU"/>
        </w:rPr>
        <w:t>ри проведении анализа поступлений по доходам от компенсации затрат государства за предыдущие годы установлено, что доходы от компенсации затрат государства составили: в 2018 году – 170,92 млн рублей, в 2019 году – 188,43 млн рублей, в 2020 году – 165,59 млн рублей. В ходе исполнения пятыми изменениями в закон о краевом бюджете на 2021 год плановые назначения по доходам от компенсации затрат государства увеличены в 3,89 раза (с 26,50 млн рублей до 103,16 млн рублей). За 9 месяцев 2021 года в краевой бюджет поступило доходов от компенсации затрат государства 207,92 млн рублей.</w:t>
      </w:r>
    </w:p>
    <w:p w14:paraId="3CF6820B" w14:textId="47FF88D3" w:rsidR="00476D5F" w:rsidRPr="00522104" w:rsidRDefault="00476D5F"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 доходов от оказания платных услуг и компенсации затрат государства на 2023 год прогнозируются в объеме 56,26 млн рублей, на 2024 год – 56,22 млн рублей.</w:t>
      </w:r>
    </w:p>
    <w:p w14:paraId="29A3ECE5" w14:textId="2AC1E906" w:rsidR="00326533" w:rsidRPr="00522104" w:rsidRDefault="00326533" w:rsidP="0032653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Доходы от продажи материальных и нематериальных активов</w:t>
      </w:r>
      <w:r w:rsidRPr="00522104">
        <w:rPr>
          <w:rFonts w:ascii="Times New Roman" w:eastAsia="Times New Roman" w:hAnsi="Times New Roman" w:cs="Times New Roman"/>
          <w:sz w:val="28"/>
          <w:szCs w:val="28"/>
          <w:lang w:eastAsia="ru-RU"/>
        </w:rPr>
        <w:t xml:space="preserve"> на 2022 год запланированы в сумме 48,18 млн рублей, что выше утвержденных Законом № 969-КЗ бюджетных назначений на 2022 год на 26,35 %, или на 9,75 млн рублей, и ниже плановых назначений на 2021 год в 1,82 раза, или на 39,6</w:t>
      </w:r>
      <w:r w:rsidR="00FB0F0D" w:rsidRPr="00522104">
        <w:rPr>
          <w:rFonts w:ascii="Times New Roman" w:eastAsia="Times New Roman" w:hAnsi="Times New Roman" w:cs="Times New Roman"/>
          <w:sz w:val="28"/>
          <w:szCs w:val="28"/>
          <w:lang w:eastAsia="ru-RU"/>
        </w:rPr>
        <w:t>0</w:t>
      </w:r>
      <w:r w:rsidRPr="00522104">
        <w:rPr>
          <w:rFonts w:ascii="Times New Roman" w:eastAsia="Times New Roman" w:hAnsi="Times New Roman" w:cs="Times New Roman"/>
          <w:sz w:val="28"/>
          <w:szCs w:val="28"/>
          <w:lang w:eastAsia="ru-RU"/>
        </w:rPr>
        <w:t> млн рублей.</w:t>
      </w:r>
    </w:p>
    <w:p w14:paraId="417B2984" w14:textId="740DD10E" w:rsidR="00326533" w:rsidRPr="00522104" w:rsidRDefault="00326533" w:rsidP="00326533">
      <w:pPr>
        <w:spacing w:after="0" w:line="240" w:lineRule="auto"/>
        <w:ind w:firstLine="709"/>
        <w:jc w:val="both"/>
        <w:rPr>
          <w:rFonts w:ascii="Times New Roman" w:eastAsia="Calibri" w:hAnsi="Times New Roman" w:cs="Times New Roman"/>
          <w:sz w:val="28"/>
          <w:szCs w:val="28"/>
          <w:lang w:eastAsia="ru-RU"/>
        </w:rPr>
      </w:pPr>
      <w:r w:rsidRPr="00522104">
        <w:rPr>
          <w:rFonts w:ascii="Times New Roman" w:eastAsia="Times New Roman" w:hAnsi="Times New Roman" w:cs="Times New Roman"/>
          <w:i/>
          <w:sz w:val="28"/>
          <w:szCs w:val="28"/>
          <w:lang w:eastAsia="ru-RU"/>
        </w:rPr>
        <w:t>Доходы от</w:t>
      </w:r>
      <w:r w:rsidRPr="00522104">
        <w:rPr>
          <w:rFonts w:ascii="Times New Roman" w:eastAsia="Times New Roman" w:hAnsi="Times New Roman" w:cs="Times New Roman"/>
          <w:sz w:val="28"/>
          <w:szCs w:val="28"/>
          <w:lang w:eastAsia="ru-RU"/>
        </w:rPr>
        <w:t xml:space="preserve"> </w:t>
      </w:r>
      <w:r w:rsidRPr="00522104">
        <w:rPr>
          <w:rFonts w:ascii="Times New Roman" w:eastAsia="Calibri" w:hAnsi="Times New Roman" w:cs="Times New Roman"/>
          <w:i/>
          <w:sz w:val="28"/>
          <w:szCs w:val="28"/>
          <w:lang w:eastAsia="ru-RU"/>
        </w:rPr>
        <w:t xml:space="preserve">реализации имущества, находящегося в государственной и муниципальной собственности (за исключением </w:t>
      </w:r>
      <w:r w:rsidR="001B2FB1" w:rsidRPr="00522104">
        <w:rPr>
          <w:rFonts w:ascii="Times New Roman" w:eastAsia="Calibri" w:hAnsi="Times New Roman" w:cs="Times New Roman"/>
          <w:i/>
          <w:sz w:val="28"/>
          <w:szCs w:val="28"/>
          <w:lang w:eastAsia="ru-RU"/>
        </w:rPr>
        <w:t xml:space="preserve">движимого </w:t>
      </w:r>
      <w:r w:rsidRPr="00522104">
        <w:rPr>
          <w:rFonts w:ascii="Times New Roman" w:eastAsia="Calibri" w:hAnsi="Times New Roman" w:cs="Times New Roman"/>
          <w:i/>
          <w:sz w:val="28"/>
          <w:szCs w:val="28"/>
          <w:lang w:eastAsia="ru-RU"/>
        </w:rPr>
        <w:t>имущества бюджетных и автономных учреждений, а также имущества государственных и муниципальных унитарных предприятий, в том числе</w:t>
      </w:r>
      <w:r w:rsidR="001B2FB1" w:rsidRPr="00522104">
        <w:rPr>
          <w:rFonts w:ascii="Times New Roman" w:eastAsia="Calibri" w:hAnsi="Times New Roman" w:cs="Times New Roman"/>
          <w:i/>
          <w:sz w:val="28"/>
          <w:szCs w:val="28"/>
          <w:lang w:eastAsia="ru-RU"/>
        </w:rPr>
        <w:t xml:space="preserve"> казенных)</w:t>
      </w:r>
      <w:r w:rsidRPr="00522104">
        <w:rPr>
          <w:rFonts w:ascii="Times New Roman" w:eastAsia="Calibri" w:hAnsi="Times New Roman" w:cs="Times New Roman"/>
          <w:i/>
          <w:sz w:val="28"/>
          <w:szCs w:val="28"/>
          <w:lang w:eastAsia="ru-RU"/>
        </w:rPr>
        <w:t xml:space="preserve"> </w:t>
      </w:r>
      <w:r w:rsidRPr="00522104">
        <w:rPr>
          <w:rFonts w:ascii="Times New Roman" w:eastAsia="Calibri" w:hAnsi="Times New Roman" w:cs="Times New Roman"/>
          <w:sz w:val="28"/>
          <w:szCs w:val="28"/>
          <w:lang w:eastAsia="ru-RU"/>
        </w:rPr>
        <w:t>на 2022 год запланированы в сумме 12,00 млн рублей в соответствии с Законом Приморского края от 06.07.2021 № 1073-КЗ "О программе приватизации имущества, находящегося в собственности Приморского края, на 2022 год и плановый период 2023 и 2024 годов". В плановом периоде 2023 и 2024 годов доходы от реализации имущества, находящегося в государственной собственности, запланированы в объеме не менее 1,00 млн рублей и не менее 7,00 млн рублей соответственно.</w:t>
      </w:r>
    </w:p>
    <w:p w14:paraId="2CF48B24" w14:textId="007E6C4D" w:rsidR="00326533" w:rsidRPr="00522104" w:rsidRDefault="00326533" w:rsidP="00326533">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Доходы от продажи квартир</w:t>
      </w:r>
      <w:r w:rsidRPr="00522104">
        <w:rPr>
          <w:rFonts w:ascii="Times New Roman" w:eastAsia="Times New Roman" w:hAnsi="Times New Roman" w:cs="Times New Roman"/>
          <w:sz w:val="28"/>
          <w:szCs w:val="28"/>
          <w:lang w:eastAsia="ru-RU"/>
        </w:rPr>
        <w:t xml:space="preserve"> в 2022 году ожидаются в сумме 36,18 млн рублей, что ниже утвержденных Законом № 969-КЗ бюджетных назначений на 2022 год на 5,86 %, или на 2,25 млн рублей, и ниже плановых назначений на 2021 год на 9,81 %, или на 3,94 млн рублей. Согласно сведениям главного администратора доходов – министерства имущественных и земельных отношений Приморского края поступления ожидаются от участников</w:t>
      </w:r>
      <w:r w:rsidR="00244908" w:rsidRPr="00522104">
        <w:rPr>
          <w:rFonts w:ascii="Times New Roman" w:eastAsia="Times New Roman" w:hAnsi="Times New Roman" w:cs="Times New Roman"/>
          <w:sz w:val="28"/>
          <w:szCs w:val="28"/>
          <w:lang w:eastAsia="ru-RU"/>
        </w:rPr>
        <w:t xml:space="preserve"> краевой целевой</w:t>
      </w:r>
      <w:r w:rsidRPr="00522104">
        <w:rPr>
          <w:rFonts w:ascii="Times New Roman" w:eastAsia="Times New Roman" w:hAnsi="Times New Roman" w:cs="Times New Roman"/>
          <w:sz w:val="28"/>
          <w:szCs w:val="28"/>
          <w:lang w:eastAsia="ru-RU"/>
        </w:rPr>
        <w:t xml:space="preserve"> программы "Квартира молодой семье" на 2002-2010 годы" согласно графикам гашения. Поступления доходов от продажи квартир планиру</w:t>
      </w:r>
      <w:r w:rsidR="000A7551" w:rsidRPr="00522104">
        <w:rPr>
          <w:rFonts w:ascii="Times New Roman" w:eastAsia="Times New Roman" w:hAnsi="Times New Roman" w:cs="Times New Roman"/>
          <w:sz w:val="28"/>
          <w:szCs w:val="28"/>
          <w:lang w:eastAsia="ru-RU"/>
        </w:rPr>
        <w:t>ю</w:t>
      </w:r>
      <w:r w:rsidRPr="00522104">
        <w:rPr>
          <w:rFonts w:ascii="Times New Roman" w:eastAsia="Times New Roman" w:hAnsi="Times New Roman" w:cs="Times New Roman"/>
          <w:sz w:val="28"/>
          <w:szCs w:val="28"/>
          <w:lang w:eastAsia="ru-RU"/>
        </w:rPr>
        <w:t>тся в 2023 году</w:t>
      </w:r>
      <w:r w:rsidR="000A7551" w:rsidRPr="00522104">
        <w:rPr>
          <w:rFonts w:ascii="Times New Roman" w:eastAsia="Times New Roman" w:hAnsi="Times New Roman" w:cs="Times New Roman"/>
          <w:sz w:val="28"/>
          <w:szCs w:val="28"/>
          <w:lang w:eastAsia="ru-RU"/>
        </w:rPr>
        <w:t xml:space="preserve"> в </w:t>
      </w:r>
      <w:r w:rsidR="00C102DD" w:rsidRPr="00522104">
        <w:rPr>
          <w:rFonts w:ascii="Times New Roman" w:eastAsia="Times New Roman" w:hAnsi="Times New Roman" w:cs="Times New Roman"/>
          <w:sz w:val="28"/>
          <w:szCs w:val="28"/>
          <w:lang w:eastAsia="ru-RU"/>
        </w:rPr>
        <w:t>объеме</w:t>
      </w:r>
      <w:r w:rsidRPr="00522104">
        <w:rPr>
          <w:rFonts w:ascii="Times New Roman" w:eastAsia="Times New Roman" w:hAnsi="Times New Roman" w:cs="Times New Roman"/>
          <w:sz w:val="28"/>
          <w:szCs w:val="28"/>
          <w:lang w:eastAsia="ru-RU"/>
        </w:rPr>
        <w:t xml:space="preserve"> 34,37 млн рублей, в 2024 году – 31,82 млн рублей.</w:t>
      </w:r>
    </w:p>
    <w:p w14:paraId="3C8AA3EB"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 xml:space="preserve">Административные платежи и сборы </w:t>
      </w:r>
      <w:r w:rsidRPr="00522104">
        <w:rPr>
          <w:rFonts w:ascii="Times New Roman" w:eastAsia="Times New Roman" w:hAnsi="Times New Roman" w:cs="Times New Roman"/>
          <w:sz w:val="28"/>
          <w:szCs w:val="28"/>
          <w:lang w:eastAsia="ru-RU"/>
        </w:rPr>
        <w:t>на 2022 год предусмотрены в объеме 8,19 млн рублей, что ниже утвержденных Законом № 969-КЗ бюджетных назначений на 2022 год на 26,35 %, или на 2,93 млн рублей, и ниже плановых назначений на 2021 год на 22,88 %, или на 2,43 млн рублей.</w:t>
      </w:r>
    </w:p>
    <w:p w14:paraId="2DBF3EEC"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r w:rsidRPr="00522104">
        <w:rPr>
          <w:rFonts w:ascii="Times New Roman" w:eastAsia="Times New Roman" w:hAnsi="Times New Roman" w:cs="Times New Roman"/>
          <w:sz w:val="28"/>
          <w:szCs w:val="28"/>
          <w:lang w:eastAsia="ru-RU"/>
        </w:rPr>
        <w:t xml:space="preserve"> ожидаются в 2022 году в размере 0,19 млн рублей. Согласно представленным к законопроекту расчетам на 2022 год запланировано проведение 2 государственных экологических экспертиз (средняя стоимость одной экологической экспертизы составляет 93,42 тыс. рублей). </w:t>
      </w:r>
    </w:p>
    <w:p w14:paraId="1CDDA154" w14:textId="7A3F56B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Платежи, взи</w:t>
      </w:r>
      <w:r w:rsidR="00244908" w:rsidRPr="00522104">
        <w:rPr>
          <w:rFonts w:ascii="Times New Roman" w:eastAsia="Times New Roman" w:hAnsi="Times New Roman" w:cs="Times New Roman"/>
          <w:i/>
          <w:sz w:val="28"/>
          <w:szCs w:val="28"/>
          <w:lang w:eastAsia="ru-RU"/>
        </w:rPr>
        <w:t xml:space="preserve">маемые государственными и муниципальными органами </w:t>
      </w:r>
      <w:r w:rsidRPr="00522104">
        <w:rPr>
          <w:rFonts w:ascii="Times New Roman" w:eastAsia="Times New Roman" w:hAnsi="Times New Roman" w:cs="Times New Roman"/>
          <w:i/>
          <w:sz w:val="28"/>
          <w:szCs w:val="28"/>
          <w:lang w:eastAsia="ru-RU"/>
        </w:rPr>
        <w:t>(организациями) за выполнение определенных функций</w:t>
      </w:r>
      <w:r w:rsidRPr="00522104">
        <w:rPr>
          <w:rFonts w:ascii="Times New Roman" w:eastAsia="Times New Roman" w:hAnsi="Times New Roman" w:cs="Times New Roman"/>
          <w:sz w:val="28"/>
          <w:szCs w:val="28"/>
          <w:lang w:eastAsia="ru-RU"/>
        </w:rPr>
        <w:t xml:space="preserve"> (главный администратор – министерство транспорта и дорожного хозяйства Приморского края) на 2022 год запланированы в сумме 8,00 млн рублей (плата за выдачу разрешений на осуществление деятельности по перевозке пассажиров и багажа легковым такси).</w:t>
      </w:r>
    </w:p>
    <w:p w14:paraId="7D82D2D4"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Поступления административных платежей и сборов на 2023 год составят 8,58 млн рублей, в 2024 году – 8,97 млн рублей.</w:t>
      </w:r>
    </w:p>
    <w:p w14:paraId="1EDEFB84"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Штрафы, санкции, возмещение ущерба</w:t>
      </w:r>
      <w:r w:rsidRPr="00522104">
        <w:rPr>
          <w:rFonts w:ascii="Times New Roman" w:eastAsia="Times New Roman" w:hAnsi="Times New Roman" w:cs="Times New Roman"/>
          <w:sz w:val="28"/>
          <w:szCs w:val="28"/>
          <w:lang w:eastAsia="ru-RU"/>
        </w:rPr>
        <w:t xml:space="preserve"> на 2022 год предусмотрены в сумме 845,17 млн рублей, что выше утвержденных Законом № 969-КЗ бюджетных назначений на 2022 год на 24,58 %, или на 166,77 млн рублей, и выше плановых назначений на 2021 год на 5,54 %, или на 44,35 млн рублей. </w:t>
      </w:r>
    </w:p>
    <w:p w14:paraId="6B63AB07" w14:textId="0C680BC3"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представленным расчетам данные поступления в 2022 году ожидаются от 15 главных администраторов доходов, из них: 739,42 млн рублей от Управления Министерства внутренних дел Российской Федерации по Приморскому краю</w:t>
      </w:r>
      <w:r w:rsidR="000A7551"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66,18 млн рублей от департамента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r w:rsidR="000A7551"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19,60 млн рублей от министерства лесного хозяйства и охраны  объектов животного мира Приморского края.</w:t>
      </w:r>
    </w:p>
    <w:p w14:paraId="69A50E99"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Основную сумму поступлений – 834,60 млн рублей (98,75 % в общем объеме поступлений) ожидается получить по административным штрафам, установленным Кодексом Российской Федерации об административных правонарушениях.</w:t>
      </w:r>
    </w:p>
    <w:p w14:paraId="7C2DE283"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За 9 месяцев текущего года штрафов, санкций, возмещений ущерба поступило 790,75 млн рублей, или 98,74 % к плановым назначениям на 2021 год (800,82 млн рублей). </w:t>
      </w:r>
    </w:p>
    <w:p w14:paraId="0757C11E" w14:textId="77777777" w:rsidR="00326533" w:rsidRPr="00522104" w:rsidRDefault="00326533" w:rsidP="00326533">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Прогноз поступлений штрафов, санкций, возмещений ущерба в 2023 и 2024 году составит 845,28 млн рублей и 845,21 млн рублей соответственно.</w:t>
      </w:r>
    </w:p>
    <w:p w14:paraId="562A8985" w14:textId="77777777" w:rsidR="00B86E71" w:rsidRPr="00522104" w:rsidRDefault="00B86E71" w:rsidP="000E4D85">
      <w:pPr>
        <w:spacing w:after="0" w:line="240" w:lineRule="auto"/>
        <w:ind w:firstLine="709"/>
        <w:jc w:val="both"/>
        <w:rPr>
          <w:rFonts w:ascii="Times New Roman" w:eastAsia="Times New Roman" w:hAnsi="Times New Roman" w:cs="Times New Roman"/>
          <w:sz w:val="28"/>
          <w:szCs w:val="28"/>
          <w:lang w:eastAsia="ru-RU"/>
        </w:rPr>
      </w:pPr>
    </w:p>
    <w:p w14:paraId="66687851" w14:textId="1FB4160F" w:rsidR="005F3DA2" w:rsidRPr="00522104" w:rsidRDefault="005F3DA2" w:rsidP="00234A03">
      <w:pPr>
        <w:spacing w:after="0" w:line="240" w:lineRule="auto"/>
        <w:ind w:firstLine="709"/>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 xml:space="preserve">4.2. </w:t>
      </w:r>
      <w:r w:rsidR="00D410A8" w:rsidRPr="00522104">
        <w:rPr>
          <w:rFonts w:ascii="Times New Roman" w:eastAsia="Times New Roman" w:hAnsi="Times New Roman" w:cs="Times New Roman"/>
          <w:b/>
          <w:sz w:val="28"/>
          <w:szCs w:val="28"/>
          <w:lang w:eastAsia="ru-RU"/>
        </w:rPr>
        <w:t>Безвозмездные поступления.</w:t>
      </w:r>
    </w:p>
    <w:p w14:paraId="133838E8" w14:textId="4778FBAC"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Общий объем безвозмездных поступлений на 2022 год предложен </w:t>
      </w:r>
      <w:r w:rsidR="00AB7A25" w:rsidRPr="00522104">
        <w:rPr>
          <w:rFonts w:ascii="Times New Roman" w:eastAsia="Times New Roman" w:hAnsi="Times New Roman" w:cs="Times New Roman"/>
          <w:sz w:val="28"/>
          <w:szCs w:val="28"/>
          <w:lang w:eastAsia="ru-RU"/>
        </w:rPr>
        <w:t xml:space="preserve">законопроектом </w:t>
      </w:r>
      <w:r w:rsidRPr="00522104">
        <w:rPr>
          <w:rFonts w:ascii="Times New Roman" w:eastAsia="Times New Roman" w:hAnsi="Times New Roman" w:cs="Times New Roman"/>
          <w:sz w:val="28"/>
          <w:szCs w:val="28"/>
          <w:lang w:eastAsia="ru-RU"/>
        </w:rPr>
        <w:t>в сумме 42716,45 млн рублей, что выше плановых назначений, утвержденных Законом № 969-КЗ</w:t>
      </w:r>
      <w:r w:rsidR="00AB7A25"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на </w:t>
      </w:r>
      <w:r w:rsidR="00AB7A25" w:rsidRPr="00522104">
        <w:rPr>
          <w:rFonts w:ascii="Times New Roman" w:eastAsia="Times New Roman" w:hAnsi="Times New Roman" w:cs="Times New Roman"/>
          <w:sz w:val="28"/>
          <w:szCs w:val="28"/>
          <w:lang w:eastAsia="ru-RU"/>
        </w:rPr>
        <w:t>тот же</w:t>
      </w:r>
      <w:r w:rsidRPr="00522104">
        <w:rPr>
          <w:rFonts w:ascii="Times New Roman" w:eastAsia="Times New Roman" w:hAnsi="Times New Roman" w:cs="Times New Roman"/>
          <w:sz w:val="28"/>
          <w:szCs w:val="28"/>
          <w:lang w:eastAsia="ru-RU"/>
        </w:rPr>
        <w:t xml:space="preserve"> год на 27,00 %, или на 9081,79 млн рублей, и ниже плановых назначений на 2021 год на 17,00 %, или 8751,86 млн рублей.</w:t>
      </w:r>
    </w:p>
    <w:p w14:paraId="6EEBE329" w14:textId="77777777" w:rsidR="002832E2"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плановый период 2023 и 2024 годов безвозмездные поступления запланированы в объеме 34464,42 млн рублей и 32698,90 млн рублей соответственно. </w:t>
      </w:r>
    </w:p>
    <w:p w14:paraId="15A0EE9F" w14:textId="77777777" w:rsidR="00CD3AC0" w:rsidRPr="00522104" w:rsidRDefault="00CD3AC0" w:rsidP="002832E2">
      <w:pPr>
        <w:spacing w:after="0" w:line="240" w:lineRule="auto"/>
        <w:ind w:firstLine="709"/>
        <w:jc w:val="both"/>
        <w:rPr>
          <w:rFonts w:ascii="Times New Roman" w:eastAsia="Times New Roman" w:hAnsi="Times New Roman" w:cs="Times New Roman"/>
          <w:sz w:val="28"/>
          <w:szCs w:val="28"/>
          <w:lang w:eastAsia="ru-RU"/>
        </w:rPr>
      </w:pPr>
    </w:p>
    <w:tbl>
      <w:tblPr>
        <w:tblW w:w="10065"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851"/>
        <w:gridCol w:w="850"/>
        <w:gridCol w:w="851"/>
        <w:gridCol w:w="850"/>
        <w:gridCol w:w="851"/>
        <w:gridCol w:w="850"/>
        <w:gridCol w:w="851"/>
        <w:gridCol w:w="708"/>
        <w:gridCol w:w="709"/>
        <w:gridCol w:w="709"/>
      </w:tblGrid>
      <w:tr w:rsidR="002832E2" w:rsidRPr="00522104" w14:paraId="74DBC493" w14:textId="77777777" w:rsidTr="002832E2">
        <w:trPr>
          <w:trHeight w:val="20"/>
          <w:tblHeader/>
        </w:trPr>
        <w:tc>
          <w:tcPr>
            <w:tcW w:w="1985" w:type="dxa"/>
            <w:tcBorders>
              <w:top w:val="nil"/>
              <w:left w:val="nil"/>
              <w:bottom w:val="single" w:sz="4" w:space="0" w:color="auto"/>
              <w:right w:val="nil"/>
            </w:tcBorders>
            <w:shd w:val="clear" w:color="auto" w:fill="auto"/>
            <w:vAlign w:val="center"/>
          </w:tcPr>
          <w:p w14:paraId="6A7695A7"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p>
        </w:tc>
        <w:tc>
          <w:tcPr>
            <w:tcW w:w="2552" w:type="dxa"/>
            <w:gridSpan w:val="3"/>
            <w:tcBorders>
              <w:top w:val="nil"/>
              <w:left w:val="nil"/>
              <w:bottom w:val="single" w:sz="4" w:space="0" w:color="auto"/>
              <w:right w:val="nil"/>
            </w:tcBorders>
            <w:shd w:val="clear" w:color="auto" w:fill="auto"/>
            <w:vAlign w:val="center"/>
          </w:tcPr>
          <w:p w14:paraId="625807F3"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p>
        </w:tc>
        <w:tc>
          <w:tcPr>
            <w:tcW w:w="2551" w:type="dxa"/>
            <w:gridSpan w:val="3"/>
            <w:tcBorders>
              <w:top w:val="nil"/>
              <w:left w:val="nil"/>
              <w:bottom w:val="single" w:sz="4" w:space="0" w:color="auto"/>
              <w:right w:val="nil"/>
            </w:tcBorders>
            <w:shd w:val="clear" w:color="000000" w:fill="FFFFFF"/>
            <w:vAlign w:val="center"/>
          </w:tcPr>
          <w:p w14:paraId="6635DEC6"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p>
        </w:tc>
        <w:tc>
          <w:tcPr>
            <w:tcW w:w="2977" w:type="dxa"/>
            <w:gridSpan w:val="4"/>
            <w:tcBorders>
              <w:top w:val="nil"/>
              <w:left w:val="nil"/>
              <w:bottom w:val="single" w:sz="4" w:space="0" w:color="auto"/>
              <w:right w:val="nil"/>
            </w:tcBorders>
            <w:shd w:val="clear" w:color="auto" w:fill="auto"/>
            <w:vAlign w:val="center"/>
          </w:tcPr>
          <w:p w14:paraId="3BB0488B" w14:textId="77777777" w:rsidR="002832E2" w:rsidRPr="0058218D" w:rsidRDefault="002832E2" w:rsidP="002832E2">
            <w:pPr>
              <w:spacing w:after="0" w:line="240" w:lineRule="auto"/>
              <w:jc w:val="right"/>
              <w:rPr>
                <w:rFonts w:ascii="Times New Roman" w:eastAsia="Times New Roman" w:hAnsi="Times New Roman" w:cs="Times New Roman"/>
                <w:bCs/>
                <w:sz w:val="20"/>
                <w:szCs w:val="20"/>
                <w:lang w:eastAsia="ru-RU"/>
              </w:rPr>
            </w:pPr>
            <w:r w:rsidRPr="0058218D">
              <w:rPr>
                <w:rFonts w:ascii="Times New Roman" w:eastAsia="Times New Roman" w:hAnsi="Times New Roman" w:cs="Times New Roman"/>
                <w:bCs/>
                <w:sz w:val="20"/>
                <w:szCs w:val="20"/>
                <w:lang w:eastAsia="ru-RU"/>
              </w:rPr>
              <w:t>(млн рублей)</w:t>
            </w:r>
          </w:p>
        </w:tc>
      </w:tr>
      <w:tr w:rsidR="00B00606" w:rsidRPr="00522104" w14:paraId="7F5CE9FF" w14:textId="77777777" w:rsidTr="00F71581">
        <w:trPr>
          <w:trHeight w:val="279"/>
          <w:tblHeader/>
        </w:trPr>
        <w:tc>
          <w:tcPr>
            <w:tcW w:w="1985" w:type="dxa"/>
            <w:vMerge w:val="restart"/>
            <w:tcBorders>
              <w:top w:val="single" w:sz="4" w:space="0" w:color="auto"/>
            </w:tcBorders>
            <w:shd w:val="clear" w:color="auto" w:fill="auto"/>
            <w:vAlign w:val="center"/>
            <w:hideMark/>
          </w:tcPr>
          <w:p w14:paraId="2E113191"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Наименование</w:t>
            </w:r>
          </w:p>
        </w:tc>
        <w:tc>
          <w:tcPr>
            <w:tcW w:w="2552" w:type="dxa"/>
            <w:gridSpan w:val="3"/>
            <w:tcBorders>
              <w:top w:val="single" w:sz="4" w:space="0" w:color="auto"/>
            </w:tcBorders>
            <w:shd w:val="clear" w:color="auto" w:fill="auto"/>
            <w:vAlign w:val="center"/>
            <w:hideMark/>
          </w:tcPr>
          <w:p w14:paraId="64A74C62" w14:textId="4ADCA6AC" w:rsidR="002832E2" w:rsidRPr="00522104" w:rsidRDefault="002832E2" w:rsidP="00AB7A25">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 xml:space="preserve"> Закон </w:t>
            </w:r>
            <w:r w:rsidR="00AB7A25" w:rsidRPr="00522104">
              <w:rPr>
                <w:rFonts w:ascii="Times New Roman" w:eastAsia="Times New Roman" w:hAnsi="Times New Roman" w:cs="Times New Roman"/>
                <w:b/>
                <w:bCs/>
                <w:sz w:val="17"/>
                <w:szCs w:val="17"/>
                <w:lang w:eastAsia="ru-RU"/>
              </w:rPr>
              <w:t>№ 969-КЗ</w:t>
            </w:r>
          </w:p>
        </w:tc>
        <w:tc>
          <w:tcPr>
            <w:tcW w:w="2551" w:type="dxa"/>
            <w:gridSpan w:val="3"/>
            <w:tcBorders>
              <w:top w:val="single" w:sz="4" w:space="0" w:color="auto"/>
            </w:tcBorders>
            <w:shd w:val="clear" w:color="000000" w:fill="FFFFFF"/>
            <w:vAlign w:val="center"/>
            <w:hideMark/>
          </w:tcPr>
          <w:p w14:paraId="012A3B19"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Законопроект</w:t>
            </w:r>
          </w:p>
        </w:tc>
        <w:tc>
          <w:tcPr>
            <w:tcW w:w="2977" w:type="dxa"/>
            <w:gridSpan w:val="4"/>
            <w:tcBorders>
              <w:top w:val="single" w:sz="4" w:space="0" w:color="auto"/>
            </w:tcBorders>
            <w:shd w:val="clear" w:color="auto" w:fill="auto"/>
            <w:vAlign w:val="center"/>
            <w:hideMark/>
          </w:tcPr>
          <w:p w14:paraId="4C29EC59"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Отклонения</w:t>
            </w:r>
          </w:p>
        </w:tc>
      </w:tr>
      <w:tr w:rsidR="00AA131E" w:rsidRPr="00522104" w14:paraId="1231161A" w14:textId="77777777" w:rsidTr="00D63D67">
        <w:trPr>
          <w:trHeight w:val="20"/>
          <w:tblHeader/>
        </w:trPr>
        <w:tc>
          <w:tcPr>
            <w:tcW w:w="1985" w:type="dxa"/>
            <w:vMerge/>
            <w:vAlign w:val="center"/>
            <w:hideMark/>
          </w:tcPr>
          <w:p w14:paraId="3FABBF7D" w14:textId="77777777" w:rsidR="00AA131E" w:rsidRPr="00522104" w:rsidRDefault="00AA131E" w:rsidP="002832E2">
            <w:pPr>
              <w:spacing w:after="0" w:line="240" w:lineRule="auto"/>
              <w:rPr>
                <w:rFonts w:ascii="Times New Roman" w:eastAsia="Times New Roman" w:hAnsi="Times New Roman" w:cs="Times New Roman"/>
                <w:b/>
                <w:bCs/>
                <w:sz w:val="17"/>
                <w:szCs w:val="17"/>
                <w:lang w:eastAsia="ru-RU"/>
              </w:rPr>
            </w:pPr>
          </w:p>
        </w:tc>
        <w:tc>
          <w:tcPr>
            <w:tcW w:w="851" w:type="dxa"/>
            <w:shd w:val="clear" w:color="000000" w:fill="FFFFFF"/>
            <w:vAlign w:val="center"/>
            <w:hideMark/>
          </w:tcPr>
          <w:p w14:paraId="3ADDE7C4" w14:textId="77777777" w:rsidR="00AA131E" w:rsidRPr="00522104" w:rsidRDefault="00AA131E" w:rsidP="002832E2">
            <w:pPr>
              <w:spacing w:after="0" w:line="240" w:lineRule="auto"/>
              <w:ind w:left="-132"/>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первона-чальная редакция</w:t>
            </w:r>
          </w:p>
        </w:tc>
        <w:tc>
          <w:tcPr>
            <w:tcW w:w="1701" w:type="dxa"/>
            <w:gridSpan w:val="2"/>
            <w:shd w:val="clear" w:color="000000" w:fill="FFFFFF"/>
            <w:vAlign w:val="center"/>
            <w:hideMark/>
          </w:tcPr>
          <w:p w14:paraId="21A0B72E" w14:textId="708E9994" w:rsidR="00AA131E" w:rsidRPr="00522104" w:rsidRDefault="00AA131E" w:rsidP="00AA131E">
            <w:pPr>
              <w:spacing w:after="0" w:line="240" w:lineRule="auto"/>
              <w:ind w:left="-119"/>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8 редакция</w:t>
            </w:r>
          </w:p>
        </w:tc>
        <w:tc>
          <w:tcPr>
            <w:tcW w:w="850" w:type="dxa"/>
            <w:vMerge w:val="restart"/>
            <w:shd w:val="clear" w:color="000000" w:fill="FFFFFF"/>
            <w:vAlign w:val="center"/>
            <w:hideMark/>
          </w:tcPr>
          <w:p w14:paraId="2DA02851" w14:textId="77777777" w:rsidR="00AA131E" w:rsidRPr="00522104" w:rsidRDefault="00AA131E"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2022</w:t>
            </w:r>
          </w:p>
        </w:tc>
        <w:tc>
          <w:tcPr>
            <w:tcW w:w="851" w:type="dxa"/>
            <w:vMerge w:val="restart"/>
            <w:shd w:val="clear" w:color="000000" w:fill="FFFFFF"/>
            <w:vAlign w:val="center"/>
            <w:hideMark/>
          </w:tcPr>
          <w:p w14:paraId="743785A3" w14:textId="77777777" w:rsidR="00AA131E" w:rsidRPr="00522104" w:rsidRDefault="00AA131E"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2023</w:t>
            </w:r>
          </w:p>
        </w:tc>
        <w:tc>
          <w:tcPr>
            <w:tcW w:w="850" w:type="dxa"/>
            <w:vMerge w:val="restart"/>
            <w:shd w:val="clear" w:color="000000" w:fill="FFFFFF"/>
            <w:vAlign w:val="center"/>
            <w:hideMark/>
          </w:tcPr>
          <w:p w14:paraId="110EB2BB" w14:textId="77777777" w:rsidR="00AA131E" w:rsidRPr="00522104" w:rsidRDefault="00AA131E"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2024</w:t>
            </w:r>
          </w:p>
        </w:tc>
        <w:tc>
          <w:tcPr>
            <w:tcW w:w="1559" w:type="dxa"/>
            <w:gridSpan w:val="2"/>
            <w:shd w:val="clear" w:color="auto" w:fill="auto"/>
            <w:vAlign w:val="center"/>
            <w:hideMark/>
          </w:tcPr>
          <w:p w14:paraId="7BEB74CA" w14:textId="77777777" w:rsidR="00AA131E" w:rsidRPr="00522104" w:rsidRDefault="00AA131E"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2022/2021</w:t>
            </w:r>
          </w:p>
        </w:tc>
        <w:tc>
          <w:tcPr>
            <w:tcW w:w="1418" w:type="dxa"/>
            <w:gridSpan w:val="2"/>
            <w:shd w:val="clear" w:color="auto" w:fill="auto"/>
            <w:vAlign w:val="center"/>
            <w:hideMark/>
          </w:tcPr>
          <w:p w14:paraId="12EC66D1" w14:textId="77777777" w:rsidR="00AA131E" w:rsidRPr="00522104" w:rsidRDefault="00AA131E"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2022/2022</w:t>
            </w:r>
          </w:p>
        </w:tc>
      </w:tr>
      <w:tr w:rsidR="002832E2" w:rsidRPr="00522104" w14:paraId="57FBBBAC" w14:textId="77777777" w:rsidTr="002832E2">
        <w:trPr>
          <w:trHeight w:val="20"/>
          <w:tblHeader/>
        </w:trPr>
        <w:tc>
          <w:tcPr>
            <w:tcW w:w="1985" w:type="dxa"/>
            <w:vMerge/>
            <w:vAlign w:val="center"/>
            <w:hideMark/>
          </w:tcPr>
          <w:p w14:paraId="0029A370" w14:textId="77777777" w:rsidR="002832E2" w:rsidRPr="00522104" w:rsidRDefault="002832E2" w:rsidP="002832E2">
            <w:pPr>
              <w:spacing w:after="0" w:line="240" w:lineRule="auto"/>
              <w:rPr>
                <w:rFonts w:ascii="Times New Roman" w:eastAsia="Times New Roman" w:hAnsi="Times New Roman" w:cs="Times New Roman"/>
                <w:b/>
                <w:bCs/>
                <w:sz w:val="17"/>
                <w:szCs w:val="17"/>
                <w:lang w:eastAsia="ru-RU"/>
              </w:rPr>
            </w:pPr>
          </w:p>
        </w:tc>
        <w:tc>
          <w:tcPr>
            <w:tcW w:w="851" w:type="dxa"/>
            <w:shd w:val="clear" w:color="000000" w:fill="FFFFFF"/>
            <w:vAlign w:val="center"/>
            <w:hideMark/>
          </w:tcPr>
          <w:p w14:paraId="586FB7CF"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2021</w:t>
            </w:r>
          </w:p>
        </w:tc>
        <w:tc>
          <w:tcPr>
            <w:tcW w:w="850" w:type="dxa"/>
            <w:shd w:val="clear" w:color="000000" w:fill="FFFFFF"/>
            <w:vAlign w:val="center"/>
            <w:hideMark/>
          </w:tcPr>
          <w:p w14:paraId="50EB5BEA"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2021</w:t>
            </w:r>
          </w:p>
        </w:tc>
        <w:tc>
          <w:tcPr>
            <w:tcW w:w="851" w:type="dxa"/>
            <w:shd w:val="clear" w:color="000000" w:fill="FFFFFF"/>
            <w:vAlign w:val="center"/>
            <w:hideMark/>
          </w:tcPr>
          <w:p w14:paraId="7031EE75"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2022</w:t>
            </w:r>
          </w:p>
        </w:tc>
        <w:tc>
          <w:tcPr>
            <w:tcW w:w="850" w:type="dxa"/>
            <w:vMerge/>
            <w:vAlign w:val="center"/>
            <w:hideMark/>
          </w:tcPr>
          <w:p w14:paraId="4695DF29" w14:textId="77777777" w:rsidR="002832E2" w:rsidRPr="00522104" w:rsidRDefault="002832E2" w:rsidP="002832E2">
            <w:pPr>
              <w:spacing w:after="0" w:line="240" w:lineRule="auto"/>
              <w:rPr>
                <w:rFonts w:ascii="Times New Roman" w:eastAsia="Times New Roman" w:hAnsi="Times New Roman" w:cs="Times New Roman"/>
                <w:b/>
                <w:bCs/>
                <w:sz w:val="17"/>
                <w:szCs w:val="17"/>
                <w:lang w:eastAsia="ru-RU"/>
              </w:rPr>
            </w:pPr>
          </w:p>
        </w:tc>
        <w:tc>
          <w:tcPr>
            <w:tcW w:w="851" w:type="dxa"/>
            <w:vMerge/>
            <w:vAlign w:val="center"/>
            <w:hideMark/>
          </w:tcPr>
          <w:p w14:paraId="7E9F0E05" w14:textId="77777777" w:rsidR="002832E2" w:rsidRPr="00522104" w:rsidRDefault="002832E2" w:rsidP="002832E2">
            <w:pPr>
              <w:spacing w:after="0" w:line="240" w:lineRule="auto"/>
              <w:rPr>
                <w:rFonts w:ascii="Times New Roman" w:eastAsia="Times New Roman" w:hAnsi="Times New Roman" w:cs="Times New Roman"/>
                <w:b/>
                <w:bCs/>
                <w:sz w:val="17"/>
                <w:szCs w:val="17"/>
                <w:lang w:eastAsia="ru-RU"/>
              </w:rPr>
            </w:pPr>
          </w:p>
        </w:tc>
        <w:tc>
          <w:tcPr>
            <w:tcW w:w="850" w:type="dxa"/>
            <w:vMerge/>
            <w:vAlign w:val="center"/>
            <w:hideMark/>
          </w:tcPr>
          <w:p w14:paraId="36E9C5C3" w14:textId="77777777" w:rsidR="002832E2" w:rsidRPr="00522104" w:rsidRDefault="002832E2" w:rsidP="002832E2">
            <w:pPr>
              <w:spacing w:after="0" w:line="240" w:lineRule="auto"/>
              <w:rPr>
                <w:rFonts w:ascii="Times New Roman" w:eastAsia="Times New Roman" w:hAnsi="Times New Roman" w:cs="Times New Roman"/>
                <w:b/>
                <w:bCs/>
                <w:sz w:val="17"/>
                <w:szCs w:val="17"/>
                <w:lang w:eastAsia="ru-RU"/>
              </w:rPr>
            </w:pPr>
          </w:p>
        </w:tc>
        <w:tc>
          <w:tcPr>
            <w:tcW w:w="851" w:type="dxa"/>
            <w:shd w:val="clear" w:color="auto" w:fill="auto"/>
            <w:vAlign w:val="center"/>
            <w:hideMark/>
          </w:tcPr>
          <w:p w14:paraId="41548BB4"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сумма</w:t>
            </w:r>
          </w:p>
        </w:tc>
        <w:tc>
          <w:tcPr>
            <w:tcW w:w="708" w:type="dxa"/>
            <w:shd w:val="clear" w:color="auto" w:fill="auto"/>
            <w:vAlign w:val="center"/>
            <w:hideMark/>
          </w:tcPr>
          <w:p w14:paraId="63804544"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w:t>
            </w:r>
          </w:p>
        </w:tc>
        <w:tc>
          <w:tcPr>
            <w:tcW w:w="709" w:type="dxa"/>
            <w:shd w:val="clear" w:color="auto" w:fill="auto"/>
            <w:vAlign w:val="center"/>
            <w:hideMark/>
          </w:tcPr>
          <w:p w14:paraId="4AEE297A"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сумма</w:t>
            </w:r>
          </w:p>
        </w:tc>
        <w:tc>
          <w:tcPr>
            <w:tcW w:w="709" w:type="dxa"/>
            <w:shd w:val="clear" w:color="auto" w:fill="auto"/>
            <w:vAlign w:val="center"/>
            <w:hideMark/>
          </w:tcPr>
          <w:p w14:paraId="2DBA1D1D" w14:textId="77777777" w:rsidR="002832E2" w:rsidRPr="00522104" w:rsidRDefault="002832E2" w:rsidP="002832E2">
            <w:pPr>
              <w:spacing w:after="0" w:line="240" w:lineRule="auto"/>
              <w:jc w:val="center"/>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w:t>
            </w:r>
          </w:p>
        </w:tc>
      </w:tr>
      <w:tr w:rsidR="002832E2" w:rsidRPr="00522104" w14:paraId="63B9CC88" w14:textId="77777777" w:rsidTr="002832E2">
        <w:trPr>
          <w:trHeight w:val="20"/>
          <w:tblHeader/>
        </w:trPr>
        <w:tc>
          <w:tcPr>
            <w:tcW w:w="1985" w:type="dxa"/>
            <w:shd w:val="clear" w:color="auto" w:fill="auto"/>
            <w:vAlign w:val="center"/>
            <w:hideMark/>
          </w:tcPr>
          <w:p w14:paraId="6F5BA307"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1</w:t>
            </w:r>
          </w:p>
        </w:tc>
        <w:tc>
          <w:tcPr>
            <w:tcW w:w="851" w:type="dxa"/>
            <w:shd w:val="clear" w:color="auto" w:fill="auto"/>
            <w:vAlign w:val="center"/>
            <w:hideMark/>
          </w:tcPr>
          <w:p w14:paraId="298A32D0"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2</w:t>
            </w:r>
          </w:p>
        </w:tc>
        <w:tc>
          <w:tcPr>
            <w:tcW w:w="850" w:type="dxa"/>
            <w:shd w:val="clear" w:color="auto" w:fill="auto"/>
            <w:vAlign w:val="center"/>
            <w:hideMark/>
          </w:tcPr>
          <w:p w14:paraId="35CC255D"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3</w:t>
            </w:r>
          </w:p>
        </w:tc>
        <w:tc>
          <w:tcPr>
            <w:tcW w:w="851" w:type="dxa"/>
            <w:shd w:val="clear" w:color="auto" w:fill="auto"/>
            <w:vAlign w:val="center"/>
            <w:hideMark/>
          </w:tcPr>
          <w:p w14:paraId="73C2256B"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4</w:t>
            </w:r>
          </w:p>
        </w:tc>
        <w:tc>
          <w:tcPr>
            <w:tcW w:w="850" w:type="dxa"/>
            <w:shd w:val="clear" w:color="auto" w:fill="auto"/>
            <w:vAlign w:val="center"/>
            <w:hideMark/>
          </w:tcPr>
          <w:p w14:paraId="7A226265"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5</w:t>
            </w:r>
          </w:p>
        </w:tc>
        <w:tc>
          <w:tcPr>
            <w:tcW w:w="851" w:type="dxa"/>
            <w:shd w:val="clear" w:color="auto" w:fill="auto"/>
            <w:vAlign w:val="center"/>
            <w:hideMark/>
          </w:tcPr>
          <w:p w14:paraId="1425A585"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6</w:t>
            </w:r>
          </w:p>
        </w:tc>
        <w:tc>
          <w:tcPr>
            <w:tcW w:w="850" w:type="dxa"/>
            <w:shd w:val="clear" w:color="auto" w:fill="auto"/>
            <w:vAlign w:val="center"/>
            <w:hideMark/>
          </w:tcPr>
          <w:p w14:paraId="034B974B"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7</w:t>
            </w:r>
          </w:p>
        </w:tc>
        <w:tc>
          <w:tcPr>
            <w:tcW w:w="851" w:type="dxa"/>
            <w:shd w:val="clear" w:color="auto" w:fill="auto"/>
            <w:vAlign w:val="center"/>
            <w:hideMark/>
          </w:tcPr>
          <w:p w14:paraId="05F7BFAA"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8=5-3</w:t>
            </w:r>
          </w:p>
        </w:tc>
        <w:tc>
          <w:tcPr>
            <w:tcW w:w="708" w:type="dxa"/>
            <w:shd w:val="clear" w:color="auto" w:fill="auto"/>
            <w:vAlign w:val="center"/>
            <w:hideMark/>
          </w:tcPr>
          <w:p w14:paraId="0C807EB5"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9=5/3</w:t>
            </w:r>
          </w:p>
        </w:tc>
        <w:tc>
          <w:tcPr>
            <w:tcW w:w="709" w:type="dxa"/>
            <w:shd w:val="clear" w:color="auto" w:fill="auto"/>
            <w:vAlign w:val="center"/>
            <w:hideMark/>
          </w:tcPr>
          <w:p w14:paraId="388994BA"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10=5-4</w:t>
            </w:r>
          </w:p>
        </w:tc>
        <w:tc>
          <w:tcPr>
            <w:tcW w:w="709" w:type="dxa"/>
            <w:shd w:val="clear" w:color="auto" w:fill="auto"/>
            <w:vAlign w:val="center"/>
            <w:hideMark/>
          </w:tcPr>
          <w:p w14:paraId="111B69E2" w14:textId="77777777" w:rsidR="002832E2" w:rsidRPr="00522104" w:rsidRDefault="002832E2" w:rsidP="002832E2">
            <w:pPr>
              <w:spacing w:after="0" w:line="240" w:lineRule="auto"/>
              <w:jc w:val="center"/>
              <w:rPr>
                <w:rFonts w:ascii="Times New Roman" w:eastAsia="Times New Roman" w:hAnsi="Times New Roman" w:cs="Times New Roman"/>
                <w:sz w:val="14"/>
                <w:szCs w:val="14"/>
                <w:lang w:eastAsia="ru-RU"/>
              </w:rPr>
            </w:pPr>
            <w:r w:rsidRPr="00522104">
              <w:rPr>
                <w:rFonts w:ascii="Times New Roman" w:eastAsia="Times New Roman" w:hAnsi="Times New Roman" w:cs="Times New Roman"/>
                <w:sz w:val="14"/>
                <w:szCs w:val="14"/>
                <w:lang w:eastAsia="ru-RU"/>
              </w:rPr>
              <w:t>11=5/4</w:t>
            </w:r>
          </w:p>
        </w:tc>
      </w:tr>
      <w:tr w:rsidR="002832E2" w:rsidRPr="00522104" w14:paraId="44FA4918" w14:textId="77777777" w:rsidTr="002832E2">
        <w:trPr>
          <w:trHeight w:val="20"/>
        </w:trPr>
        <w:tc>
          <w:tcPr>
            <w:tcW w:w="1985" w:type="dxa"/>
            <w:shd w:val="clear" w:color="auto" w:fill="auto"/>
            <w:vAlign w:val="center"/>
            <w:hideMark/>
          </w:tcPr>
          <w:p w14:paraId="69E8578B" w14:textId="77777777" w:rsidR="002832E2" w:rsidRPr="00522104" w:rsidRDefault="002832E2" w:rsidP="002832E2">
            <w:pPr>
              <w:spacing w:after="0" w:line="240" w:lineRule="auto"/>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БЕЗВОЗМЕЗДНЫЕ ПОСТУПЛЕНИЯ</w:t>
            </w:r>
          </w:p>
        </w:tc>
        <w:tc>
          <w:tcPr>
            <w:tcW w:w="851" w:type="dxa"/>
            <w:shd w:val="clear" w:color="auto" w:fill="auto"/>
            <w:vAlign w:val="bottom"/>
            <w:hideMark/>
          </w:tcPr>
          <w:p w14:paraId="11735D0B"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45 087,28</w:t>
            </w:r>
          </w:p>
        </w:tc>
        <w:tc>
          <w:tcPr>
            <w:tcW w:w="850" w:type="dxa"/>
            <w:shd w:val="clear" w:color="auto" w:fill="auto"/>
            <w:vAlign w:val="bottom"/>
            <w:hideMark/>
          </w:tcPr>
          <w:p w14:paraId="11C537E8"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51 468,31</w:t>
            </w:r>
          </w:p>
        </w:tc>
        <w:tc>
          <w:tcPr>
            <w:tcW w:w="851" w:type="dxa"/>
            <w:shd w:val="clear" w:color="auto" w:fill="auto"/>
            <w:vAlign w:val="bottom"/>
            <w:hideMark/>
          </w:tcPr>
          <w:p w14:paraId="55FE68A4"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33 634,66</w:t>
            </w:r>
          </w:p>
        </w:tc>
        <w:tc>
          <w:tcPr>
            <w:tcW w:w="850" w:type="dxa"/>
            <w:shd w:val="clear" w:color="auto" w:fill="auto"/>
            <w:vAlign w:val="bottom"/>
            <w:hideMark/>
          </w:tcPr>
          <w:p w14:paraId="1C013F9C"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42 716,45</w:t>
            </w:r>
          </w:p>
        </w:tc>
        <w:tc>
          <w:tcPr>
            <w:tcW w:w="851" w:type="dxa"/>
            <w:shd w:val="clear" w:color="auto" w:fill="auto"/>
            <w:vAlign w:val="bottom"/>
            <w:hideMark/>
          </w:tcPr>
          <w:p w14:paraId="76F209F4"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34 464,43</w:t>
            </w:r>
          </w:p>
        </w:tc>
        <w:tc>
          <w:tcPr>
            <w:tcW w:w="850" w:type="dxa"/>
            <w:shd w:val="clear" w:color="auto" w:fill="auto"/>
            <w:vAlign w:val="bottom"/>
            <w:hideMark/>
          </w:tcPr>
          <w:p w14:paraId="3E74BE04"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32 698,90</w:t>
            </w:r>
          </w:p>
        </w:tc>
        <w:tc>
          <w:tcPr>
            <w:tcW w:w="851" w:type="dxa"/>
            <w:shd w:val="clear" w:color="auto" w:fill="auto"/>
            <w:vAlign w:val="bottom"/>
            <w:hideMark/>
          </w:tcPr>
          <w:p w14:paraId="1FAA7A58"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-8 751,86</w:t>
            </w:r>
          </w:p>
        </w:tc>
        <w:tc>
          <w:tcPr>
            <w:tcW w:w="708" w:type="dxa"/>
            <w:shd w:val="clear" w:color="auto" w:fill="auto"/>
            <w:vAlign w:val="bottom"/>
            <w:hideMark/>
          </w:tcPr>
          <w:p w14:paraId="6A24421B"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83,00</w:t>
            </w:r>
          </w:p>
        </w:tc>
        <w:tc>
          <w:tcPr>
            <w:tcW w:w="709" w:type="dxa"/>
            <w:shd w:val="clear" w:color="auto" w:fill="auto"/>
            <w:vAlign w:val="bottom"/>
            <w:hideMark/>
          </w:tcPr>
          <w:p w14:paraId="0C08F23C" w14:textId="77777777" w:rsidR="002832E2" w:rsidRPr="00522104" w:rsidRDefault="002832E2" w:rsidP="002832E2">
            <w:pPr>
              <w:spacing w:after="0" w:line="240" w:lineRule="auto"/>
              <w:ind w:left="-132"/>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9 081,79</w:t>
            </w:r>
          </w:p>
        </w:tc>
        <w:tc>
          <w:tcPr>
            <w:tcW w:w="709" w:type="dxa"/>
            <w:shd w:val="clear" w:color="auto" w:fill="auto"/>
            <w:vAlign w:val="bottom"/>
            <w:hideMark/>
          </w:tcPr>
          <w:p w14:paraId="4E4194E7" w14:textId="77777777" w:rsidR="002832E2" w:rsidRPr="00522104" w:rsidRDefault="002832E2" w:rsidP="002832E2">
            <w:pPr>
              <w:spacing w:after="0" w:line="240" w:lineRule="auto"/>
              <w:jc w:val="right"/>
              <w:rPr>
                <w:rFonts w:ascii="Times New Roman" w:eastAsia="Times New Roman" w:hAnsi="Times New Roman" w:cs="Times New Roman"/>
                <w:b/>
                <w:bCs/>
                <w:sz w:val="17"/>
                <w:szCs w:val="17"/>
                <w:lang w:eastAsia="ru-RU"/>
              </w:rPr>
            </w:pPr>
            <w:r w:rsidRPr="00522104">
              <w:rPr>
                <w:rFonts w:ascii="Times New Roman" w:eastAsia="Times New Roman" w:hAnsi="Times New Roman" w:cs="Times New Roman"/>
                <w:b/>
                <w:bCs/>
                <w:sz w:val="17"/>
                <w:szCs w:val="17"/>
                <w:lang w:eastAsia="ru-RU"/>
              </w:rPr>
              <w:t>127,00</w:t>
            </w:r>
          </w:p>
        </w:tc>
      </w:tr>
      <w:tr w:rsidR="002832E2" w:rsidRPr="00522104" w14:paraId="705D770E" w14:textId="77777777" w:rsidTr="002832E2">
        <w:trPr>
          <w:trHeight w:val="20"/>
        </w:trPr>
        <w:tc>
          <w:tcPr>
            <w:tcW w:w="1985" w:type="dxa"/>
            <w:shd w:val="clear" w:color="auto" w:fill="auto"/>
            <w:vAlign w:val="center"/>
            <w:hideMark/>
          </w:tcPr>
          <w:p w14:paraId="50D2FC21" w14:textId="77777777" w:rsidR="002832E2" w:rsidRPr="00522104" w:rsidRDefault="002832E2" w:rsidP="002832E2">
            <w:pPr>
              <w:spacing w:after="0" w:line="240" w:lineRule="auto"/>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Безвозмездные поступления от других бюджетов бюджетной системы РФ, в том числе</w:t>
            </w:r>
          </w:p>
        </w:tc>
        <w:tc>
          <w:tcPr>
            <w:tcW w:w="851" w:type="dxa"/>
            <w:shd w:val="clear" w:color="auto" w:fill="auto"/>
            <w:vAlign w:val="bottom"/>
            <w:hideMark/>
          </w:tcPr>
          <w:p w14:paraId="491F52BB"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44 428,10</w:t>
            </w:r>
          </w:p>
        </w:tc>
        <w:tc>
          <w:tcPr>
            <w:tcW w:w="850" w:type="dxa"/>
            <w:shd w:val="clear" w:color="auto" w:fill="auto"/>
            <w:vAlign w:val="bottom"/>
            <w:hideMark/>
          </w:tcPr>
          <w:p w14:paraId="51B5BA7B"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48 714,42</w:t>
            </w:r>
          </w:p>
        </w:tc>
        <w:tc>
          <w:tcPr>
            <w:tcW w:w="851" w:type="dxa"/>
            <w:shd w:val="clear" w:color="auto" w:fill="auto"/>
            <w:vAlign w:val="bottom"/>
            <w:hideMark/>
          </w:tcPr>
          <w:p w14:paraId="43BFE5C3"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31 298,43</w:t>
            </w:r>
          </w:p>
        </w:tc>
        <w:tc>
          <w:tcPr>
            <w:tcW w:w="850" w:type="dxa"/>
            <w:shd w:val="clear" w:color="auto" w:fill="auto"/>
            <w:vAlign w:val="bottom"/>
            <w:hideMark/>
          </w:tcPr>
          <w:p w14:paraId="33DE44F4"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40 380,22</w:t>
            </w:r>
          </w:p>
        </w:tc>
        <w:tc>
          <w:tcPr>
            <w:tcW w:w="851" w:type="dxa"/>
            <w:shd w:val="clear" w:color="auto" w:fill="auto"/>
            <w:vAlign w:val="bottom"/>
            <w:hideMark/>
          </w:tcPr>
          <w:p w14:paraId="710819AE"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34 464,43</w:t>
            </w:r>
          </w:p>
        </w:tc>
        <w:tc>
          <w:tcPr>
            <w:tcW w:w="850" w:type="dxa"/>
            <w:shd w:val="clear" w:color="auto" w:fill="auto"/>
            <w:vAlign w:val="bottom"/>
            <w:hideMark/>
          </w:tcPr>
          <w:p w14:paraId="5ECE2EA1"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32 698,90</w:t>
            </w:r>
          </w:p>
        </w:tc>
        <w:tc>
          <w:tcPr>
            <w:tcW w:w="851" w:type="dxa"/>
            <w:shd w:val="clear" w:color="auto" w:fill="auto"/>
            <w:vAlign w:val="bottom"/>
            <w:hideMark/>
          </w:tcPr>
          <w:p w14:paraId="26DFD199"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-8 334,20</w:t>
            </w:r>
          </w:p>
        </w:tc>
        <w:tc>
          <w:tcPr>
            <w:tcW w:w="708" w:type="dxa"/>
            <w:shd w:val="clear" w:color="auto" w:fill="auto"/>
            <w:vAlign w:val="bottom"/>
            <w:hideMark/>
          </w:tcPr>
          <w:p w14:paraId="73789EC4"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82,89</w:t>
            </w:r>
          </w:p>
        </w:tc>
        <w:tc>
          <w:tcPr>
            <w:tcW w:w="709" w:type="dxa"/>
            <w:shd w:val="clear" w:color="auto" w:fill="auto"/>
            <w:vAlign w:val="bottom"/>
            <w:hideMark/>
          </w:tcPr>
          <w:p w14:paraId="756FAA47" w14:textId="77777777" w:rsidR="002832E2" w:rsidRPr="00522104" w:rsidRDefault="002832E2" w:rsidP="002832E2">
            <w:pPr>
              <w:spacing w:after="0" w:line="240" w:lineRule="auto"/>
              <w:ind w:left="-132"/>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9 081,79</w:t>
            </w:r>
          </w:p>
        </w:tc>
        <w:tc>
          <w:tcPr>
            <w:tcW w:w="709" w:type="dxa"/>
            <w:shd w:val="clear" w:color="auto" w:fill="auto"/>
            <w:vAlign w:val="bottom"/>
            <w:hideMark/>
          </w:tcPr>
          <w:p w14:paraId="57E46758"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129,02</w:t>
            </w:r>
          </w:p>
        </w:tc>
      </w:tr>
      <w:tr w:rsidR="002832E2" w:rsidRPr="00522104" w14:paraId="143C99CB" w14:textId="77777777" w:rsidTr="002832E2">
        <w:trPr>
          <w:trHeight w:val="20"/>
        </w:trPr>
        <w:tc>
          <w:tcPr>
            <w:tcW w:w="1985" w:type="dxa"/>
            <w:shd w:val="clear" w:color="auto" w:fill="auto"/>
            <w:vAlign w:val="center"/>
            <w:hideMark/>
          </w:tcPr>
          <w:p w14:paraId="4CAD36FE" w14:textId="77777777" w:rsidR="002832E2" w:rsidRPr="00522104" w:rsidRDefault="002832E2" w:rsidP="002832E2">
            <w:pPr>
              <w:spacing w:after="0" w:line="240" w:lineRule="auto"/>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 xml:space="preserve">Дотации </w:t>
            </w:r>
          </w:p>
        </w:tc>
        <w:tc>
          <w:tcPr>
            <w:tcW w:w="851" w:type="dxa"/>
            <w:shd w:val="clear" w:color="auto" w:fill="auto"/>
            <w:vAlign w:val="bottom"/>
            <w:hideMark/>
          </w:tcPr>
          <w:p w14:paraId="2C237F1F"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10 987,91</w:t>
            </w:r>
          </w:p>
        </w:tc>
        <w:tc>
          <w:tcPr>
            <w:tcW w:w="850" w:type="dxa"/>
            <w:shd w:val="clear" w:color="auto" w:fill="auto"/>
            <w:vAlign w:val="bottom"/>
            <w:hideMark/>
          </w:tcPr>
          <w:p w14:paraId="68D0A1B9"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11 687,91</w:t>
            </w:r>
          </w:p>
        </w:tc>
        <w:tc>
          <w:tcPr>
            <w:tcW w:w="851" w:type="dxa"/>
            <w:shd w:val="clear" w:color="auto" w:fill="auto"/>
            <w:vAlign w:val="bottom"/>
            <w:hideMark/>
          </w:tcPr>
          <w:p w14:paraId="26D931C4"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3 486,87</w:t>
            </w:r>
          </w:p>
        </w:tc>
        <w:tc>
          <w:tcPr>
            <w:tcW w:w="850" w:type="dxa"/>
            <w:shd w:val="clear" w:color="auto" w:fill="auto"/>
            <w:vAlign w:val="bottom"/>
            <w:hideMark/>
          </w:tcPr>
          <w:p w14:paraId="7556F3D5"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9 313,27</w:t>
            </w:r>
          </w:p>
        </w:tc>
        <w:tc>
          <w:tcPr>
            <w:tcW w:w="851" w:type="dxa"/>
            <w:shd w:val="clear" w:color="auto" w:fill="auto"/>
            <w:vAlign w:val="bottom"/>
            <w:hideMark/>
          </w:tcPr>
          <w:p w14:paraId="23D52519"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3 101,10</w:t>
            </w:r>
          </w:p>
        </w:tc>
        <w:tc>
          <w:tcPr>
            <w:tcW w:w="850" w:type="dxa"/>
            <w:shd w:val="clear" w:color="auto" w:fill="auto"/>
            <w:vAlign w:val="bottom"/>
            <w:hideMark/>
          </w:tcPr>
          <w:p w14:paraId="42FCE728"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236,70</w:t>
            </w:r>
          </w:p>
        </w:tc>
        <w:tc>
          <w:tcPr>
            <w:tcW w:w="851" w:type="dxa"/>
            <w:shd w:val="clear" w:color="auto" w:fill="auto"/>
            <w:vAlign w:val="bottom"/>
            <w:hideMark/>
          </w:tcPr>
          <w:p w14:paraId="7B3CB069"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-2 374,64</w:t>
            </w:r>
          </w:p>
        </w:tc>
        <w:tc>
          <w:tcPr>
            <w:tcW w:w="708" w:type="dxa"/>
            <w:shd w:val="clear" w:color="auto" w:fill="auto"/>
            <w:vAlign w:val="bottom"/>
            <w:hideMark/>
          </w:tcPr>
          <w:p w14:paraId="6248A5E7"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79,68</w:t>
            </w:r>
          </w:p>
        </w:tc>
        <w:tc>
          <w:tcPr>
            <w:tcW w:w="709" w:type="dxa"/>
            <w:shd w:val="clear" w:color="auto" w:fill="auto"/>
            <w:vAlign w:val="bottom"/>
            <w:hideMark/>
          </w:tcPr>
          <w:p w14:paraId="18116F34"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5 826,40</w:t>
            </w:r>
          </w:p>
        </w:tc>
        <w:tc>
          <w:tcPr>
            <w:tcW w:w="709" w:type="dxa"/>
            <w:shd w:val="clear" w:color="auto" w:fill="auto"/>
            <w:vAlign w:val="bottom"/>
            <w:hideMark/>
          </w:tcPr>
          <w:p w14:paraId="6FE3E106" w14:textId="77777777" w:rsidR="002832E2" w:rsidRPr="00522104" w:rsidRDefault="002832E2" w:rsidP="002832E2">
            <w:pPr>
              <w:spacing w:after="0" w:line="240" w:lineRule="auto"/>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267,10</w:t>
            </w:r>
          </w:p>
        </w:tc>
      </w:tr>
      <w:tr w:rsidR="002832E2" w:rsidRPr="00522104" w14:paraId="59DFCF1B" w14:textId="77777777" w:rsidTr="002832E2">
        <w:trPr>
          <w:trHeight w:val="20"/>
        </w:trPr>
        <w:tc>
          <w:tcPr>
            <w:tcW w:w="1985" w:type="dxa"/>
            <w:shd w:val="clear" w:color="auto" w:fill="auto"/>
            <w:vAlign w:val="center"/>
            <w:hideMark/>
          </w:tcPr>
          <w:p w14:paraId="73E4C8E6" w14:textId="77777777" w:rsidR="002832E2" w:rsidRPr="00522104" w:rsidRDefault="002832E2" w:rsidP="002832E2">
            <w:pPr>
              <w:spacing w:after="0" w:line="240" w:lineRule="auto"/>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 xml:space="preserve">Субсидии </w:t>
            </w:r>
          </w:p>
        </w:tc>
        <w:tc>
          <w:tcPr>
            <w:tcW w:w="851" w:type="dxa"/>
            <w:shd w:val="clear" w:color="auto" w:fill="auto"/>
            <w:vAlign w:val="bottom"/>
            <w:hideMark/>
          </w:tcPr>
          <w:p w14:paraId="2AFC1CB0"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22 907,96</w:t>
            </w:r>
          </w:p>
        </w:tc>
        <w:tc>
          <w:tcPr>
            <w:tcW w:w="850" w:type="dxa"/>
            <w:shd w:val="clear" w:color="auto" w:fill="auto"/>
            <w:vAlign w:val="bottom"/>
            <w:hideMark/>
          </w:tcPr>
          <w:p w14:paraId="24E54C9A"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23 570,24</w:t>
            </w:r>
          </w:p>
        </w:tc>
        <w:tc>
          <w:tcPr>
            <w:tcW w:w="851" w:type="dxa"/>
            <w:shd w:val="clear" w:color="auto" w:fill="auto"/>
            <w:vAlign w:val="bottom"/>
            <w:hideMark/>
          </w:tcPr>
          <w:p w14:paraId="0BB8806C"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18 663,40</w:t>
            </w:r>
          </w:p>
        </w:tc>
        <w:tc>
          <w:tcPr>
            <w:tcW w:w="850" w:type="dxa"/>
            <w:shd w:val="clear" w:color="auto" w:fill="auto"/>
            <w:vAlign w:val="bottom"/>
            <w:hideMark/>
          </w:tcPr>
          <w:p w14:paraId="402365DB"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22 066,95</w:t>
            </w:r>
          </w:p>
        </w:tc>
        <w:tc>
          <w:tcPr>
            <w:tcW w:w="851" w:type="dxa"/>
            <w:shd w:val="clear" w:color="auto" w:fill="auto"/>
            <w:vAlign w:val="bottom"/>
            <w:hideMark/>
          </w:tcPr>
          <w:p w14:paraId="29076C5C"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22 737,50</w:t>
            </w:r>
          </w:p>
        </w:tc>
        <w:tc>
          <w:tcPr>
            <w:tcW w:w="850" w:type="dxa"/>
            <w:shd w:val="clear" w:color="auto" w:fill="auto"/>
            <w:vAlign w:val="bottom"/>
            <w:hideMark/>
          </w:tcPr>
          <w:p w14:paraId="1CD4CB2F"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24 096,46</w:t>
            </w:r>
          </w:p>
        </w:tc>
        <w:tc>
          <w:tcPr>
            <w:tcW w:w="851" w:type="dxa"/>
            <w:shd w:val="clear" w:color="auto" w:fill="auto"/>
            <w:vAlign w:val="bottom"/>
            <w:hideMark/>
          </w:tcPr>
          <w:p w14:paraId="2A8381AC"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-1 503,29</w:t>
            </w:r>
          </w:p>
        </w:tc>
        <w:tc>
          <w:tcPr>
            <w:tcW w:w="708" w:type="dxa"/>
            <w:shd w:val="clear" w:color="auto" w:fill="auto"/>
            <w:vAlign w:val="bottom"/>
            <w:hideMark/>
          </w:tcPr>
          <w:p w14:paraId="121274C9"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93,62</w:t>
            </w:r>
          </w:p>
        </w:tc>
        <w:tc>
          <w:tcPr>
            <w:tcW w:w="709" w:type="dxa"/>
            <w:shd w:val="clear" w:color="auto" w:fill="auto"/>
            <w:vAlign w:val="bottom"/>
            <w:hideMark/>
          </w:tcPr>
          <w:p w14:paraId="6916F991"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3 403,55</w:t>
            </w:r>
          </w:p>
        </w:tc>
        <w:tc>
          <w:tcPr>
            <w:tcW w:w="709" w:type="dxa"/>
            <w:shd w:val="clear" w:color="auto" w:fill="auto"/>
            <w:vAlign w:val="bottom"/>
            <w:hideMark/>
          </w:tcPr>
          <w:p w14:paraId="31711282" w14:textId="77777777" w:rsidR="002832E2" w:rsidRPr="00522104" w:rsidRDefault="002832E2" w:rsidP="002832E2">
            <w:pPr>
              <w:spacing w:after="0" w:line="240" w:lineRule="auto"/>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118,24</w:t>
            </w:r>
          </w:p>
        </w:tc>
      </w:tr>
      <w:tr w:rsidR="002832E2" w:rsidRPr="00522104" w14:paraId="5B17B734" w14:textId="77777777" w:rsidTr="002832E2">
        <w:trPr>
          <w:trHeight w:val="20"/>
        </w:trPr>
        <w:tc>
          <w:tcPr>
            <w:tcW w:w="1985" w:type="dxa"/>
            <w:shd w:val="clear" w:color="auto" w:fill="auto"/>
            <w:vAlign w:val="center"/>
            <w:hideMark/>
          </w:tcPr>
          <w:p w14:paraId="7A191C64" w14:textId="77777777" w:rsidR="002832E2" w:rsidRPr="00522104" w:rsidRDefault="002832E2" w:rsidP="002832E2">
            <w:pPr>
              <w:spacing w:after="0" w:line="240" w:lineRule="auto"/>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 xml:space="preserve">Субвенции </w:t>
            </w:r>
          </w:p>
        </w:tc>
        <w:tc>
          <w:tcPr>
            <w:tcW w:w="851" w:type="dxa"/>
            <w:shd w:val="clear" w:color="auto" w:fill="auto"/>
            <w:vAlign w:val="bottom"/>
            <w:hideMark/>
          </w:tcPr>
          <w:p w14:paraId="30632383"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7 186,85</w:t>
            </w:r>
          </w:p>
        </w:tc>
        <w:tc>
          <w:tcPr>
            <w:tcW w:w="850" w:type="dxa"/>
            <w:shd w:val="clear" w:color="auto" w:fill="auto"/>
            <w:vAlign w:val="bottom"/>
            <w:hideMark/>
          </w:tcPr>
          <w:p w14:paraId="665623BE"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6 786,69</w:t>
            </w:r>
          </w:p>
        </w:tc>
        <w:tc>
          <w:tcPr>
            <w:tcW w:w="851" w:type="dxa"/>
            <w:shd w:val="clear" w:color="auto" w:fill="auto"/>
            <w:vAlign w:val="bottom"/>
            <w:hideMark/>
          </w:tcPr>
          <w:p w14:paraId="11A610FC"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6 764,90</w:t>
            </w:r>
          </w:p>
        </w:tc>
        <w:tc>
          <w:tcPr>
            <w:tcW w:w="850" w:type="dxa"/>
            <w:shd w:val="clear" w:color="auto" w:fill="auto"/>
            <w:vAlign w:val="bottom"/>
            <w:hideMark/>
          </w:tcPr>
          <w:p w14:paraId="2AE648AC"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6 492,66</w:t>
            </w:r>
          </w:p>
        </w:tc>
        <w:tc>
          <w:tcPr>
            <w:tcW w:w="851" w:type="dxa"/>
            <w:shd w:val="clear" w:color="auto" w:fill="auto"/>
            <w:vAlign w:val="bottom"/>
            <w:hideMark/>
          </w:tcPr>
          <w:p w14:paraId="5F7EC001"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6 675,62</w:t>
            </w:r>
          </w:p>
        </w:tc>
        <w:tc>
          <w:tcPr>
            <w:tcW w:w="850" w:type="dxa"/>
            <w:shd w:val="clear" w:color="auto" w:fill="auto"/>
            <w:vAlign w:val="bottom"/>
            <w:hideMark/>
          </w:tcPr>
          <w:p w14:paraId="1C98D82F"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6 852,62</w:t>
            </w:r>
          </w:p>
        </w:tc>
        <w:tc>
          <w:tcPr>
            <w:tcW w:w="851" w:type="dxa"/>
            <w:shd w:val="clear" w:color="auto" w:fill="auto"/>
            <w:vAlign w:val="bottom"/>
            <w:hideMark/>
          </w:tcPr>
          <w:p w14:paraId="2EAA332E"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-294,03</w:t>
            </w:r>
          </w:p>
        </w:tc>
        <w:tc>
          <w:tcPr>
            <w:tcW w:w="708" w:type="dxa"/>
            <w:shd w:val="clear" w:color="auto" w:fill="auto"/>
            <w:vAlign w:val="bottom"/>
            <w:hideMark/>
          </w:tcPr>
          <w:p w14:paraId="527A36B7"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95,67</w:t>
            </w:r>
          </w:p>
        </w:tc>
        <w:tc>
          <w:tcPr>
            <w:tcW w:w="709" w:type="dxa"/>
            <w:shd w:val="clear" w:color="auto" w:fill="auto"/>
            <w:vAlign w:val="bottom"/>
            <w:hideMark/>
          </w:tcPr>
          <w:p w14:paraId="3591DD81"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-272,24</w:t>
            </w:r>
          </w:p>
        </w:tc>
        <w:tc>
          <w:tcPr>
            <w:tcW w:w="709" w:type="dxa"/>
            <w:shd w:val="clear" w:color="auto" w:fill="auto"/>
            <w:vAlign w:val="bottom"/>
            <w:hideMark/>
          </w:tcPr>
          <w:p w14:paraId="37EB5B3B" w14:textId="77777777" w:rsidR="002832E2" w:rsidRPr="00522104" w:rsidRDefault="002832E2" w:rsidP="002832E2">
            <w:pPr>
              <w:spacing w:after="0" w:line="240" w:lineRule="auto"/>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95,98</w:t>
            </w:r>
          </w:p>
        </w:tc>
      </w:tr>
      <w:tr w:rsidR="002832E2" w:rsidRPr="00522104" w14:paraId="67019BCD" w14:textId="77777777" w:rsidTr="002832E2">
        <w:trPr>
          <w:trHeight w:val="20"/>
        </w:trPr>
        <w:tc>
          <w:tcPr>
            <w:tcW w:w="1985" w:type="dxa"/>
            <w:shd w:val="clear" w:color="auto" w:fill="auto"/>
            <w:vAlign w:val="center"/>
            <w:hideMark/>
          </w:tcPr>
          <w:p w14:paraId="37DC3EC0" w14:textId="77777777" w:rsidR="002832E2" w:rsidRPr="00522104" w:rsidRDefault="002832E2" w:rsidP="002832E2">
            <w:pPr>
              <w:spacing w:after="0" w:line="240" w:lineRule="auto"/>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Иные межбюджетные трансферты</w:t>
            </w:r>
          </w:p>
        </w:tc>
        <w:tc>
          <w:tcPr>
            <w:tcW w:w="851" w:type="dxa"/>
            <w:shd w:val="clear" w:color="auto" w:fill="auto"/>
            <w:vAlign w:val="bottom"/>
            <w:hideMark/>
          </w:tcPr>
          <w:p w14:paraId="17602511"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3 345,38</w:t>
            </w:r>
          </w:p>
        </w:tc>
        <w:tc>
          <w:tcPr>
            <w:tcW w:w="850" w:type="dxa"/>
            <w:shd w:val="clear" w:color="auto" w:fill="auto"/>
            <w:vAlign w:val="bottom"/>
            <w:hideMark/>
          </w:tcPr>
          <w:p w14:paraId="5E7AC46E"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6 669,58</w:t>
            </w:r>
          </w:p>
        </w:tc>
        <w:tc>
          <w:tcPr>
            <w:tcW w:w="851" w:type="dxa"/>
            <w:shd w:val="clear" w:color="auto" w:fill="auto"/>
            <w:vAlign w:val="bottom"/>
            <w:hideMark/>
          </w:tcPr>
          <w:p w14:paraId="26CEA633"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2 383,26</w:t>
            </w:r>
          </w:p>
        </w:tc>
        <w:tc>
          <w:tcPr>
            <w:tcW w:w="850" w:type="dxa"/>
            <w:shd w:val="clear" w:color="auto" w:fill="auto"/>
            <w:vAlign w:val="bottom"/>
            <w:hideMark/>
          </w:tcPr>
          <w:p w14:paraId="60CABE21"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2 507,34</w:t>
            </w:r>
          </w:p>
        </w:tc>
        <w:tc>
          <w:tcPr>
            <w:tcW w:w="851" w:type="dxa"/>
            <w:shd w:val="clear" w:color="auto" w:fill="auto"/>
            <w:vAlign w:val="bottom"/>
            <w:hideMark/>
          </w:tcPr>
          <w:p w14:paraId="5CECDC64"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1 950,21</w:t>
            </w:r>
          </w:p>
        </w:tc>
        <w:tc>
          <w:tcPr>
            <w:tcW w:w="850" w:type="dxa"/>
            <w:shd w:val="clear" w:color="auto" w:fill="auto"/>
            <w:vAlign w:val="bottom"/>
            <w:hideMark/>
          </w:tcPr>
          <w:p w14:paraId="05CFD175"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1 513,12</w:t>
            </w:r>
          </w:p>
        </w:tc>
        <w:tc>
          <w:tcPr>
            <w:tcW w:w="851" w:type="dxa"/>
            <w:shd w:val="clear" w:color="auto" w:fill="auto"/>
            <w:vAlign w:val="bottom"/>
            <w:hideMark/>
          </w:tcPr>
          <w:p w14:paraId="10A322EA"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-4 162,24</w:t>
            </w:r>
          </w:p>
        </w:tc>
        <w:tc>
          <w:tcPr>
            <w:tcW w:w="708" w:type="dxa"/>
            <w:shd w:val="clear" w:color="auto" w:fill="auto"/>
            <w:vAlign w:val="bottom"/>
            <w:hideMark/>
          </w:tcPr>
          <w:p w14:paraId="5D7F2154"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37,59</w:t>
            </w:r>
          </w:p>
        </w:tc>
        <w:tc>
          <w:tcPr>
            <w:tcW w:w="709" w:type="dxa"/>
            <w:shd w:val="clear" w:color="auto" w:fill="auto"/>
            <w:vAlign w:val="bottom"/>
            <w:hideMark/>
          </w:tcPr>
          <w:p w14:paraId="712E87CD" w14:textId="77777777" w:rsidR="002832E2" w:rsidRPr="00522104" w:rsidRDefault="002832E2" w:rsidP="002832E2">
            <w:pPr>
              <w:spacing w:after="0" w:line="240" w:lineRule="auto"/>
              <w:ind w:left="-132"/>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124,08</w:t>
            </w:r>
          </w:p>
        </w:tc>
        <w:tc>
          <w:tcPr>
            <w:tcW w:w="709" w:type="dxa"/>
            <w:shd w:val="clear" w:color="auto" w:fill="auto"/>
            <w:vAlign w:val="bottom"/>
            <w:hideMark/>
          </w:tcPr>
          <w:p w14:paraId="211CC015" w14:textId="77777777" w:rsidR="002832E2" w:rsidRPr="00522104" w:rsidRDefault="002832E2" w:rsidP="002832E2">
            <w:pPr>
              <w:spacing w:after="0" w:line="240" w:lineRule="auto"/>
              <w:jc w:val="right"/>
              <w:rPr>
                <w:rFonts w:ascii="Times New Roman" w:eastAsia="Times New Roman" w:hAnsi="Times New Roman" w:cs="Times New Roman"/>
                <w:i/>
                <w:iCs/>
                <w:sz w:val="17"/>
                <w:szCs w:val="17"/>
                <w:lang w:eastAsia="ru-RU"/>
              </w:rPr>
            </w:pPr>
            <w:r w:rsidRPr="00522104">
              <w:rPr>
                <w:rFonts w:ascii="Times New Roman" w:eastAsia="Times New Roman" w:hAnsi="Times New Roman" w:cs="Times New Roman"/>
                <w:i/>
                <w:iCs/>
                <w:sz w:val="17"/>
                <w:szCs w:val="17"/>
                <w:lang w:eastAsia="ru-RU"/>
              </w:rPr>
              <w:t>105,21</w:t>
            </w:r>
          </w:p>
        </w:tc>
      </w:tr>
      <w:tr w:rsidR="002832E2" w:rsidRPr="00522104" w14:paraId="69F52D0D" w14:textId="77777777" w:rsidTr="002832E2">
        <w:trPr>
          <w:trHeight w:val="20"/>
        </w:trPr>
        <w:tc>
          <w:tcPr>
            <w:tcW w:w="1985" w:type="dxa"/>
            <w:shd w:val="clear" w:color="auto" w:fill="auto"/>
            <w:vAlign w:val="center"/>
            <w:hideMark/>
          </w:tcPr>
          <w:p w14:paraId="43C2EDD3" w14:textId="77777777" w:rsidR="002832E2" w:rsidRPr="00522104" w:rsidRDefault="002832E2" w:rsidP="002832E2">
            <w:pPr>
              <w:spacing w:after="0" w:line="240" w:lineRule="auto"/>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Безвозмездные поступления от государственных (муниципальных) организаций</w:t>
            </w:r>
          </w:p>
        </w:tc>
        <w:tc>
          <w:tcPr>
            <w:tcW w:w="851" w:type="dxa"/>
            <w:shd w:val="clear" w:color="auto" w:fill="auto"/>
            <w:vAlign w:val="bottom"/>
            <w:hideMark/>
          </w:tcPr>
          <w:p w14:paraId="282A9624"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636,38</w:t>
            </w:r>
          </w:p>
        </w:tc>
        <w:tc>
          <w:tcPr>
            <w:tcW w:w="850" w:type="dxa"/>
            <w:shd w:val="clear" w:color="auto" w:fill="auto"/>
            <w:vAlign w:val="bottom"/>
            <w:hideMark/>
          </w:tcPr>
          <w:p w14:paraId="04CE986E"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2 731,09</w:t>
            </w:r>
          </w:p>
        </w:tc>
        <w:tc>
          <w:tcPr>
            <w:tcW w:w="851" w:type="dxa"/>
            <w:shd w:val="clear" w:color="auto" w:fill="auto"/>
            <w:vAlign w:val="bottom"/>
            <w:hideMark/>
          </w:tcPr>
          <w:p w14:paraId="04BA7407"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2 336,23</w:t>
            </w:r>
          </w:p>
        </w:tc>
        <w:tc>
          <w:tcPr>
            <w:tcW w:w="850" w:type="dxa"/>
            <w:shd w:val="clear" w:color="auto" w:fill="auto"/>
            <w:vAlign w:val="bottom"/>
            <w:hideMark/>
          </w:tcPr>
          <w:p w14:paraId="0001EFA3"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2 336,23</w:t>
            </w:r>
          </w:p>
        </w:tc>
        <w:tc>
          <w:tcPr>
            <w:tcW w:w="851" w:type="dxa"/>
            <w:shd w:val="clear" w:color="auto" w:fill="auto"/>
            <w:vAlign w:val="bottom"/>
            <w:hideMark/>
          </w:tcPr>
          <w:p w14:paraId="6552F171"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850" w:type="dxa"/>
            <w:shd w:val="clear" w:color="auto" w:fill="auto"/>
            <w:vAlign w:val="bottom"/>
            <w:hideMark/>
          </w:tcPr>
          <w:p w14:paraId="3A0562DB"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851" w:type="dxa"/>
            <w:shd w:val="clear" w:color="auto" w:fill="auto"/>
            <w:vAlign w:val="bottom"/>
            <w:hideMark/>
          </w:tcPr>
          <w:p w14:paraId="7BAE34FC"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-394,86</w:t>
            </w:r>
          </w:p>
        </w:tc>
        <w:tc>
          <w:tcPr>
            <w:tcW w:w="708" w:type="dxa"/>
            <w:shd w:val="clear" w:color="auto" w:fill="auto"/>
            <w:vAlign w:val="bottom"/>
            <w:hideMark/>
          </w:tcPr>
          <w:p w14:paraId="6533A80C"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85,54</w:t>
            </w:r>
          </w:p>
        </w:tc>
        <w:tc>
          <w:tcPr>
            <w:tcW w:w="709" w:type="dxa"/>
            <w:shd w:val="clear" w:color="auto" w:fill="auto"/>
            <w:vAlign w:val="bottom"/>
            <w:hideMark/>
          </w:tcPr>
          <w:p w14:paraId="09C2C1FC"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709" w:type="dxa"/>
            <w:shd w:val="clear" w:color="auto" w:fill="auto"/>
            <w:vAlign w:val="bottom"/>
            <w:hideMark/>
          </w:tcPr>
          <w:p w14:paraId="0F988A0F"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100,00</w:t>
            </w:r>
          </w:p>
        </w:tc>
      </w:tr>
      <w:tr w:rsidR="002832E2" w:rsidRPr="00522104" w14:paraId="60BBC75F" w14:textId="77777777" w:rsidTr="002832E2">
        <w:trPr>
          <w:trHeight w:val="20"/>
        </w:trPr>
        <w:tc>
          <w:tcPr>
            <w:tcW w:w="1985" w:type="dxa"/>
            <w:shd w:val="clear" w:color="auto" w:fill="auto"/>
            <w:vAlign w:val="center"/>
            <w:hideMark/>
          </w:tcPr>
          <w:p w14:paraId="7DCE3020" w14:textId="77777777" w:rsidR="002832E2" w:rsidRPr="00522104" w:rsidRDefault="002832E2" w:rsidP="002832E2">
            <w:pPr>
              <w:spacing w:after="0" w:line="240" w:lineRule="auto"/>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Безвозмездные поступления от негосударственных организаций</w:t>
            </w:r>
          </w:p>
        </w:tc>
        <w:tc>
          <w:tcPr>
            <w:tcW w:w="851" w:type="dxa"/>
            <w:shd w:val="clear" w:color="auto" w:fill="auto"/>
            <w:vAlign w:val="bottom"/>
            <w:hideMark/>
          </w:tcPr>
          <w:p w14:paraId="6A1924BF"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22,80</w:t>
            </w:r>
          </w:p>
        </w:tc>
        <w:tc>
          <w:tcPr>
            <w:tcW w:w="850" w:type="dxa"/>
            <w:shd w:val="clear" w:color="auto" w:fill="auto"/>
            <w:vAlign w:val="bottom"/>
            <w:hideMark/>
          </w:tcPr>
          <w:p w14:paraId="61A3AD98"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22,80</w:t>
            </w:r>
          </w:p>
        </w:tc>
        <w:tc>
          <w:tcPr>
            <w:tcW w:w="851" w:type="dxa"/>
            <w:shd w:val="clear" w:color="auto" w:fill="auto"/>
            <w:vAlign w:val="bottom"/>
            <w:hideMark/>
          </w:tcPr>
          <w:p w14:paraId="5F4783DF"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850" w:type="dxa"/>
            <w:shd w:val="clear" w:color="auto" w:fill="auto"/>
            <w:vAlign w:val="bottom"/>
            <w:hideMark/>
          </w:tcPr>
          <w:p w14:paraId="559AF22E"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851" w:type="dxa"/>
            <w:shd w:val="clear" w:color="auto" w:fill="auto"/>
            <w:vAlign w:val="bottom"/>
            <w:hideMark/>
          </w:tcPr>
          <w:p w14:paraId="3449A554"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850" w:type="dxa"/>
            <w:shd w:val="clear" w:color="auto" w:fill="auto"/>
            <w:vAlign w:val="bottom"/>
            <w:hideMark/>
          </w:tcPr>
          <w:p w14:paraId="08586076"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851" w:type="dxa"/>
            <w:shd w:val="clear" w:color="auto" w:fill="auto"/>
            <w:vAlign w:val="bottom"/>
            <w:hideMark/>
          </w:tcPr>
          <w:p w14:paraId="41793348"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-22,80</w:t>
            </w:r>
          </w:p>
        </w:tc>
        <w:tc>
          <w:tcPr>
            <w:tcW w:w="708" w:type="dxa"/>
            <w:shd w:val="clear" w:color="auto" w:fill="auto"/>
            <w:vAlign w:val="bottom"/>
            <w:hideMark/>
          </w:tcPr>
          <w:p w14:paraId="61B135A2"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709" w:type="dxa"/>
            <w:shd w:val="clear" w:color="auto" w:fill="auto"/>
            <w:vAlign w:val="bottom"/>
            <w:hideMark/>
          </w:tcPr>
          <w:p w14:paraId="666377F1"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0,00</w:t>
            </w:r>
          </w:p>
        </w:tc>
        <w:tc>
          <w:tcPr>
            <w:tcW w:w="709" w:type="dxa"/>
            <w:shd w:val="clear" w:color="auto" w:fill="auto"/>
            <w:vAlign w:val="bottom"/>
            <w:hideMark/>
          </w:tcPr>
          <w:p w14:paraId="10FD4E91" w14:textId="77777777" w:rsidR="002832E2" w:rsidRPr="00522104" w:rsidRDefault="002832E2" w:rsidP="002832E2">
            <w:pPr>
              <w:spacing w:after="0" w:line="240" w:lineRule="auto"/>
              <w:jc w:val="right"/>
              <w:rPr>
                <w:rFonts w:ascii="Times New Roman" w:eastAsia="Times New Roman" w:hAnsi="Times New Roman" w:cs="Times New Roman"/>
                <w:sz w:val="17"/>
                <w:szCs w:val="17"/>
                <w:lang w:eastAsia="ru-RU"/>
              </w:rPr>
            </w:pPr>
            <w:r w:rsidRPr="00522104">
              <w:rPr>
                <w:rFonts w:ascii="Times New Roman" w:eastAsia="Times New Roman" w:hAnsi="Times New Roman" w:cs="Times New Roman"/>
                <w:sz w:val="17"/>
                <w:szCs w:val="17"/>
                <w:lang w:eastAsia="ru-RU"/>
              </w:rPr>
              <w:t>-</w:t>
            </w:r>
          </w:p>
        </w:tc>
      </w:tr>
    </w:tbl>
    <w:p w14:paraId="1EDC7848"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p>
    <w:p w14:paraId="0AFF23CC" w14:textId="02945A75"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2022 году в составе безвозмездных поступлений основную долю 94,53 % (40380,22 млн рублей) занимают безвозмездные поступления из федерального бюджета. Фактические поступления </w:t>
      </w:r>
      <w:r w:rsidR="00F71581" w:rsidRPr="00522104">
        <w:rPr>
          <w:rFonts w:ascii="Times New Roman" w:eastAsia="Times New Roman" w:hAnsi="Times New Roman" w:cs="Times New Roman"/>
          <w:sz w:val="28"/>
          <w:szCs w:val="28"/>
          <w:lang w:eastAsia="ru-RU"/>
        </w:rPr>
        <w:t xml:space="preserve">федеральных </w:t>
      </w:r>
      <w:r w:rsidRPr="00522104">
        <w:rPr>
          <w:rFonts w:ascii="Times New Roman" w:eastAsia="Times New Roman" w:hAnsi="Times New Roman" w:cs="Times New Roman"/>
          <w:sz w:val="28"/>
          <w:szCs w:val="28"/>
          <w:lang w:eastAsia="ru-RU"/>
        </w:rPr>
        <w:t xml:space="preserve">безвозмездных поступлений за 2020 год, утвержденные </w:t>
      </w:r>
      <w:r w:rsidR="003054D9" w:rsidRPr="00522104">
        <w:rPr>
          <w:rFonts w:ascii="Times New Roman" w:eastAsia="Times New Roman" w:hAnsi="Times New Roman" w:cs="Times New Roman"/>
          <w:sz w:val="28"/>
          <w:szCs w:val="28"/>
          <w:lang w:eastAsia="ru-RU"/>
        </w:rPr>
        <w:t xml:space="preserve">бюджетные </w:t>
      </w:r>
      <w:r w:rsidRPr="00522104">
        <w:rPr>
          <w:rFonts w:ascii="Times New Roman" w:eastAsia="Times New Roman" w:hAnsi="Times New Roman" w:cs="Times New Roman"/>
          <w:sz w:val="28"/>
          <w:szCs w:val="28"/>
          <w:lang w:eastAsia="ru-RU"/>
        </w:rPr>
        <w:t xml:space="preserve">назначения на 2021 и 2022 год, плановые назначения на 2022 - 2024 годы представлены на диаграмме. </w:t>
      </w:r>
    </w:p>
    <w:p w14:paraId="389B1A3A" w14:textId="77777777" w:rsidR="003054D9" w:rsidRPr="00522104" w:rsidRDefault="003054D9" w:rsidP="002832E2">
      <w:pPr>
        <w:spacing w:after="0" w:line="240" w:lineRule="auto"/>
        <w:ind w:firstLine="709"/>
        <w:jc w:val="both"/>
        <w:rPr>
          <w:rFonts w:ascii="Times New Roman" w:eastAsia="Times New Roman" w:hAnsi="Times New Roman" w:cs="Times New Roman"/>
          <w:sz w:val="28"/>
          <w:szCs w:val="28"/>
          <w:lang w:eastAsia="ru-RU"/>
        </w:rPr>
      </w:pPr>
    </w:p>
    <w:p w14:paraId="06A713DD" w14:textId="60D2739E" w:rsidR="003054D9" w:rsidRPr="00522104" w:rsidRDefault="002832E2" w:rsidP="00D87A34">
      <w:pPr>
        <w:spacing w:after="0" w:line="240" w:lineRule="auto"/>
        <w:jc w:val="both"/>
        <w:rPr>
          <w:rFonts w:ascii="Times New Roman" w:eastAsia="Times New Roman" w:hAnsi="Times New Roman" w:cs="Times New Roman"/>
          <w:sz w:val="28"/>
          <w:szCs w:val="28"/>
          <w:lang w:eastAsia="ru-RU"/>
        </w:rPr>
      </w:pPr>
      <w:r w:rsidRPr="00522104">
        <w:rPr>
          <w:noProof/>
          <w:lang w:eastAsia="ru-RU"/>
        </w:rPr>
        <w:drawing>
          <wp:inline distT="0" distB="0" distL="0" distR="0" wp14:anchorId="6EB4FF9D" wp14:editId="5E198F72">
            <wp:extent cx="5719445" cy="2923082"/>
            <wp:effectExtent l="0" t="0" r="0" b="0"/>
            <wp:docPr id="72" name="Диаграмма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C0DACA4" w14:textId="77777777" w:rsidR="00CD3AC0" w:rsidRDefault="00CD3AC0" w:rsidP="002832E2">
      <w:pPr>
        <w:spacing w:after="0" w:line="240" w:lineRule="auto"/>
        <w:ind w:firstLine="709"/>
        <w:jc w:val="both"/>
        <w:rPr>
          <w:rFonts w:ascii="Times New Roman" w:eastAsia="Times New Roman" w:hAnsi="Times New Roman" w:cs="Times New Roman"/>
          <w:sz w:val="28"/>
          <w:szCs w:val="28"/>
          <w:lang w:eastAsia="ru-RU"/>
        </w:rPr>
      </w:pPr>
    </w:p>
    <w:p w14:paraId="02EF5069"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Структура безвозмездных поступлений из федерального бюджета на проект 2022 года представлена на диаграмме.</w:t>
      </w:r>
    </w:p>
    <w:p w14:paraId="31EC6E3D" w14:textId="77777777" w:rsidR="002832E2" w:rsidRPr="00522104" w:rsidRDefault="002832E2" w:rsidP="002832E2">
      <w:pPr>
        <w:spacing w:after="0" w:line="240" w:lineRule="auto"/>
        <w:ind w:firstLine="426"/>
        <w:jc w:val="both"/>
        <w:rPr>
          <w:rFonts w:ascii="Times New Roman" w:eastAsia="Times New Roman" w:hAnsi="Times New Roman" w:cs="Times New Roman"/>
          <w:i/>
          <w:sz w:val="16"/>
          <w:szCs w:val="16"/>
          <w:lang w:eastAsia="ru-RU"/>
        </w:rPr>
      </w:pPr>
    </w:p>
    <w:p w14:paraId="564DE670" w14:textId="77777777" w:rsidR="002832E2" w:rsidRPr="00522104" w:rsidRDefault="002832E2" w:rsidP="002832E2">
      <w:pPr>
        <w:spacing w:after="0" w:line="240" w:lineRule="auto"/>
        <w:ind w:firstLine="426"/>
        <w:jc w:val="both"/>
        <w:rPr>
          <w:rFonts w:ascii="Times New Roman" w:eastAsia="Times New Roman" w:hAnsi="Times New Roman" w:cs="Times New Roman"/>
          <w:i/>
          <w:sz w:val="28"/>
          <w:szCs w:val="28"/>
          <w:lang w:eastAsia="ru-RU"/>
        </w:rPr>
      </w:pPr>
      <w:r w:rsidRPr="00522104">
        <w:rPr>
          <w:noProof/>
          <w:lang w:eastAsia="ru-RU"/>
        </w:rPr>
        <w:drawing>
          <wp:inline distT="0" distB="0" distL="0" distR="0" wp14:anchorId="2EB62F80" wp14:editId="69D51B07">
            <wp:extent cx="5134610" cy="2840477"/>
            <wp:effectExtent l="0" t="0" r="8890" b="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58E4416" w14:textId="77777777" w:rsidR="002832E2" w:rsidRPr="00522104" w:rsidRDefault="002832E2" w:rsidP="002832E2">
      <w:pPr>
        <w:spacing w:after="0" w:line="240" w:lineRule="auto"/>
        <w:ind w:firstLine="709"/>
        <w:jc w:val="both"/>
        <w:rPr>
          <w:rFonts w:ascii="Times New Roman" w:eastAsia="Times New Roman" w:hAnsi="Times New Roman" w:cs="Times New Roman"/>
          <w:sz w:val="16"/>
          <w:szCs w:val="16"/>
          <w:lang w:eastAsia="ru-RU"/>
        </w:rPr>
      </w:pPr>
    </w:p>
    <w:p w14:paraId="3DD6BAF6" w14:textId="0395D7DD"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2022 году общая сумма </w:t>
      </w:r>
      <w:r w:rsidRPr="00522104">
        <w:rPr>
          <w:rFonts w:ascii="Times New Roman" w:eastAsia="Times New Roman" w:hAnsi="Times New Roman" w:cs="Times New Roman"/>
          <w:b/>
          <w:sz w:val="28"/>
          <w:szCs w:val="28"/>
          <w:lang w:eastAsia="ru-RU"/>
        </w:rPr>
        <w:t>дотаций</w:t>
      </w:r>
      <w:r w:rsidRPr="00522104">
        <w:rPr>
          <w:rFonts w:ascii="Times New Roman" w:eastAsia="Times New Roman" w:hAnsi="Times New Roman" w:cs="Times New Roman"/>
          <w:sz w:val="28"/>
          <w:szCs w:val="28"/>
          <w:lang w:eastAsia="ru-RU"/>
        </w:rPr>
        <w:t xml:space="preserve"> составит 9313,27 млн рублей, что выше </w:t>
      </w:r>
      <w:r w:rsidR="00D87A34" w:rsidRPr="00522104">
        <w:rPr>
          <w:rFonts w:ascii="Times New Roman" w:eastAsia="Times New Roman" w:hAnsi="Times New Roman" w:cs="Times New Roman"/>
          <w:sz w:val="28"/>
          <w:szCs w:val="28"/>
          <w:lang w:eastAsia="ru-RU"/>
        </w:rPr>
        <w:t xml:space="preserve">утвержденных </w:t>
      </w:r>
      <w:r w:rsidRPr="00522104">
        <w:rPr>
          <w:rFonts w:ascii="Times New Roman" w:eastAsia="Times New Roman" w:hAnsi="Times New Roman" w:cs="Times New Roman"/>
          <w:sz w:val="28"/>
          <w:szCs w:val="28"/>
          <w:lang w:eastAsia="ru-RU"/>
        </w:rPr>
        <w:t>плановых назначений в 2,67 раза, или на 5826,40 млн рублей, и ниже плановых назначений на 2021 год на 20,32 %, или 2374,64 млн рублей.</w:t>
      </w:r>
    </w:p>
    <w:p w14:paraId="71CF4755"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плановом периоде 2023 и 2024 годов объем дотаций спрогнозирован в сумме 3101,10 млн рублей и 236,70 млн рублей.</w:t>
      </w:r>
    </w:p>
    <w:p w14:paraId="37F06B29"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законопроекте на 2022 год отражены дотации:</w:t>
      </w:r>
    </w:p>
    <w:p w14:paraId="1D4BD14C"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выравнивание бюджетной обеспеченности в сумме 9097,06 млн рублей (на уровне 2021 года);</w:t>
      </w:r>
    </w:p>
    <w:p w14:paraId="00A91C71" w14:textId="124B2A02"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связанные с особым режимом безопасного функционирования закрытых административно-территориальных образований в сумме 216,21 млн рублей, что соответствует объему </w:t>
      </w:r>
      <w:r w:rsidR="00E01A32" w:rsidRPr="00522104">
        <w:rPr>
          <w:rFonts w:ascii="Times New Roman" w:eastAsia="Times New Roman" w:hAnsi="Times New Roman" w:cs="Times New Roman"/>
          <w:sz w:val="28"/>
          <w:szCs w:val="28"/>
          <w:lang w:eastAsia="ru-RU"/>
        </w:rPr>
        <w:t>утвержденных назначений</w:t>
      </w:r>
      <w:r w:rsidRPr="00522104">
        <w:rPr>
          <w:rFonts w:ascii="Times New Roman" w:eastAsia="Times New Roman" w:hAnsi="Times New Roman" w:cs="Times New Roman"/>
          <w:sz w:val="28"/>
          <w:szCs w:val="28"/>
          <w:lang w:eastAsia="ru-RU"/>
        </w:rPr>
        <w:t xml:space="preserve">, и ниже плановых назначений на 2021 год </w:t>
      </w:r>
      <w:r w:rsidR="00E01A32" w:rsidRPr="00522104">
        <w:rPr>
          <w:rFonts w:ascii="Times New Roman" w:eastAsia="Times New Roman" w:hAnsi="Times New Roman" w:cs="Times New Roman"/>
          <w:sz w:val="28"/>
          <w:szCs w:val="28"/>
          <w:lang w:eastAsia="ru-RU"/>
        </w:rPr>
        <w:t xml:space="preserve">на </w:t>
      </w:r>
      <w:r w:rsidRPr="00522104">
        <w:rPr>
          <w:rFonts w:ascii="Times New Roman" w:eastAsia="Times New Roman" w:hAnsi="Times New Roman" w:cs="Times New Roman"/>
          <w:sz w:val="28"/>
          <w:szCs w:val="28"/>
          <w:lang w:eastAsia="ru-RU"/>
        </w:rPr>
        <w:t xml:space="preserve">23,51 %, или </w:t>
      </w:r>
      <w:r w:rsidR="00E01A32" w:rsidRPr="00522104">
        <w:rPr>
          <w:rFonts w:ascii="Times New Roman" w:eastAsia="Times New Roman" w:hAnsi="Times New Roman" w:cs="Times New Roman"/>
          <w:sz w:val="28"/>
          <w:szCs w:val="28"/>
          <w:lang w:eastAsia="ru-RU"/>
        </w:rPr>
        <w:t xml:space="preserve">на </w:t>
      </w:r>
      <w:r w:rsidRPr="00522104">
        <w:rPr>
          <w:rFonts w:ascii="Times New Roman" w:eastAsia="Times New Roman" w:hAnsi="Times New Roman" w:cs="Times New Roman"/>
          <w:sz w:val="28"/>
          <w:szCs w:val="28"/>
          <w:lang w:eastAsia="ru-RU"/>
        </w:rPr>
        <w:t>66,47 млн рублей.</w:t>
      </w:r>
    </w:p>
    <w:p w14:paraId="72B4C7A1" w14:textId="36F878E7" w:rsidR="002832E2" w:rsidRPr="00522104" w:rsidRDefault="002832E2" w:rsidP="002832E2">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Законопроектом не запланировано поступление дотации на поддержку мер по обеспечению сбалансированности бюджетов. На 2021 год данные безвозмездные поступления утверждены в объеме 700,00</w:t>
      </w:r>
      <w:r w:rsidR="00E47DC6" w:rsidRPr="00522104">
        <w:rPr>
          <w:rFonts w:ascii="Times New Roman" w:eastAsia="Times New Roman" w:hAnsi="Times New Roman" w:cs="Times New Roman"/>
          <w:sz w:val="28"/>
          <w:szCs w:val="28"/>
          <w:lang w:eastAsia="ru-RU"/>
        </w:rPr>
        <w:t> млн рублей. В соответствии с частью</w:t>
      </w:r>
      <w:r w:rsidRPr="00522104">
        <w:rPr>
          <w:rFonts w:ascii="Times New Roman" w:eastAsia="Times New Roman" w:hAnsi="Times New Roman" w:cs="Times New Roman"/>
          <w:sz w:val="28"/>
          <w:szCs w:val="28"/>
          <w:lang w:eastAsia="ru-RU"/>
        </w:rPr>
        <w:t xml:space="preserve"> 11 ст</w:t>
      </w:r>
      <w:r w:rsidR="00E47DC6" w:rsidRPr="00522104">
        <w:rPr>
          <w:rFonts w:ascii="Times New Roman" w:eastAsia="Times New Roman" w:hAnsi="Times New Roman" w:cs="Times New Roman"/>
          <w:sz w:val="28"/>
          <w:szCs w:val="28"/>
          <w:lang w:eastAsia="ru-RU"/>
        </w:rPr>
        <w:t>атьи</w:t>
      </w:r>
      <w:r w:rsidRPr="00522104">
        <w:rPr>
          <w:rFonts w:ascii="Times New Roman" w:eastAsia="Times New Roman" w:hAnsi="Times New Roman" w:cs="Times New Roman"/>
          <w:sz w:val="28"/>
          <w:szCs w:val="28"/>
          <w:lang w:eastAsia="ru-RU"/>
        </w:rPr>
        <w:t xml:space="preserve"> 131 Бюджетного кодекса Российской Федерации</w:t>
      </w:r>
      <w:r w:rsidRPr="00522104">
        <w:rPr>
          <w:rFonts w:ascii="Times New Roman" w:hAnsi="Times New Roman" w:cs="Times New Roman"/>
          <w:sz w:val="28"/>
          <w:szCs w:val="28"/>
        </w:rPr>
        <w:t xml:space="preserve">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w:t>
      </w:r>
    </w:p>
    <w:p w14:paraId="1C5B6E9E" w14:textId="77777777" w:rsidR="002832E2" w:rsidRPr="00522104" w:rsidRDefault="002832E2" w:rsidP="002832E2">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Также законопроектом не запланировано поступление</w:t>
      </w:r>
      <w:r w:rsidRPr="00522104">
        <w:t xml:space="preserve"> </w:t>
      </w:r>
      <w:r w:rsidRPr="00522104">
        <w:rPr>
          <w:rFonts w:ascii="Times New Roman" w:hAnsi="Times New Roman" w:cs="Times New Roman"/>
          <w:sz w:val="28"/>
          <w:szCs w:val="28"/>
        </w:rPr>
        <w:t xml:space="preserve">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 </w:t>
      </w:r>
      <w:r w:rsidRPr="00522104">
        <w:rPr>
          <w:rFonts w:ascii="Times New Roman" w:eastAsia="Times New Roman" w:hAnsi="Times New Roman" w:cs="Times New Roman"/>
          <w:sz w:val="28"/>
          <w:szCs w:val="28"/>
          <w:lang w:eastAsia="ru-RU"/>
        </w:rPr>
        <w:t>На 2021 год данные безвозмездные поступления утверждены в объеме 1608,16 млн рублей.</w:t>
      </w:r>
    </w:p>
    <w:p w14:paraId="7AAF5D77" w14:textId="0593650B"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Субсидии</w:t>
      </w:r>
      <w:r w:rsidRPr="00522104">
        <w:rPr>
          <w:rFonts w:ascii="Times New Roman" w:eastAsia="Times New Roman" w:hAnsi="Times New Roman" w:cs="Times New Roman"/>
          <w:sz w:val="28"/>
          <w:szCs w:val="28"/>
          <w:lang w:eastAsia="ru-RU"/>
        </w:rPr>
        <w:t xml:space="preserve"> на 2022 год ожидаются в объеме 22066,95 млн рублей, что выше </w:t>
      </w:r>
      <w:r w:rsidR="00070B39" w:rsidRPr="00522104">
        <w:rPr>
          <w:rFonts w:ascii="Times New Roman" w:eastAsia="Times New Roman" w:hAnsi="Times New Roman" w:cs="Times New Roman"/>
          <w:sz w:val="28"/>
          <w:szCs w:val="28"/>
          <w:lang w:eastAsia="ru-RU"/>
        </w:rPr>
        <w:t xml:space="preserve">утвержденных </w:t>
      </w:r>
      <w:r w:rsidRPr="00522104">
        <w:rPr>
          <w:rFonts w:ascii="Times New Roman" w:eastAsia="Times New Roman" w:hAnsi="Times New Roman" w:cs="Times New Roman"/>
          <w:sz w:val="28"/>
          <w:szCs w:val="28"/>
          <w:lang w:eastAsia="ru-RU"/>
        </w:rPr>
        <w:t xml:space="preserve">назначений </w:t>
      </w:r>
      <w:r w:rsidR="000630B6"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на 18,24 %, или на 3403,55 млн рублей, и ниже план</w:t>
      </w:r>
      <w:r w:rsidR="00A22189" w:rsidRPr="00522104">
        <w:rPr>
          <w:rFonts w:ascii="Times New Roman" w:eastAsia="Times New Roman" w:hAnsi="Times New Roman" w:cs="Times New Roman"/>
          <w:sz w:val="28"/>
          <w:szCs w:val="28"/>
          <w:lang w:eastAsia="ru-RU"/>
        </w:rPr>
        <w:t xml:space="preserve">а </w:t>
      </w:r>
      <w:r w:rsidRPr="00522104">
        <w:rPr>
          <w:rFonts w:ascii="Times New Roman" w:eastAsia="Times New Roman" w:hAnsi="Times New Roman" w:cs="Times New Roman"/>
          <w:sz w:val="28"/>
          <w:szCs w:val="28"/>
          <w:lang w:eastAsia="ru-RU"/>
        </w:rPr>
        <w:t xml:space="preserve">на 2021 год на 6,38 %, или </w:t>
      </w:r>
      <w:r w:rsidR="00A4358E" w:rsidRPr="00522104">
        <w:rPr>
          <w:rFonts w:ascii="Times New Roman" w:eastAsia="Times New Roman" w:hAnsi="Times New Roman" w:cs="Times New Roman"/>
          <w:sz w:val="28"/>
          <w:szCs w:val="28"/>
          <w:lang w:eastAsia="ru-RU"/>
        </w:rPr>
        <w:t xml:space="preserve">на </w:t>
      </w:r>
      <w:r w:rsidRPr="00522104">
        <w:rPr>
          <w:rFonts w:ascii="Times New Roman" w:eastAsia="Times New Roman" w:hAnsi="Times New Roman" w:cs="Times New Roman"/>
          <w:sz w:val="28"/>
          <w:szCs w:val="28"/>
          <w:lang w:eastAsia="ru-RU"/>
        </w:rPr>
        <w:t>1503,29 млн рублей. В 2023 году субсидии запланированы в объеме 22737,50 млн рублей, в 2024 году – 24096,46 млн рублей.</w:t>
      </w:r>
    </w:p>
    <w:p w14:paraId="34A195AB" w14:textId="0297FA84" w:rsidR="002832E2" w:rsidRPr="00522104" w:rsidRDefault="00A4358E"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законопроекте на 2022 год н</w:t>
      </w:r>
      <w:r w:rsidR="002832E2" w:rsidRPr="00522104">
        <w:rPr>
          <w:rFonts w:ascii="Times New Roman" w:eastAsia="Times New Roman" w:hAnsi="Times New Roman" w:cs="Times New Roman"/>
          <w:sz w:val="28"/>
          <w:szCs w:val="28"/>
          <w:lang w:eastAsia="ru-RU"/>
        </w:rPr>
        <w:t>аибольшее увеличение, по сравнению с утвержденными Законом № 969-КЗ</w:t>
      </w:r>
      <w:r w:rsidR="000630B6" w:rsidRPr="00522104">
        <w:rPr>
          <w:rFonts w:ascii="Times New Roman" w:eastAsia="Times New Roman" w:hAnsi="Times New Roman" w:cs="Times New Roman"/>
          <w:sz w:val="28"/>
          <w:szCs w:val="28"/>
          <w:lang w:eastAsia="ru-RU"/>
        </w:rPr>
        <w:t xml:space="preserve"> на 2022 год</w:t>
      </w:r>
      <w:r w:rsidR="002832E2" w:rsidRPr="00522104">
        <w:rPr>
          <w:rFonts w:ascii="Times New Roman" w:eastAsia="Times New Roman" w:hAnsi="Times New Roman" w:cs="Times New Roman"/>
          <w:sz w:val="28"/>
          <w:szCs w:val="28"/>
          <w:lang w:eastAsia="ru-RU"/>
        </w:rPr>
        <w:t>, предусмотрено по</w:t>
      </w:r>
      <w:r w:rsidR="00A22189" w:rsidRPr="00522104">
        <w:rPr>
          <w:rFonts w:ascii="Times New Roman" w:eastAsia="Times New Roman" w:hAnsi="Times New Roman" w:cs="Times New Roman"/>
          <w:sz w:val="28"/>
          <w:szCs w:val="28"/>
          <w:lang w:eastAsia="ru-RU"/>
        </w:rPr>
        <w:t xml:space="preserve"> </w:t>
      </w:r>
      <w:r w:rsidR="00D070EF" w:rsidRPr="00522104">
        <w:rPr>
          <w:rFonts w:ascii="Times New Roman" w:eastAsia="Times New Roman" w:hAnsi="Times New Roman" w:cs="Times New Roman"/>
          <w:sz w:val="28"/>
          <w:szCs w:val="28"/>
          <w:lang w:eastAsia="ru-RU"/>
        </w:rPr>
        <w:t>следующим</w:t>
      </w:r>
      <w:r w:rsidR="002832E2" w:rsidRPr="00522104">
        <w:rPr>
          <w:rFonts w:ascii="Times New Roman" w:eastAsia="Times New Roman" w:hAnsi="Times New Roman" w:cs="Times New Roman"/>
          <w:sz w:val="28"/>
          <w:szCs w:val="28"/>
          <w:lang w:eastAsia="ru-RU"/>
        </w:rPr>
        <w:t xml:space="preserve"> субсидиям на:</w:t>
      </w:r>
    </w:p>
    <w:p w14:paraId="35F78947" w14:textId="0CDEA019"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поддержку отрасли культуры </w:t>
      </w:r>
      <w:r w:rsidR="00D070EF" w:rsidRPr="00522104">
        <w:rPr>
          <w:rFonts w:ascii="Times New Roman" w:eastAsia="Times New Roman" w:hAnsi="Times New Roman" w:cs="Times New Roman"/>
          <w:sz w:val="28"/>
          <w:szCs w:val="28"/>
          <w:lang w:eastAsia="ru-RU"/>
        </w:rPr>
        <w:t>в сумме</w:t>
      </w:r>
      <w:r w:rsidRPr="00522104">
        <w:rPr>
          <w:rFonts w:ascii="Times New Roman" w:eastAsia="Times New Roman" w:hAnsi="Times New Roman" w:cs="Times New Roman"/>
          <w:sz w:val="28"/>
          <w:szCs w:val="28"/>
          <w:lang w:eastAsia="ru-RU"/>
        </w:rPr>
        <w:t xml:space="preserve"> 196,11 млн рублей, что выше </w:t>
      </w:r>
      <w:r w:rsidR="00D070EF" w:rsidRPr="00522104">
        <w:rPr>
          <w:rFonts w:ascii="Times New Roman" w:eastAsia="Times New Roman" w:hAnsi="Times New Roman" w:cs="Times New Roman"/>
          <w:sz w:val="28"/>
          <w:szCs w:val="28"/>
          <w:lang w:eastAsia="ru-RU"/>
        </w:rPr>
        <w:t xml:space="preserve">утвержденных плановых назначений </w:t>
      </w:r>
      <w:r w:rsidRPr="00522104">
        <w:rPr>
          <w:rFonts w:ascii="Times New Roman" w:eastAsia="Times New Roman" w:hAnsi="Times New Roman" w:cs="Times New Roman"/>
          <w:sz w:val="28"/>
          <w:szCs w:val="28"/>
          <w:lang w:eastAsia="ru-RU"/>
        </w:rPr>
        <w:t xml:space="preserve">в 2,52 раза, или на 118,20 млн рублей; </w:t>
      </w:r>
    </w:p>
    <w:p w14:paraId="745A3F8F" w14:textId="7795584A"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осуществление ежемесячных выплат на детей в возрасте от трех до семи лет включительно </w:t>
      </w:r>
      <w:r w:rsidR="000A7551"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5807,41 млн рублей, что выше </w:t>
      </w:r>
      <w:r w:rsidR="00D070EF" w:rsidRPr="00522104">
        <w:rPr>
          <w:rFonts w:ascii="Times New Roman" w:eastAsia="Times New Roman" w:hAnsi="Times New Roman" w:cs="Times New Roman"/>
          <w:sz w:val="28"/>
          <w:szCs w:val="28"/>
          <w:lang w:eastAsia="ru-RU"/>
        </w:rPr>
        <w:t xml:space="preserve">утвержденных </w:t>
      </w:r>
      <w:r w:rsidRPr="00522104">
        <w:rPr>
          <w:rFonts w:ascii="Times New Roman" w:eastAsia="Times New Roman" w:hAnsi="Times New Roman" w:cs="Times New Roman"/>
          <w:sz w:val="28"/>
          <w:szCs w:val="28"/>
          <w:lang w:eastAsia="ru-RU"/>
        </w:rPr>
        <w:t xml:space="preserve">назначений на 76,47 %, или на 2516,61 млн рублей; </w:t>
      </w:r>
    </w:p>
    <w:p w14:paraId="454537D3" w14:textId="2A93D3D1"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поддержку сельскохозяйственного производства по отдельным подотраслям растениеводства и животноводства – 395,45 млн рублей, что выше </w:t>
      </w:r>
      <w:r w:rsidR="00AF033B" w:rsidRPr="00522104">
        <w:rPr>
          <w:rFonts w:ascii="Times New Roman" w:eastAsia="Times New Roman" w:hAnsi="Times New Roman" w:cs="Times New Roman"/>
          <w:sz w:val="28"/>
          <w:szCs w:val="28"/>
          <w:lang w:eastAsia="ru-RU"/>
        </w:rPr>
        <w:t>утвержденных</w:t>
      </w:r>
      <w:r w:rsidRPr="00522104">
        <w:rPr>
          <w:rFonts w:ascii="Times New Roman" w:eastAsia="Times New Roman" w:hAnsi="Times New Roman" w:cs="Times New Roman"/>
          <w:sz w:val="28"/>
          <w:szCs w:val="28"/>
          <w:lang w:eastAsia="ru-RU"/>
        </w:rPr>
        <w:t xml:space="preserve"> назн</w:t>
      </w:r>
      <w:r w:rsidR="00AF033B" w:rsidRPr="00522104">
        <w:rPr>
          <w:rFonts w:ascii="Times New Roman" w:eastAsia="Times New Roman" w:hAnsi="Times New Roman" w:cs="Times New Roman"/>
          <w:sz w:val="28"/>
          <w:szCs w:val="28"/>
          <w:lang w:eastAsia="ru-RU"/>
        </w:rPr>
        <w:t>ачений</w:t>
      </w:r>
      <w:r w:rsidRPr="00522104">
        <w:rPr>
          <w:rFonts w:ascii="Times New Roman" w:eastAsia="Times New Roman" w:hAnsi="Times New Roman" w:cs="Times New Roman"/>
          <w:sz w:val="28"/>
          <w:szCs w:val="28"/>
          <w:lang w:eastAsia="ru-RU"/>
        </w:rPr>
        <w:t xml:space="preserve"> на 48,48 %, или на 129,13 млн рублей; </w:t>
      </w:r>
    </w:p>
    <w:p w14:paraId="0B7B82A1" w14:textId="43D7C43E"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 106,23 млн рублей, что выше </w:t>
      </w:r>
      <w:r w:rsidR="00AF033B" w:rsidRPr="00522104">
        <w:rPr>
          <w:rFonts w:ascii="Times New Roman" w:eastAsia="Times New Roman" w:hAnsi="Times New Roman" w:cs="Times New Roman"/>
          <w:sz w:val="28"/>
          <w:szCs w:val="28"/>
          <w:lang w:eastAsia="ru-RU"/>
        </w:rPr>
        <w:t xml:space="preserve">утвержденных назначений </w:t>
      </w:r>
      <w:r w:rsidRPr="00522104">
        <w:rPr>
          <w:rFonts w:ascii="Times New Roman" w:eastAsia="Times New Roman" w:hAnsi="Times New Roman" w:cs="Times New Roman"/>
          <w:sz w:val="28"/>
          <w:szCs w:val="28"/>
          <w:lang w:eastAsia="ru-RU"/>
        </w:rPr>
        <w:t xml:space="preserve">на 46,38 %, или на 33,66 млн рублей; </w:t>
      </w:r>
    </w:p>
    <w:p w14:paraId="1C4F2053" w14:textId="52BA2A85"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государственную поддержку стимулирования увеличения производства масличных культур – 1519,29 млн рублей, что выше </w:t>
      </w:r>
      <w:r w:rsidR="00AF033B" w:rsidRPr="00522104">
        <w:rPr>
          <w:rFonts w:ascii="Times New Roman" w:eastAsia="Times New Roman" w:hAnsi="Times New Roman" w:cs="Times New Roman"/>
          <w:sz w:val="28"/>
          <w:szCs w:val="28"/>
          <w:lang w:eastAsia="ru-RU"/>
        </w:rPr>
        <w:t xml:space="preserve">утвержденных </w:t>
      </w:r>
      <w:r w:rsidRPr="00522104">
        <w:rPr>
          <w:rFonts w:ascii="Times New Roman" w:eastAsia="Times New Roman" w:hAnsi="Times New Roman" w:cs="Times New Roman"/>
          <w:sz w:val="28"/>
          <w:szCs w:val="28"/>
          <w:lang w:eastAsia="ru-RU"/>
        </w:rPr>
        <w:t>н</w:t>
      </w:r>
      <w:r w:rsidR="00AF033B" w:rsidRPr="00522104">
        <w:rPr>
          <w:rFonts w:ascii="Times New Roman" w:eastAsia="Times New Roman" w:hAnsi="Times New Roman" w:cs="Times New Roman"/>
          <w:sz w:val="28"/>
          <w:szCs w:val="28"/>
          <w:lang w:eastAsia="ru-RU"/>
        </w:rPr>
        <w:t xml:space="preserve">азначений </w:t>
      </w:r>
      <w:r w:rsidRPr="00522104">
        <w:rPr>
          <w:rFonts w:ascii="Times New Roman" w:eastAsia="Times New Roman" w:hAnsi="Times New Roman" w:cs="Times New Roman"/>
          <w:sz w:val="28"/>
          <w:szCs w:val="28"/>
          <w:lang w:eastAsia="ru-RU"/>
        </w:rPr>
        <w:t xml:space="preserve">на 29,03 %, или на 341,78 млн рублей; </w:t>
      </w:r>
    </w:p>
    <w:p w14:paraId="2297CEB8" w14:textId="65BDE329"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выплату региональных социальных доплат к пенсии </w:t>
      </w:r>
      <w:r w:rsidR="000A7551"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3011,81 млн рублей, что выше </w:t>
      </w:r>
      <w:r w:rsidR="00AF033B" w:rsidRPr="00522104">
        <w:rPr>
          <w:rFonts w:ascii="Times New Roman" w:eastAsia="Times New Roman" w:hAnsi="Times New Roman" w:cs="Times New Roman"/>
          <w:sz w:val="28"/>
          <w:szCs w:val="28"/>
          <w:lang w:eastAsia="ru-RU"/>
        </w:rPr>
        <w:t xml:space="preserve">утвержденных назначений </w:t>
      </w:r>
      <w:r w:rsidRPr="00522104">
        <w:rPr>
          <w:rFonts w:ascii="Times New Roman" w:eastAsia="Times New Roman" w:hAnsi="Times New Roman" w:cs="Times New Roman"/>
          <w:sz w:val="28"/>
          <w:szCs w:val="28"/>
          <w:lang w:eastAsia="ru-RU"/>
        </w:rPr>
        <w:t xml:space="preserve">на 27,44 %, или на 648,48 млн рублей; </w:t>
      </w:r>
    </w:p>
    <w:p w14:paraId="34E23605" w14:textId="335D345D"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w:t>
      </w:r>
      <w:r w:rsidR="000A7551"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9,48 млн рублей, что выше </w:t>
      </w:r>
      <w:r w:rsidR="00AF033B" w:rsidRPr="00522104">
        <w:rPr>
          <w:rFonts w:ascii="Times New Roman" w:eastAsia="Times New Roman" w:hAnsi="Times New Roman" w:cs="Times New Roman"/>
          <w:sz w:val="28"/>
          <w:szCs w:val="28"/>
          <w:lang w:eastAsia="ru-RU"/>
        </w:rPr>
        <w:t xml:space="preserve">утвержденных </w:t>
      </w:r>
      <w:r w:rsidRPr="00522104">
        <w:rPr>
          <w:rFonts w:ascii="Times New Roman" w:eastAsia="Times New Roman" w:hAnsi="Times New Roman" w:cs="Times New Roman"/>
          <w:sz w:val="28"/>
          <w:szCs w:val="28"/>
          <w:lang w:eastAsia="ru-RU"/>
        </w:rPr>
        <w:t xml:space="preserve">назначений на 27,22 %, или на 2,03 млн рублей; </w:t>
      </w:r>
    </w:p>
    <w:p w14:paraId="653F3B1A" w14:textId="661EE8C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 644,97 млн рублей, что выше </w:t>
      </w:r>
      <w:r w:rsidR="005B696F" w:rsidRPr="00522104">
        <w:rPr>
          <w:rFonts w:ascii="Times New Roman" w:eastAsia="Times New Roman" w:hAnsi="Times New Roman" w:cs="Times New Roman"/>
          <w:sz w:val="28"/>
          <w:szCs w:val="28"/>
          <w:lang w:eastAsia="ru-RU"/>
        </w:rPr>
        <w:t xml:space="preserve">утвержденных назначений </w:t>
      </w:r>
      <w:r w:rsidRPr="00522104">
        <w:rPr>
          <w:rFonts w:ascii="Times New Roman" w:eastAsia="Times New Roman" w:hAnsi="Times New Roman" w:cs="Times New Roman"/>
          <w:sz w:val="28"/>
          <w:szCs w:val="28"/>
          <w:lang w:eastAsia="ru-RU"/>
        </w:rPr>
        <w:t xml:space="preserve">на 22,94 %, или на 120,36 млн рублей; </w:t>
      </w:r>
    </w:p>
    <w:p w14:paraId="1F8D4EC1" w14:textId="18536809" w:rsidR="002832E2" w:rsidRPr="00522104" w:rsidRDefault="005B696F"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2022 год в</w:t>
      </w:r>
      <w:r w:rsidR="002832E2" w:rsidRPr="00522104">
        <w:rPr>
          <w:rFonts w:ascii="Times New Roman" w:eastAsia="Times New Roman" w:hAnsi="Times New Roman" w:cs="Times New Roman"/>
          <w:sz w:val="28"/>
          <w:szCs w:val="28"/>
          <w:lang w:eastAsia="ru-RU"/>
        </w:rPr>
        <w:t xml:space="preserve"> отличие от утвержденных назначений законопроектом предусмотрены субсидии на: </w:t>
      </w:r>
    </w:p>
    <w:p w14:paraId="0B12FB36" w14:textId="5E5018E6"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w:t>
      </w:r>
      <w:r w:rsidR="000A7551"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8,65 млн рублей;</w:t>
      </w:r>
    </w:p>
    <w:p w14:paraId="723C09D3"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обеспечение комплексного развития сельских территорий – 10,20 млн рублей; </w:t>
      </w:r>
    </w:p>
    <w:p w14:paraId="0451E13C" w14:textId="344DCE65"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туристских кластеров – 493,22 млн рублей;</w:t>
      </w:r>
    </w:p>
    <w:p w14:paraId="543A7EC2"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 46,83 млн рублей;</w:t>
      </w:r>
    </w:p>
    <w:p w14:paraId="631DA8A6" w14:textId="1E82A3F4"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прочие субсидии </w:t>
      </w:r>
      <w:r w:rsidR="002160EB"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103,58 млн рублей.</w:t>
      </w:r>
    </w:p>
    <w:p w14:paraId="03DBCFC9" w14:textId="3A9053C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Субвенции</w:t>
      </w:r>
      <w:r w:rsidRPr="00522104">
        <w:rPr>
          <w:rFonts w:ascii="Times New Roman" w:eastAsia="Times New Roman" w:hAnsi="Times New Roman" w:cs="Times New Roman"/>
          <w:i/>
          <w:sz w:val="28"/>
          <w:szCs w:val="28"/>
          <w:lang w:eastAsia="ru-RU"/>
        </w:rPr>
        <w:t xml:space="preserve"> </w:t>
      </w:r>
      <w:r w:rsidRPr="00522104">
        <w:rPr>
          <w:rFonts w:ascii="Times New Roman" w:eastAsia="Times New Roman" w:hAnsi="Times New Roman" w:cs="Times New Roman"/>
          <w:sz w:val="28"/>
          <w:szCs w:val="28"/>
          <w:lang w:eastAsia="ru-RU"/>
        </w:rPr>
        <w:t xml:space="preserve">на 2022 год планируются в объеме </w:t>
      </w:r>
      <w:r w:rsidRPr="00522104">
        <w:rPr>
          <w:rFonts w:ascii="Times New Roman" w:eastAsia="Times New Roman" w:hAnsi="Times New Roman" w:cs="Times New Roman"/>
          <w:iCs/>
          <w:sz w:val="28"/>
          <w:szCs w:val="28"/>
          <w:lang w:eastAsia="ru-RU"/>
        </w:rPr>
        <w:t>6492,66 млн рублей</w:t>
      </w:r>
      <w:r w:rsidRPr="00522104">
        <w:rPr>
          <w:rFonts w:ascii="Times New Roman" w:eastAsia="Times New Roman" w:hAnsi="Times New Roman" w:cs="Times New Roman"/>
          <w:sz w:val="28"/>
          <w:szCs w:val="28"/>
          <w:lang w:eastAsia="ru-RU"/>
        </w:rPr>
        <w:t xml:space="preserve">, что ниже </w:t>
      </w:r>
      <w:r w:rsidR="00F408E7" w:rsidRPr="00522104">
        <w:rPr>
          <w:rFonts w:ascii="Times New Roman" w:eastAsia="Times New Roman" w:hAnsi="Times New Roman" w:cs="Times New Roman"/>
          <w:sz w:val="28"/>
          <w:szCs w:val="28"/>
          <w:lang w:eastAsia="ru-RU"/>
        </w:rPr>
        <w:t xml:space="preserve">утвержденных </w:t>
      </w:r>
      <w:r w:rsidRPr="00522104">
        <w:rPr>
          <w:rFonts w:ascii="Times New Roman" w:eastAsia="Times New Roman" w:hAnsi="Times New Roman" w:cs="Times New Roman"/>
          <w:sz w:val="28"/>
          <w:szCs w:val="28"/>
          <w:lang w:eastAsia="ru-RU"/>
        </w:rPr>
        <w:t>назначений</w:t>
      </w:r>
      <w:r w:rsidR="00F408E7" w:rsidRPr="00522104">
        <w:rPr>
          <w:rFonts w:ascii="Times New Roman" w:eastAsia="Times New Roman" w:hAnsi="Times New Roman" w:cs="Times New Roman"/>
          <w:sz w:val="28"/>
          <w:szCs w:val="28"/>
          <w:lang w:eastAsia="ru-RU"/>
        </w:rPr>
        <w:t xml:space="preserve"> </w:t>
      </w:r>
      <w:r w:rsidR="000630B6"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на 4,02 %, или на 27</w:t>
      </w:r>
      <w:r w:rsidR="000630B6" w:rsidRPr="00522104">
        <w:rPr>
          <w:rFonts w:ascii="Times New Roman" w:eastAsia="Times New Roman" w:hAnsi="Times New Roman" w:cs="Times New Roman"/>
          <w:sz w:val="28"/>
          <w:szCs w:val="28"/>
          <w:lang w:eastAsia="ru-RU"/>
        </w:rPr>
        <w:t>2,24 млн рублей, и ниже утвержденных</w:t>
      </w:r>
      <w:r w:rsidRPr="00522104">
        <w:rPr>
          <w:rFonts w:ascii="Times New Roman" w:eastAsia="Times New Roman" w:hAnsi="Times New Roman" w:cs="Times New Roman"/>
          <w:sz w:val="28"/>
          <w:szCs w:val="28"/>
          <w:lang w:eastAsia="ru-RU"/>
        </w:rPr>
        <w:t xml:space="preserve"> назначений на 2021 год на 4,33 %, или 294,03 млн рублей. В 2023 году субвенции запланированы в объеме 6675,62 млн рублей, в 2024 году – 6852,62 млн рублей.</w:t>
      </w:r>
    </w:p>
    <w:p w14:paraId="22BEFF94" w14:textId="4FB27F26"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Субвенции на 2022 год по сравнению с утвержденными назначениями снижены в общей сумме на 574,53 млн рублей, из них на:</w:t>
      </w:r>
    </w:p>
    <w:p w14:paraId="145F9507" w14:textId="550E24FC"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оплату жилищно-коммунальных услуг отдельным категориям граждан – на 404,87 млн рублей, или на 36,83 %, и составят 694,33 млн рублей (</w:t>
      </w:r>
      <w:r w:rsidR="00850943" w:rsidRPr="00522104">
        <w:rPr>
          <w:rFonts w:ascii="Times New Roman" w:eastAsia="Times New Roman" w:hAnsi="Times New Roman" w:cs="Times New Roman"/>
          <w:sz w:val="28"/>
          <w:szCs w:val="28"/>
          <w:lang w:eastAsia="ru-RU"/>
        </w:rPr>
        <w:t xml:space="preserve">законодательно утверждено </w:t>
      </w:r>
      <w:r w:rsidRPr="00522104">
        <w:rPr>
          <w:rFonts w:ascii="Times New Roman" w:eastAsia="Times New Roman" w:hAnsi="Times New Roman" w:cs="Times New Roman"/>
          <w:sz w:val="28"/>
          <w:szCs w:val="28"/>
          <w:lang w:eastAsia="ru-RU"/>
        </w:rPr>
        <w:t xml:space="preserve">на 2022 год </w:t>
      </w:r>
      <w:r w:rsidR="002160EB" w:rsidRPr="00522104">
        <w:rPr>
          <w:rFonts w:ascii="Times New Roman" w:eastAsia="Times New Roman" w:hAnsi="Times New Roman" w:cs="Times New Roman"/>
          <w:sz w:val="28"/>
          <w:szCs w:val="28"/>
          <w:lang w:eastAsia="ru-RU"/>
        </w:rPr>
        <w:t>–</w:t>
      </w:r>
      <w:r w:rsidR="00850943"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1099,21 млн рублей, на 2021 год – 850,24 млн рублей);</w:t>
      </w:r>
    </w:p>
    <w:p w14:paraId="31E4F33A" w14:textId="165AFF0B"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w:t>
      </w:r>
      <w:r w:rsidR="00850943" w:rsidRPr="00522104">
        <w:rPr>
          <w:rFonts w:ascii="Times New Roman" w:eastAsia="Times New Roman" w:hAnsi="Times New Roman" w:cs="Times New Roman"/>
          <w:sz w:val="28"/>
          <w:szCs w:val="28"/>
          <w:lang w:eastAsia="ru-RU"/>
        </w:rPr>
        <w:t>.04.</w:t>
      </w:r>
      <w:r w:rsidRPr="00522104">
        <w:rPr>
          <w:rFonts w:ascii="Times New Roman" w:eastAsia="Times New Roman" w:hAnsi="Times New Roman" w:cs="Times New Roman"/>
          <w:sz w:val="28"/>
          <w:szCs w:val="28"/>
          <w:lang w:eastAsia="ru-RU"/>
        </w:rPr>
        <w:t>1991 № 1032-1 "О занятости населения в Российской Федерации" – на 136,86 млн рублей, или на 15,12 %, и составят 768,30 млн рублей (</w:t>
      </w:r>
      <w:r w:rsidR="00850943" w:rsidRPr="00522104">
        <w:rPr>
          <w:rFonts w:ascii="Times New Roman" w:eastAsia="Times New Roman" w:hAnsi="Times New Roman" w:cs="Times New Roman"/>
          <w:sz w:val="28"/>
          <w:szCs w:val="28"/>
          <w:lang w:eastAsia="ru-RU"/>
        </w:rPr>
        <w:t>утверждено</w:t>
      </w:r>
      <w:r w:rsidRPr="00522104">
        <w:rPr>
          <w:rFonts w:ascii="Times New Roman" w:eastAsia="Times New Roman" w:hAnsi="Times New Roman" w:cs="Times New Roman"/>
          <w:sz w:val="28"/>
          <w:szCs w:val="28"/>
          <w:lang w:eastAsia="ru-RU"/>
        </w:rPr>
        <w:t xml:space="preserve"> на 2022 год</w:t>
      </w:r>
      <w:r w:rsidR="00850943"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905,16 млн рублей, на 2021 год</w:t>
      </w:r>
      <w:r w:rsidR="002160EB"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1204,74 млн рублей).</w:t>
      </w:r>
    </w:p>
    <w:p w14:paraId="3753CF10" w14:textId="30CE932B"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законопроекте в составе субвенций значатся безвозмездные поступления из федерального бюджета в виде единой субвенции бюджету Приморского края</w:t>
      </w:r>
      <w:r w:rsidRPr="00522104">
        <w:rPr>
          <w:rFonts w:ascii="Times New Roman" w:eastAsia="Times New Roman" w:hAnsi="Times New Roman" w:cs="Times New Roman"/>
          <w:sz w:val="28"/>
          <w:szCs w:val="28"/>
          <w:vertAlign w:val="superscript"/>
          <w:lang w:eastAsia="ru-RU"/>
        </w:rPr>
        <w:footnoteReference w:id="9"/>
      </w:r>
      <w:r w:rsidRPr="00522104">
        <w:rPr>
          <w:rFonts w:ascii="Times New Roman" w:eastAsia="Times New Roman" w:hAnsi="Times New Roman" w:cs="Times New Roman"/>
          <w:sz w:val="28"/>
          <w:szCs w:val="28"/>
          <w:lang w:eastAsia="ru-RU"/>
        </w:rPr>
        <w:t>. Общий объе</w:t>
      </w:r>
      <w:r w:rsidR="00375C8B" w:rsidRPr="00522104">
        <w:rPr>
          <w:rFonts w:ascii="Times New Roman" w:eastAsia="Times New Roman" w:hAnsi="Times New Roman" w:cs="Times New Roman"/>
          <w:sz w:val="28"/>
          <w:szCs w:val="28"/>
          <w:lang w:eastAsia="ru-RU"/>
        </w:rPr>
        <w:t>м единой субвенции на 2022 год планируется</w:t>
      </w:r>
      <w:r w:rsidRPr="00522104">
        <w:rPr>
          <w:rFonts w:ascii="Times New Roman" w:eastAsia="Times New Roman" w:hAnsi="Times New Roman" w:cs="Times New Roman"/>
          <w:sz w:val="28"/>
          <w:szCs w:val="28"/>
          <w:lang w:eastAsia="ru-RU"/>
        </w:rPr>
        <w:t xml:space="preserve"> в сумме 183,50 млн рублей, из них субвенции на осуществление переданных органам государственной власти Приморского края полномочий Российской Федерации: </w:t>
      </w:r>
    </w:p>
    <w:p w14:paraId="253B6E3C" w14:textId="77777777" w:rsidR="002832E2" w:rsidRPr="00522104" w:rsidRDefault="002832E2" w:rsidP="002832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 области организации, регулирования и охраны водных биологических ресурсов</w:t>
      </w:r>
      <w:r w:rsidRPr="00522104">
        <w:rPr>
          <w:rFonts w:ascii="Times New Roman" w:eastAsia="Times New Roman" w:hAnsi="Times New Roman" w:cs="Times New Roman"/>
          <w:sz w:val="28"/>
          <w:szCs w:val="28"/>
          <w:lang w:eastAsia="ru-RU"/>
        </w:rPr>
        <w:t xml:space="preserve"> – 0,67 млн рублей; </w:t>
      </w:r>
    </w:p>
    <w:p w14:paraId="7400A9F8" w14:textId="77777777" w:rsidR="002832E2" w:rsidRPr="00522104" w:rsidRDefault="002832E2" w:rsidP="002832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 области охраны и использования объектов животного мира (за исключением охотничьих ресурсов и водных биологических ресурсов)</w:t>
      </w:r>
      <w:r w:rsidRPr="00522104">
        <w:rPr>
          <w:rFonts w:ascii="Times New Roman" w:eastAsia="Times New Roman" w:hAnsi="Times New Roman" w:cs="Times New Roman"/>
          <w:sz w:val="28"/>
          <w:szCs w:val="28"/>
          <w:lang w:eastAsia="ru-RU"/>
        </w:rPr>
        <w:t xml:space="preserve"> – 0,20 млн рублей; </w:t>
      </w:r>
    </w:p>
    <w:p w14:paraId="58857572"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государственную регистрацию актов гражданского состояния – 141,52 млн рублей; </w:t>
      </w:r>
    </w:p>
    <w:p w14:paraId="12F7750D" w14:textId="0D885C66" w:rsidR="002832E2" w:rsidRPr="00522104" w:rsidRDefault="002832E2" w:rsidP="002832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по осуществлению деятельности, связанной с перевозкой между субъектами Российской Федерации, а также в пределах территорий государств</w:t>
      </w:r>
      <w:r w:rsidR="002160EB" w:rsidRPr="00522104">
        <w:rPr>
          <w:rFonts w:ascii="Times New Roman" w:hAnsi="Times New Roman" w:cs="Times New Roman"/>
          <w:sz w:val="28"/>
          <w:szCs w:val="28"/>
        </w:rPr>
        <w:t> </w:t>
      </w:r>
      <w:r w:rsidRPr="00522104">
        <w:rPr>
          <w:rFonts w:ascii="Times New Roman" w:hAnsi="Times New Roman" w:cs="Times New Roman"/>
          <w:sz w:val="28"/>
          <w:szCs w:val="28"/>
        </w:rPr>
        <w:t>– участников СНГ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r w:rsidRPr="00522104">
        <w:rPr>
          <w:rFonts w:ascii="Times New Roman" w:eastAsia="Times New Roman" w:hAnsi="Times New Roman" w:cs="Times New Roman"/>
          <w:sz w:val="28"/>
          <w:szCs w:val="28"/>
          <w:lang w:eastAsia="ru-RU"/>
        </w:rPr>
        <w:t xml:space="preserve"> – 0,14 млн рублей; </w:t>
      </w:r>
    </w:p>
    <w:p w14:paraId="3A523702"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отношении объектов культурного наследия – 6,48 млн рублей; </w:t>
      </w:r>
    </w:p>
    <w:p w14:paraId="7F1525E8" w14:textId="77777777" w:rsidR="002832E2" w:rsidRPr="00522104" w:rsidRDefault="002832E2" w:rsidP="002832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 области охраны и использования охотничьих ресурсов</w:t>
      </w:r>
      <w:r w:rsidRPr="00522104">
        <w:rPr>
          <w:rFonts w:ascii="Times New Roman" w:eastAsia="Times New Roman" w:hAnsi="Times New Roman" w:cs="Times New Roman"/>
          <w:sz w:val="28"/>
          <w:szCs w:val="28"/>
          <w:lang w:eastAsia="ru-RU"/>
        </w:rPr>
        <w:t xml:space="preserve"> – 19,63 млн рублей; </w:t>
      </w:r>
    </w:p>
    <w:p w14:paraId="695C41D8"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сфере охраны здоровья – 1,0 млн рублей; </w:t>
      </w:r>
    </w:p>
    <w:p w14:paraId="1356F262"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сфере образования – 13,86 млн рублей. </w:t>
      </w:r>
    </w:p>
    <w:p w14:paraId="099D5732" w14:textId="4DEAD12F"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Иные межбюджетные трансферты</w:t>
      </w:r>
      <w:r w:rsidRPr="00522104">
        <w:rPr>
          <w:rFonts w:ascii="Times New Roman" w:eastAsia="Times New Roman" w:hAnsi="Times New Roman" w:cs="Times New Roman"/>
          <w:sz w:val="28"/>
          <w:szCs w:val="28"/>
          <w:lang w:eastAsia="ru-RU"/>
        </w:rPr>
        <w:t xml:space="preserve"> в 2022 году составят 2507,34 млн рублей, что выше </w:t>
      </w:r>
      <w:r w:rsidR="00375C8B" w:rsidRPr="00522104">
        <w:rPr>
          <w:rFonts w:ascii="Times New Roman" w:eastAsia="Times New Roman" w:hAnsi="Times New Roman" w:cs="Times New Roman"/>
          <w:sz w:val="28"/>
          <w:szCs w:val="28"/>
          <w:lang w:eastAsia="ru-RU"/>
        </w:rPr>
        <w:t xml:space="preserve">утвержденных назначений </w:t>
      </w:r>
      <w:r w:rsidR="000630B6"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на 5,21 %, или на 124,08 млн рублей, и ниже плановых назначений на 2021 год в 2,66 раза, или 4162,24 млн рублей. В плановом периоде 2023 и 2024 годов объем иных межбюджетных трансфертов составил 1950,21 млн рублей и 1513,12 млн рублей соответственно.</w:t>
      </w:r>
    </w:p>
    <w:p w14:paraId="7426D87A" w14:textId="4467D463"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Иные межбюджетные трансферты на 2022 год по сравнению с утвержденными назначениями </w:t>
      </w:r>
      <w:r w:rsidR="000630B6"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 xml:space="preserve">увеличены в общей сумме на 226,70 млн рублей в результате </w:t>
      </w:r>
      <w:r w:rsidR="00D673C7" w:rsidRPr="00522104">
        <w:rPr>
          <w:rFonts w:ascii="Times New Roman" w:eastAsia="Times New Roman" w:hAnsi="Times New Roman" w:cs="Times New Roman"/>
          <w:sz w:val="28"/>
          <w:szCs w:val="28"/>
          <w:lang w:eastAsia="ru-RU"/>
        </w:rPr>
        <w:t xml:space="preserve">дополнительного распределения </w:t>
      </w:r>
      <w:r w:rsidRPr="00522104">
        <w:rPr>
          <w:rFonts w:ascii="Times New Roman" w:eastAsia="Times New Roman" w:hAnsi="Times New Roman" w:cs="Times New Roman"/>
          <w:sz w:val="28"/>
          <w:szCs w:val="28"/>
          <w:lang w:eastAsia="ru-RU"/>
        </w:rPr>
        <w:t>межбюджетных трансфертов, из них на:</w:t>
      </w:r>
    </w:p>
    <w:p w14:paraId="114BACD2" w14:textId="3C5468E3"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создание комфортной городской среды в малых городах и исторических поселениях </w:t>
      </w:r>
      <w:r w:rsidR="002160EB"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победителях Всероссийского конкурса лучших проектов создания комфортной городской среды</w:t>
      </w:r>
      <w:r w:rsidR="00D673C7" w:rsidRPr="00522104">
        <w:rPr>
          <w:rFonts w:ascii="Times New Roman" w:eastAsia="Times New Roman" w:hAnsi="Times New Roman" w:cs="Times New Roman"/>
          <w:sz w:val="28"/>
          <w:szCs w:val="28"/>
          <w:lang w:eastAsia="ru-RU"/>
        </w:rPr>
        <w:t xml:space="preserve"> </w:t>
      </w:r>
      <w:r w:rsidR="002160EB"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70,00 млн рублей;</w:t>
      </w:r>
    </w:p>
    <w:p w14:paraId="1F31A85E"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создание модельных муниципальных библиотек – 25,00 млн рублей;</w:t>
      </w:r>
    </w:p>
    <w:p w14:paraId="4F14DAD7"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прочие межбюджетные трансферты, передаваемые бюджетам субъектов Российской Федерации – 130,41 млн рублей. </w:t>
      </w:r>
    </w:p>
    <w:p w14:paraId="6E1C48E3" w14:textId="5E4BAB69"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тоже время </w:t>
      </w:r>
      <w:r w:rsidR="00A77F32"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 xml:space="preserve">законопроектом по сравнению с утвержденными назначениями </w:t>
      </w:r>
      <w:r w:rsidR="000630B6"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межбюджетные трансферты снижены в общей сумме 102,62 млн рублей, из них на:</w:t>
      </w:r>
    </w:p>
    <w:p w14:paraId="4E25240D" w14:textId="7536B829"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переоснащение медицинских организаций, оказывающих медицинскую помощь больным с онкологическими заболеваниями – на 26,36 млн рублей, или на 8,05 %, и составят 301,23 млн рублей (</w:t>
      </w:r>
      <w:r w:rsidR="00A77F32" w:rsidRPr="00522104">
        <w:rPr>
          <w:rFonts w:ascii="Times New Roman" w:eastAsia="Times New Roman" w:hAnsi="Times New Roman" w:cs="Times New Roman"/>
          <w:sz w:val="28"/>
          <w:szCs w:val="28"/>
          <w:lang w:eastAsia="ru-RU"/>
        </w:rPr>
        <w:t>утверждено</w:t>
      </w:r>
      <w:r w:rsidRPr="00522104">
        <w:rPr>
          <w:rFonts w:ascii="Times New Roman" w:eastAsia="Times New Roman" w:hAnsi="Times New Roman" w:cs="Times New Roman"/>
          <w:sz w:val="28"/>
          <w:szCs w:val="28"/>
          <w:lang w:eastAsia="ru-RU"/>
        </w:rPr>
        <w:t xml:space="preserve"> на 2022 год</w:t>
      </w:r>
      <w:r w:rsidR="00A77F32"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327,59 млн рублей, на 2021 год – 273,81 млн рублей);</w:t>
      </w:r>
    </w:p>
    <w:p w14:paraId="01E4DCAB" w14:textId="7593838D"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реализацию программ местного развития и обеспечение занятости для шахтерских городов и поселков – 7,78 млн рублей, или на 27,32 %, и составят 20,68 млн рублей (</w:t>
      </w:r>
      <w:r w:rsidR="00A77F32" w:rsidRPr="00522104">
        <w:rPr>
          <w:rFonts w:ascii="Times New Roman" w:eastAsia="Times New Roman" w:hAnsi="Times New Roman" w:cs="Times New Roman"/>
          <w:sz w:val="28"/>
          <w:szCs w:val="28"/>
          <w:lang w:eastAsia="ru-RU"/>
        </w:rPr>
        <w:t>утверждено</w:t>
      </w:r>
      <w:r w:rsidRPr="00522104">
        <w:rPr>
          <w:rFonts w:ascii="Times New Roman" w:eastAsia="Times New Roman" w:hAnsi="Times New Roman" w:cs="Times New Roman"/>
          <w:sz w:val="28"/>
          <w:szCs w:val="28"/>
          <w:lang w:eastAsia="ru-RU"/>
        </w:rPr>
        <w:t xml:space="preserve"> на 2022 год</w:t>
      </w:r>
      <w:r w:rsidR="00A77F32"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28,46 млн рублей, на 2021 год – 26,90 млн рублей);</w:t>
      </w:r>
    </w:p>
    <w:p w14:paraId="43F24CB6" w14:textId="617CEC1E"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оснащение оборудованием региональных сосудистых центров и первичных сосудистых отделений – на 2,27 млн рублей, или на 0,84 %, и составят 268,57 млн рублей (</w:t>
      </w:r>
      <w:r w:rsidR="00A77F32" w:rsidRPr="00522104">
        <w:rPr>
          <w:rFonts w:ascii="Times New Roman" w:eastAsia="Times New Roman" w:hAnsi="Times New Roman" w:cs="Times New Roman"/>
          <w:sz w:val="28"/>
          <w:szCs w:val="28"/>
          <w:lang w:eastAsia="ru-RU"/>
        </w:rPr>
        <w:t>утверждено</w:t>
      </w:r>
      <w:r w:rsidRPr="00522104">
        <w:rPr>
          <w:rFonts w:ascii="Times New Roman" w:eastAsia="Times New Roman" w:hAnsi="Times New Roman" w:cs="Times New Roman"/>
          <w:sz w:val="28"/>
          <w:szCs w:val="28"/>
          <w:lang w:eastAsia="ru-RU"/>
        </w:rPr>
        <w:t xml:space="preserve"> на 2022 год</w:t>
      </w:r>
      <w:r w:rsidR="00A77F32"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270,84 млн рублей, на 2021 год – 168,19 млн рублей).</w:t>
      </w:r>
    </w:p>
    <w:p w14:paraId="4175ABA0" w14:textId="17FBC5FF"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Кроме того, </w:t>
      </w:r>
      <w:r w:rsidR="00F97AFE"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 xml:space="preserve">законопроектом по сравнению с </w:t>
      </w:r>
      <w:r w:rsidR="00F97AFE" w:rsidRPr="00522104">
        <w:rPr>
          <w:rFonts w:ascii="Times New Roman" w:eastAsia="Times New Roman" w:hAnsi="Times New Roman" w:cs="Times New Roman"/>
          <w:sz w:val="28"/>
          <w:szCs w:val="28"/>
          <w:lang w:eastAsia="ru-RU"/>
        </w:rPr>
        <w:t xml:space="preserve">утвержденным </w:t>
      </w:r>
      <w:r w:rsidRPr="00522104">
        <w:rPr>
          <w:rFonts w:ascii="Times New Roman" w:eastAsia="Times New Roman" w:hAnsi="Times New Roman" w:cs="Times New Roman"/>
          <w:sz w:val="28"/>
          <w:szCs w:val="28"/>
          <w:lang w:eastAsia="ru-RU"/>
        </w:rPr>
        <w:t>назначениями</w:t>
      </w:r>
      <w:r w:rsidR="00F97AFE" w:rsidRPr="00522104">
        <w:rPr>
          <w:rFonts w:ascii="Times New Roman" w:eastAsia="Times New Roman" w:hAnsi="Times New Roman" w:cs="Times New Roman"/>
          <w:sz w:val="28"/>
          <w:szCs w:val="28"/>
          <w:lang w:eastAsia="ru-RU"/>
        </w:rPr>
        <w:t xml:space="preserve"> </w:t>
      </w:r>
      <w:r w:rsidR="000630B6" w:rsidRPr="00522104">
        <w:rPr>
          <w:rFonts w:ascii="Times New Roman" w:eastAsia="Times New Roman" w:hAnsi="Times New Roman" w:cs="Times New Roman"/>
          <w:sz w:val="28"/>
          <w:szCs w:val="28"/>
          <w:lang w:eastAsia="ru-RU"/>
        </w:rPr>
        <w:t xml:space="preserve">на 2022 год </w:t>
      </w:r>
      <w:r w:rsidRPr="00522104">
        <w:rPr>
          <w:rFonts w:ascii="Times New Roman" w:eastAsia="Times New Roman" w:hAnsi="Times New Roman" w:cs="Times New Roman"/>
          <w:sz w:val="28"/>
          <w:szCs w:val="28"/>
          <w:lang w:eastAsia="ru-RU"/>
        </w:rPr>
        <w:t>не предусмотрены межбюджетные трансферты на осуществление государственной поддержки субъектов Российской Федерации</w:t>
      </w:r>
      <w:r w:rsidR="002160EB"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 участников национального проекта "Производительность труда и поддержка занятости" в сумме 65,04 млн рублей</w:t>
      </w:r>
      <w:r w:rsidR="002160EB" w:rsidRPr="00522104">
        <w:rPr>
          <w:rFonts w:ascii="Times New Roman" w:eastAsia="Times New Roman" w:hAnsi="Times New Roman" w:cs="Times New Roman"/>
          <w:sz w:val="28"/>
          <w:szCs w:val="28"/>
          <w:lang w:eastAsia="ru-RU"/>
        </w:rPr>
        <w:t>.</w:t>
      </w:r>
    </w:p>
    <w:p w14:paraId="5A45EADF" w14:textId="7460ABB6" w:rsidR="002832E2" w:rsidRPr="00522104" w:rsidRDefault="007130BB"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Законопроектом на 2022 год </w:t>
      </w:r>
      <w:r w:rsidR="000F2B54" w:rsidRPr="00522104">
        <w:rPr>
          <w:rFonts w:ascii="Times New Roman" w:eastAsia="Times New Roman" w:hAnsi="Times New Roman" w:cs="Times New Roman"/>
          <w:sz w:val="28"/>
          <w:szCs w:val="28"/>
          <w:lang w:eastAsia="ru-RU"/>
        </w:rPr>
        <w:t xml:space="preserve">(без изменений утвержденных назначений) </w:t>
      </w:r>
      <w:r w:rsidR="002832E2" w:rsidRPr="00522104">
        <w:rPr>
          <w:rFonts w:ascii="Times New Roman" w:eastAsia="Times New Roman" w:hAnsi="Times New Roman" w:cs="Times New Roman"/>
          <w:sz w:val="28"/>
          <w:szCs w:val="28"/>
          <w:lang w:eastAsia="ru-RU"/>
        </w:rPr>
        <w:t xml:space="preserve">запланированы безвозмездные поступления от государственных (муниципальных) организаций в сумме 2336,23 млн рублей. На плановый период 2023 и 2024 годов данные поступления не </w:t>
      </w:r>
      <w:r w:rsidR="000F2B54" w:rsidRPr="00522104">
        <w:rPr>
          <w:rFonts w:ascii="Times New Roman" w:eastAsia="Times New Roman" w:hAnsi="Times New Roman" w:cs="Times New Roman"/>
          <w:sz w:val="28"/>
          <w:szCs w:val="28"/>
          <w:lang w:eastAsia="ru-RU"/>
        </w:rPr>
        <w:t>прогнозируются</w:t>
      </w:r>
      <w:r w:rsidR="002832E2" w:rsidRPr="00522104">
        <w:rPr>
          <w:rFonts w:ascii="Times New Roman" w:eastAsia="Times New Roman" w:hAnsi="Times New Roman" w:cs="Times New Roman"/>
          <w:sz w:val="28"/>
          <w:szCs w:val="28"/>
          <w:lang w:eastAsia="ru-RU"/>
        </w:rPr>
        <w:t xml:space="preserve">. </w:t>
      </w:r>
    </w:p>
    <w:p w14:paraId="47504D5F" w14:textId="77777777" w:rsidR="002832E2" w:rsidRPr="00522104" w:rsidRDefault="002832E2" w:rsidP="002832E2">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2022 году безвозмездные поступления ожидаются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(2075,80 млн рублей) и обеспечение мероприятий по модернизации систем коммунальной инфраструктуры (260,43 млн рублей).</w:t>
      </w:r>
    </w:p>
    <w:p w14:paraId="5B0D87D8" w14:textId="77777777" w:rsidR="00A61983" w:rsidRPr="00522104" w:rsidRDefault="00A61983" w:rsidP="00344096">
      <w:pPr>
        <w:spacing w:after="0" w:line="240" w:lineRule="auto"/>
        <w:ind w:firstLine="720"/>
        <w:rPr>
          <w:rFonts w:ascii="Times New Roman" w:eastAsia="Times New Roman" w:hAnsi="Times New Roman" w:cs="Times New Roman"/>
          <w:b/>
          <w:sz w:val="28"/>
          <w:szCs w:val="28"/>
          <w:lang w:eastAsia="ru-RU"/>
        </w:rPr>
      </w:pPr>
    </w:p>
    <w:p w14:paraId="774B3822" w14:textId="77777777" w:rsidR="00827437" w:rsidRPr="00522104" w:rsidRDefault="00827437" w:rsidP="00827437">
      <w:pPr>
        <w:spacing w:after="0" w:line="240" w:lineRule="auto"/>
        <w:ind w:firstLine="720"/>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5. Расходы краевого бюджета.</w:t>
      </w:r>
    </w:p>
    <w:p w14:paraId="1BB5682A"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Формирование законопроекта на 2022 год и плановый период 2023 и 2024 годов министерством финансов Приморского края осуществлено в соответствии с приказами Министерства финансов Российской Федерации от 06.06.2019 № 85н "О порядке формирования и применения кодов бюджетной классификации Российской Федерации, их структуре и принципах назначения, от 08.06.2021 № 75н "Об утверждении кодов (перечней кодов) бюджетной классификации Российской Федерации на 2022 год (на 2022 год и плановый период 2023 и 2024 годов)". В соответствии с данными приказами министерством финансов Приморского края приказом от 28.10.2021 № 146 утвержден порядок применения бюджетной классификации Российской Федерации в части, относящейся к краевому бюджету и бюджету территориального фонда обязательного медицинского страхования Приморского края на 2022 год и плановый период 2023 и 2024 годов.</w:t>
      </w:r>
    </w:p>
    <w:p w14:paraId="1969D7D2"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расходы краевого бюджета на 2022 год предусмотрены в объеме 159581,61 млн рублей, что на 22322,14 млн рублей выше утвержденных назначений (137259,47 млн рублей), а по сравнению с утвержденными назначениями на 2021 год (166307,38 млн рублей) ниже на 6725,77 млн рублей.</w:t>
      </w:r>
    </w:p>
    <w:p w14:paraId="0C894E7C" w14:textId="7A3C942E"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Общий объем расходов краевого бюджета на плановый период 2023 года прогнозируется в сумме 148224,52 млн рублей, на 2024 год – 151001,70 млн рублей, в том числе соответственно по годам условно утверждаемые расходы</w:t>
      </w:r>
      <w:r w:rsidR="00E40BEE"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 2921,53 млн рублей и 5926,97 млн рублей. </w:t>
      </w:r>
    </w:p>
    <w:p w14:paraId="0A94B18F"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Анализ расходов по разделам бюджетной классификации на 2021 год, 2022 год и плановый период 2023 и 2024 годов представлен в таблице.</w:t>
      </w:r>
    </w:p>
    <w:p w14:paraId="056C6B82"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lang w:eastAsia="ru-RU"/>
        </w:rPr>
      </w:pPr>
    </w:p>
    <w:tbl>
      <w:tblPr>
        <w:tblStyle w:val="af2"/>
        <w:tblW w:w="10495" w:type="dxa"/>
        <w:jc w:val="center"/>
        <w:tblLayout w:type="fixed"/>
        <w:tblLook w:val="04A0" w:firstRow="1" w:lastRow="0" w:firstColumn="1" w:lastColumn="0" w:noHBand="0" w:noVBand="1"/>
      </w:tblPr>
      <w:tblGrid>
        <w:gridCol w:w="1990"/>
        <w:gridCol w:w="992"/>
        <w:gridCol w:w="851"/>
        <w:gridCol w:w="850"/>
        <w:gridCol w:w="992"/>
        <w:gridCol w:w="851"/>
        <w:gridCol w:w="850"/>
        <w:gridCol w:w="851"/>
        <w:gridCol w:w="709"/>
        <w:gridCol w:w="850"/>
        <w:gridCol w:w="709"/>
      </w:tblGrid>
      <w:tr w:rsidR="00827437" w:rsidRPr="00522104" w14:paraId="37580A91" w14:textId="77777777" w:rsidTr="00E40BEE">
        <w:trPr>
          <w:trHeight w:val="207"/>
          <w:tblHeader/>
          <w:jc w:val="center"/>
        </w:trPr>
        <w:tc>
          <w:tcPr>
            <w:tcW w:w="1990" w:type="dxa"/>
            <w:tcBorders>
              <w:top w:val="nil"/>
              <w:left w:val="nil"/>
              <w:bottom w:val="single" w:sz="4" w:space="0" w:color="auto"/>
              <w:right w:val="nil"/>
            </w:tcBorders>
          </w:tcPr>
          <w:p w14:paraId="2B650251" w14:textId="77777777" w:rsidR="00827437" w:rsidRPr="00522104" w:rsidRDefault="00827437" w:rsidP="00CD3AC0">
            <w:pPr>
              <w:spacing w:before="40" w:after="40"/>
              <w:jc w:val="center"/>
              <w:rPr>
                <w:rFonts w:ascii="Times New Roman" w:eastAsia="Times New Roman" w:hAnsi="Times New Roman" w:cs="Times New Roman"/>
                <w:sz w:val="20"/>
                <w:szCs w:val="20"/>
                <w:lang w:eastAsia="ru-RU"/>
              </w:rPr>
            </w:pPr>
          </w:p>
        </w:tc>
        <w:tc>
          <w:tcPr>
            <w:tcW w:w="2693" w:type="dxa"/>
            <w:gridSpan w:val="3"/>
            <w:tcBorders>
              <w:top w:val="nil"/>
              <w:left w:val="nil"/>
              <w:bottom w:val="single" w:sz="4" w:space="0" w:color="auto"/>
              <w:right w:val="nil"/>
            </w:tcBorders>
          </w:tcPr>
          <w:p w14:paraId="5D1697B8" w14:textId="77777777" w:rsidR="00827437" w:rsidRPr="00522104" w:rsidRDefault="00827437" w:rsidP="00CD3AC0">
            <w:pPr>
              <w:spacing w:before="40" w:after="40"/>
              <w:jc w:val="center"/>
              <w:rPr>
                <w:rFonts w:ascii="Times New Roman" w:eastAsia="Times New Roman" w:hAnsi="Times New Roman" w:cs="Times New Roman"/>
                <w:sz w:val="20"/>
                <w:szCs w:val="20"/>
                <w:lang w:eastAsia="ru-RU"/>
              </w:rPr>
            </w:pPr>
          </w:p>
        </w:tc>
        <w:tc>
          <w:tcPr>
            <w:tcW w:w="2693" w:type="dxa"/>
            <w:gridSpan w:val="3"/>
            <w:tcBorders>
              <w:top w:val="nil"/>
              <w:left w:val="nil"/>
              <w:bottom w:val="single" w:sz="4" w:space="0" w:color="auto"/>
              <w:right w:val="nil"/>
            </w:tcBorders>
            <w:noWrap/>
          </w:tcPr>
          <w:p w14:paraId="46C753D2" w14:textId="77777777" w:rsidR="00827437" w:rsidRPr="00522104" w:rsidRDefault="00827437" w:rsidP="00CD3AC0">
            <w:pPr>
              <w:spacing w:before="40" w:after="40"/>
              <w:jc w:val="center"/>
              <w:rPr>
                <w:rFonts w:ascii="Times New Roman" w:eastAsia="Times New Roman" w:hAnsi="Times New Roman" w:cs="Times New Roman"/>
                <w:sz w:val="20"/>
                <w:szCs w:val="20"/>
                <w:lang w:eastAsia="ru-RU"/>
              </w:rPr>
            </w:pPr>
          </w:p>
        </w:tc>
        <w:tc>
          <w:tcPr>
            <w:tcW w:w="3119" w:type="dxa"/>
            <w:gridSpan w:val="4"/>
            <w:tcBorders>
              <w:top w:val="nil"/>
              <w:left w:val="nil"/>
              <w:bottom w:val="single" w:sz="4" w:space="0" w:color="auto"/>
              <w:right w:val="nil"/>
            </w:tcBorders>
            <w:noWrap/>
          </w:tcPr>
          <w:p w14:paraId="67E7814B" w14:textId="77777777" w:rsidR="00827437" w:rsidRPr="00522104" w:rsidRDefault="00827437" w:rsidP="00CD3AC0">
            <w:pPr>
              <w:spacing w:before="40" w:after="40"/>
              <w:jc w:val="right"/>
              <w:rPr>
                <w:rFonts w:ascii="Times New Roman" w:eastAsia="Times New Roman" w:hAnsi="Times New Roman" w:cs="Times New Roman"/>
                <w:sz w:val="24"/>
                <w:szCs w:val="24"/>
                <w:lang w:eastAsia="ru-RU"/>
              </w:rPr>
            </w:pPr>
            <w:r w:rsidRPr="00522104">
              <w:rPr>
                <w:rFonts w:ascii="Times New Roman" w:eastAsia="Times New Roman" w:hAnsi="Times New Roman" w:cs="Times New Roman"/>
                <w:sz w:val="24"/>
                <w:szCs w:val="24"/>
                <w:lang w:eastAsia="ru-RU"/>
              </w:rPr>
              <w:t>(млн рублей)</w:t>
            </w:r>
          </w:p>
        </w:tc>
      </w:tr>
      <w:tr w:rsidR="00827437" w:rsidRPr="00522104" w14:paraId="05D37D4F" w14:textId="77777777" w:rsidTr="00E40BEE">
        <w:trPr>
          <w:trHeight w:val="407"/>
          <w:tblHeader/>
          <w:jc w:val="center"/>
        </w:trPr>
        <w:tc>
          <w:tcPr>
            <w:tcW w:w="1990" w:type="dxa"/>
            <w:vMerge w:val="restart"/>
            <w:tcBorders>
              <w:top w:val="single" w:sz="4" w:space="0" w:color="auto"/>
            </w:tcBorders>
            <w:vAlign w:val="center"/>
            <w:hideMark/>
          </w:tcPr>
          <w:p w14:paraId="479A1ADE"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Наименование</w:t>
            </w:r>
          </w:p>
        </w:tc>
        <w:tc>
          <w:tcPr>
            <w:tcW w:w="2693" w:type="dxa"/>
            <w:gridSpan w:val="3"/>
            <w:tcBorders>
              <w:top w:val="single" w:sz="4" w:space="0" w:color="auto"/>
            </w:tcBorders>
            <w:vAlign w:val="center"/>
            <w:hideMark/>
          </w:tcPr>
          <w:p w14:paraId="7E058758"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Закон № 969-КЗ</w:t>
            </w:r>
          </w:p>
        </w:tc>
        <w:tc>
          <w:tcPr>
            <w:tcW w:w="2693" w:type="dxa"/>
            <w:gridSpan w:val="3"/>
            <w:tcBorders>
              <w:top w:val="single" w:sz="4" w:space="0" w:color="auto"/>
            </w:tcBorders>
            <w:noWrap/>
            <w:vAlign w:val="center"/>
            <w:hideMark/>
          </w:tcPr>
          <w:p w14:paraId="35262CDC"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Законопроект на</w:t>
            </w:r>
          </w:p>
        </w:tc>
        <w:tc>
          <w:tcPr>
            <w:tcW w:w="3119" w:type="dxa"/>
            <w:gridSpan w:val="4"/>
            <w:tcBorders>
              <w:top w:val="single" w:sz="4" w:space="0" w:color="auto"/>
            </w:tcBorders>
            <w:noWrap/>
            <w:vAlign w:val="center"/>
            <w:hideMark/>
          </w:tcPr>
          <w:p w14:paraId="1493D15C"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Отклонение показателей законопроекта к утвержденным назначениям</w:t>
            </w:r>
          </w:p>
        </w:tc>
      </w:tr>
      <w:tr w:rsidR="00827437" w:rsidRPr="00522104" w14:paraId="616218C3" w14:textId="77777777" w:rsidTr="00E40BEE">
        <w:trPr>
          <w:trHeight w:val="405"/>
          <w:tblHeader/>
          <w:jc w:val="center"/>
        </w:trPr>
        <w:tc>
          <w:tcPr>
            <w:tcW w:w="1990" w:type="dxa"/>
            <w:vMerge/>
            <w:vAlign w:val="center"/>
            <w:hideMark/>
          </w:tcPr>
          <w:p w14:paraId="1D7AECBC"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p>
        </w:tc>
        <w:tc>
          <w:tcPr>
            <w:tcW w:w="992" w:type="dxa"/>
            <w:vMerge w:val="restart"/>
            <w:vAlign w:val="center"/>
            <w:hideMark/>
          </w:tcPr>
          <w:p w14:paraId="0FD8A225"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Первоначальная редакция на 2021 год</w:t>
            </w:r>
          </w:p>
        </w:tc>
        <w:tc>
          <w:tcPr>
            <w:tcW w:w="1701" w:type="dxa"/>
            <w:gridSpan w:val="2"/>
            <w:vAlign w:val="center"/>
            <w:hideMark/>
          </w:tcPr>
          <w:p w14:paraId="04D1219D"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8 редакция</w:t>
            </w:r>
          </w:p>
        </w:tc>
        <w:tc>
          <w:tcPr>
            <w:tcW w:w="992" w:type="dxa"/>
            <w:vMerge w:val="restart"/>
            <w:vAlign w:val="center"/>
            <w:hideMark/>
          </w:tcPr>
          <w:p w14:paraId="6603320A"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2022 </w:t>
            </w:r>
          </w:p>
          <w:p w14:paraId="23A397B4"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год</w:t>
            </w:r>
          </w:p>
        </w:tc>
        <w:tc>
          <w:tcPr>
            <w:tcW w:w="851" w:type="dxa"/>
            <w:vMerge w:val="restart"/>
            <w:noWrap/>
            <w:vAlign w:val="center"/>
            <w:hideMark/>
          </w:tcPr>
          <w:p w14:paraId="55FFA7B6"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2023 год</w:t>
            </w:r>
          </w:p>
        </w:tc>
        <w:tc>
          <w:tcPr>
            <w:tcW w:w="850" w:type="dxa"/>
            <w:vMerge w:val="restart"/>
            <w:noWrap/>
            <w:vAlign w:val="center"/>
            <w:hideMark/>
          </w:tcPr>
          <w:p w14:paraId="4BD1CA5B"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2024 год</w:t>
            </w:r>
          </w:p>
        </w:tc>
        <w:tc>
          <w:tcPr>
            <w:tcW w:w="1560" w:type="dxa"/>
            <w:gridSpan w:val="2"/>
            <w:noWrap/>
            <w:vAlign w:val="center"/>
            <w:hideMark/>
          </w:tcPr>
          <w:p w14:paraId="4A4CEBB6"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2022/2021</w:t>
            </w:r>
          </w:p>
        </w:tc>
        <w:tc>
          <w:tcPr>
            <w:tcW w:w="1559" w:type="dxa"/>
            <w:gridSpan w:val="2"/>
            <w:noWrap/>
            <w:vAlign w:val="center"/>
            <w:hideMark/>
          </w:tcPr>
          <w:p w14:paraId="03FB791E"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2022/2022</w:t>
            </w:r>
          </w:p>
        </w:tc>
      </w:tr>
      <w:tr w:rsidR="00827437" w:rsidRPr="00522104" w14:paraId="2DF6E026" w14:textId="77777777" w:rsidTr="00E40BEE">
        <w:trPr>
          <w:trHeight w:val="541"/>
          <w:tblHeader/>
          <w:jc w:val="center"/>
        </w:trPr>
        <w:tc>
          <w:tcPr>
            <w:tcW w:w="1990" w:type="dxa"/>
            <w:vMerge/>
            <w:hideMark/>
          </w:tcPr>
          <w:p w14:paraId="0B5CD8C5"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p>
        </w:tc>
        <w:tc>
          <w:tcPr>
            <w:tcW w:w="992" w:type="dxa"/>
            <w:vMerge/>
            <w:hideMark/>
          </w:tcPr>
          <w:p w14:paraId="03F4AE93"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p>
        </w:tc>
        <w:tc>
          <w:tcPr>
            <w:tcW w:w="851" w:type="dxa"/>
            <w:hideMark/>
          </w:tcPr>
          <w:p w14:paraId="5CD9E8EF"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на 2021 год</w:t>
            </w:r>
          </w:p>
        </w:tc>
        <w:tc>
          <w:tcPr>
            <w:tcW w:w="850" w:type="dxa"/>
            <w:hideMark/>
          </w:tcPr>
          <w:p w14:paraId="2ECA071F"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на 2022 год</w:t>
            </w:r>
          </w:p>
        </w:tc>
        <w:tc>
          <w:tcPr>
            <w:tcW w:w="992" w:type="dxa"/>
            <w:vMerge/>
            <w:hideMark/>
          </w:tcPr>
          <w:p w14:paraId="177FF220"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p>
        </w:tc>
        <w:tc>
          <w:tcPr>
            <w:tcW w:w="851" w:type="dxa"/>
            <w:vMerge/>
            <w:hideMark/>
          </w:tcPr>
          <w:p w14:paraId="22788281"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p>
        </w:tc>
        <w:tc>
          <w:tcPr>
            <w:tcW w:w="850" w:type="dxa"/>
            <w:vMerge/>
            <w:hideMark/>
          </w:tcPr>
          <w:p w14:paraId="04335048"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p>
        </w:tc>
        <w:tc>
          <w:tcPr>
            <w:tcW w:w="851" w:type="dxa"/>
            <w:vAlign w:val="center"/>
            <w:hideMark/>
          </w:tcPr>
          <w:p w14:paraId="3F9B7D39"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сумма</w:t>
            </w:r>
          </w:p>
        </w:tc>
        <w:tc>
          <w:tcPr>
            <w:tcW w:w="709" w:type="dxa"/>
            <w:vAlign w:val="center"/>
            <w:hideMark/>
          </w:tcPr>
          <w:p w14:paraId="4B1FCDD8"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w:t>
            </w:r>
          </w:p>
        </w:tc>
        <w:tc>
          <w:tcPr>
            <w:tcW w:w="850" w:type="dxa"/>
            <w:vAlign w:val="center"/>
            <w:hideMark/>
          </w:tcPr>
          <w:p w14:paraId="1E28C504"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сумма</w:t>
            </w:r>
          </w:p>
        </w:tc>
        <w:tc>
          <w:tcPr>
            <w:tcW w:w="709" w:type="dxa"/>
            <w:vAlign w:val="center"/>
            <w:hideMark/>
          </w:tcPr>
          <w:p w14:paraId="1D1AF35C" w14:textId="77777777" w:rsidR="00827437" w:rsidRPr="00522104" w:rsidRDefault="00827437" w:rsidP="00CD3AC0">
            <w:pPr>
              <w:spacing w:before="40" w:after="40"/>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w:t>
            </w:r>
          </w:p>
        </w:tc>
      </w:tr>
      <w:tr w:rsidR="00827437" w:rsidRPr="00522104" w14:paraId="00B985F5" w14:textId="77777777" w:rsidTr="00E40BEE">
        <w:trPr>
          <w:trHeight w:val="460"/>
          <w:jc w:val="center"/>
        </w:trPr>
        <w:tc>
          <w:tcPr>
            <w:tcW w:w="1990" w:type="dxa"/>
            <w:hideMark/>
          </w:tcPr>
          <w:p w14:paraId="7301CF78"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ОБЩЕГОСУДАРСТ-ВЕННЫЕ ВОПРОСЫ</w:t>
            </w:r>
          </w:p>
        </w:tc>
        <w:tc>
          <w:tcPr>
            <w:tcW w:w="992" w:type="dxa"/>
            <w:vAlign w:val="center"/>
            <w:hideMark/>
          </w:tcPr>
          <w:p w14:paraId="27811B3E"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6682,54</w:t>
            </w:r>
          </w:p>
        </w:tc>
        <w:tc>
          <w:tcPr>
            <w:tcW w:w="851" w:type="dxa"/>
            <w:vAlign w:val="center"/>
            <w:hideMark/>
          </w:tcPr>
          <w:p w14:paraId="1EFEDBB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6958,44</w:t>
            </w:r>
          </w:p>
        </w:tc>
        <w:tc>
          <w:tcPr>
            <w:tcW w:w="850" w:type="dxa"/>
            <w:noWrap/>
            <w:vAlign w:val="center"/>
            <w:hideMark/>
          </w:tcPr>
          <w:p w14:paraId="323EB15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6058,23</w:t>
            </w:r>
          </w:p>
        </w:tc>
        <w:tc>
          <w:tcPr>
            <w:tcW w:w="992" w:type="dxa"/>
            <w:noWrap/>
            <w:vAlign w:val="center"/>
            <w:hideMark/>
          </w:tcPr>
          <w:p w14:paraId="2A259472"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6584,02</w:t>
            </w:r>
          </w:p>
        </w:tc>
        <w:tc>
          <w:tcPr>
            <w:tcW w:w="851" w:type="dxa"/>
            <w:noWrap/>
            <w:vAlign w:val="center"/>
            <w:hideMark/>
          </w:tcPr>
          <w:p w14:paraId="7EBCA45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6629,65</w:t>
            </w:r>
          </w:p>
        </w:tc>
        <w:tc>
          <w:tcPr>
            <w:tcW w:w="850" w:type="dxa"/>
            <w:noWrap/>
            <w:vAlign w:val="center"/>
            <w:hideMark/>
          </w:tcPr>
          <w:p w14:paraId="25F99006"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6416,21</w:t>
            </w:r>
          </w:p>
        </w:tc>
        <w:tc>
          <w:tcPr>
            <w:tcW w:w="851" w:type="dxa"/>
            <w:noWrap/>
            <w:vAlign w:val="center"/>
            <w:hideMark/>
          </w:tcPr>
          <w:p w14:paraId="7216F7B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-374,42</w:t>
            </w:r>
          </w:p>
        </w:tc>
        <w:tc>
          <w:tcPr>
            <w:tcW w:w="709" w:type="dxa"/>
            <w:noWrap/>
            <w:vAlign w:val="center"/>
            <w:hideMark/>
          </w:tcPr>
          <w:p w14:paraId="762B0B6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94,62</w:t>
            </w:r>
          </w:p>
        </w:tc>
        <w:tc>
          <w:tcPr>
            <w:tcW w:w="850" w:type="dxa"/>
            <w:noWrap/>
            <w:vAlign w:val="center"/>
            <w:hideMark/>
          </w:tcPr>
          <w:p w14:paraId="6C60CD5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525,79</w:t>
            </w:r>
          </w:p>
        </w:tc>
        <w:tc>
          <w:tcPr>
            <w:tcW w:w="709" w:type="dxa"/>
            <w:noWrap/>
            <w:vAlign w:val="center"/>
            <w:hideMark/>
          </w:tcPr>
          <w:p w14:paraId="58B3B1D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108,68</w:t>
            </w:r>
          </w:p>
        </w:tc>
      </w:tr>
      <w:tr w:rsidR="00827437" w:rsidRPr="00522104" w14:paraId="0F8CC4C8" w14:textId="77777777" w:rsidTr="00E40BEE">
        <w:trPr>
          <w:trHeight w:val="300"/>
          <w:jc w:val="center"/>
        </w:trPr>
        <w:tc>
          <w:tcPr>
            <w:tcW w:w="1990" w:type="dxa"/>
            <w:hideMark/>
          </w:tcPr>
          <w:p w14:paraId="6854B21D"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НАЦИОНАЛЬНАЯ ОБОРОНА</w:t>
            </w:r>
          </w:p>
        </w:tc>
        <w:tc>
          <w:tcPr>
            <w:tcW w:w="992" w:type="dxa"/>
            <w:vAlign w:val="center"/>
            <w:hideMark/>
          </w:tcPr>
          <w:p w14:paraId="1441DF86"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32,91</w:t>
            </w:r>
          </w:p>
        </w:tc>
        <w:tc>
          <w:tcPr>
            <w:tcW w:w="851" w:type="dxa"/>
            <w:vAlign w:val="center"/>
            <w:hideMark/>
          </w:tcPr>
          <w:p w14:paraId="3E28E694"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32,91</w:t>
            </w:r>
          </w:p>
        </w:tc>
        <w:tc>
          <w:tcPr>
            <w:tcW w:w="850" w:type="dxa"/>
            <w:noWrap/>
            <w:vAlign w:val="center"/>
            <w:hideMark/>
          </w:tcPr>
          <w:p w14:paraId="42229FD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33,24</w:t>
            </w:r>
          </w:p>
        </w:tc>
        <w:tc>
          <w:tcPr>
            <w:tcW w:w="992" w:type="dxa"/>
            <w:noWrap/>
            <w:vAlign w:val="center"/>
            <w:hideMark/>
          </w:tcPr>
          <w:p w14:paraId="455BFB4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34,11</w:t>
            </w:r>
          </w:p>
        </w:tc>
        <w:tc>
          <w:tcPr>
            <w:tcW w:w="851" w:type="dxa"/>
            <w:noWrap/>
            <w:vAlign w:val="center"/>
            <w:hideMark/>
          </w:tcPr>
          <w:p w14:paraId="74C31D9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35,24</w:t>
            </w:r>
          </w:p>
        </w:tc>
        <w:tc>
          <w:tcPr>
            <w:tcW w:w="850" w:type="dxa"/>
            <w:noWrap/>
            <w:vAlign w:val="center"/>
            <w:hideMark/>
          </w:tcPr>
          <w:p w14:paraId="7C532B6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36,47</w:t>
            </w:r>
          </w:p>
        </w:tc>
        <w:tc>
          <w:tcPr>
            <w:tcW w:w="851" w:type="dxa"/>
            <w:noWrap/>
            <w:vAlign w:val="center"/>
            <w:hideMark/>
          </w:tcPr>
          <w:p w14:paraId="1DB510D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1,20</w:t>
            </w:r>
          </w:p>
        </w:tc>
        <w:tc>
          <w:tcPr>
            <w:tcW w:w="709" w:type="dxa"/>
            <w:noWrap/>
            <w:vAlign w:val="center"/>
            <w:hideMark/>
          </w:tcPr>
          <w:p w14:paraId="4654F7A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103,65</w:t>
            </w:r>
          </w:p>
        </w:tc>
        <w:tc>
          <w:tcPr>
            <w:tcW w:w="850" w:type="dxa"/>
            <w:noWrap/>
            <w:vAlign w:val="center"/>
            <w:hideMark/>
          </w:tcPr>
          <w:p w14:paraId="44ACB34E"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0,87</w:t>
            </w:r>
          </w:p>
        </w:tc>
        <w:tc>
          <w:tcPr>
            <w:tcW w:w="709" w:type="dxa"/>
            <w:noWrap/>
            <w:vAlign w:val="center"/>
            <w:hideMark/>
          </w:tcPr>
          <w:p w14:paraId="30678CAE"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102,61</w:t>
            </w:r>
          </w:p>
        </w:tc>
      </w:tr>
      <w:tr w:rsidR="00827437" w:rsidRPr="00522104" w14:paraId="3389CA45" w14:textId="77777777" w:rsidTr="00E40BEE">
        <w:trPr>
          <w:trHeight w:val="982"/>
          <w:jc w:val="center"/>
        </w:trPr>
        <w:tc>
          <w:tcPr>
            <w:tcW w:w="1990" w:type="dxa"/>
            <w:hideMark/>
          </w:tcPr>
          <w:p w14:paraId="2665F0C5"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НАЦИОНАЛЬНАЯ БЕЗОПАСНОСТЬ И ПРАВООХРАНИ-ТЕЛЬНАЯ ДЕЯТЕЛЬНОСТЬ</w:t>
            </w:r>
          </w:p>
        </w:tc>
        <w:tc>
          <w:tcPr>
            <w:tcW w:w="992" w:type="dxa"/>
            <w:vAlign w:val="center"/>
            <w:hideMark/>
          </w:tcPr>
          <w:p w14:paraId="2FD26D5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1731,90</w:t>
            </w:r>
          </w:p>
        </w:tc>
        <w:tc>
          <w:tcPr>
            <w:tcW w:w="851" w:type="dxa"/>
            <w:vAlign w:val="center"/>
            <w:hideMark/>
          </w:tcPr>
          <w:p w14:paraId="36B8754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1854,25</w:t>
            </w:r>
          </w:p>
        </w:tc>
        <w:tc>
          <w:tcPr>
            <w:tcW w:w="850" w:type="dxa"/>
            <w:noWrap/>
            <w:vAlign w:val="center"/>
            <w:hideMark/>
          </w:tcPr>
          <w:p w14:paraId="5D78B94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1514,32</w:t>
            </w:r>
          </w:p>
        </w:tc>
        <w:tc>
          <w:tcPr>
            <w:tcW w:w="992" w:type="dxa"/>
            <w:noWrap/>
            <w:vAlign w:val="center"/>
            <w:hideMark/>
          </w:tcPr>
          <w:p w14:paraId="7B68BC5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1872,97</w:t>
            </w:r>
          </w:p>
        </w:tc>
        <w:tc>
          <w:tcPr>
            <w:tcW w:w="851" w:type="dxa"/>
            <w:noWrap/>
            <w:vAlign w:val="center"/>
            <w:hideMark/>
          </w:tcPr>
          <w:p w14:paraId="7C0F71B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1899,00</w:t>
            </w:r>
          </w:p>
        </w:tc>
        <w:tc>
          <w:tcPr>
            <w:tcW w:w="850" w:type="dxa"/>
            <w:noWrap/>
            <w:vAlign w:val="center"/>
            <w:hideMark/>
          </w:tcPr>
          <w:p w14:paraId="778A2DDA"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1822,47</w:t>
            </w:r>
          </w:p>
        </w:tc>
        <w:tc>
          <w:tcPr>
            <w:tcW w:w="851" w:type="dxa"/>
            <w:noWrap/>
            <w:vAlign w:val="center"/>
            <w:hideMark/>
          </w:tcPr>
          <w:p w14:paraId="0B0E0334"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18,72</w:t>
            </w:r>
          </w:p>
        </w:tc>
        <w:tc>
          <w:tcPr>
            <w:tcW w:w="709" w:type="dxa"/>
            <w:noWrap/>
            <w:vAlign w:val="center"/>
            <w:hideMark/>
          </w:tcPr>
          <w:p w14:paraId="339D90D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101,01</w:t>
            </w:r>
          </w:p>
        </w:tc>
        <w:tc>
          <w:tcPr>
            <w:tcW w:w="850" w:type="dxa"/>
            <w:noWrap/>
            <w:vAlign w:val="center"/>
            <w:hideMark/>
          </w:tcPr>
          <w:p w14:paraId="3ECB909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358,65</w:t>
            </w:r>
          </w:p>
        </w:tc>
        <w:tc>
          <w:tcPr>
            <w:tcW w:w="709" w:type="dxa"/>
            <w:noWrap/>
            <w:vAlign w:val="center"/>
            <w:hideMark/>
          </w:tcPr>
          <w:p w14:paraId="2276683E"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123,68</w:t>
            </w:r>
          </w:p>
        </w:tc>
      </w:tr>
      <w:tr w:rsidR="00827437" w:rsidRPr="00522104" w14:paraId="1C1C0E68" w14:textId="77777777" w:rsidTr="00E40BEE">
        <w:trPr>
          <w:trHeight w:val="336"/>
          <w:jc w:val="center"/>
        </w:trPr>
        <w:tc>
          <w:tcPr>
            <w:tcW w:w="1990" w:type="dxa"/>
            <w:hideMark/>
          </w:tcPr>
          <w:p w14:paraId="4821984D"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НАЦИОНАЛЬНАЯ ЭКОНОМИКА</w:t>
            </w:r>
          </w:p>
        </w:tc>
        <w:tc>
          <w:tcPr>
            <w:tcW w:w="992" w:type="dxa"/>
            <w:vAlign w:val="center"/>
            <w:hideMark/>
          </w:tcPr>
          <w:p w14:paraId="4BDC96A4"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28798,50</w:t>
            </w:r>
          </w:p>
        </w:tc>
        <w:tc>
          <w:tcPr>
            <w:tcW w:w="851" w:type="dxa"/>
            <w:vAlign w:val="center"/>
            <w:hideMark/>
          </w:tcPr>
          <w:p w14:paraId="688BF528"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33449,84</w:t>
            </w:r>
          </w:p>
        </w:tc>
        <w:tc>
          <w:tcPr>
            <w:tcW w:w="850" w:type="dxa"/>
            <w:noWrap/>
            <w:vAlign w:val="center"/>
            <w:hideMark/>
          </w:tcPr>
          <w:p w14:paraId="5C48E8B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21800,29</w:t>
            </w:r>
          </w:p>
        </w:tc>
        <w:tc>
          <w:tcPr>
            <w:tcW w:w="992" w:type="dxa"/>
            <w:noWrap/>
            <w:vAlign w:val="center"/>
            <w:hideMark/>
          </w:tcPr>
          <w:p w14:paraId="741528A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28195,62</w:t>
            </w:r>
          </w:p>
        </w:tc>
        <w:tc>
          <w:tcPr>
            <w:tcW w:w="851" w:type="dxa"/>
            <w:noWrap/>
            <w:vAlign w:val="center"/>
            <w:hideMark/>
          </w:tcPr>
          <w:p w14:paraId="6AC6270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24200,91</w:t>
            </w:r>
          </w:p>
        </w:tc>
        <w:tc>
          <w:tcPr>
            <w:tcW w:w="850" w:type="dxa"/>
            <w:noWrap/>
            <w:vAlign w:val="center"/>
            <w:hideMark/>
          </w:tcPr>
          <w:p w14:paraId="4ED4EC2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24213,66</w:t>
            </w:r>
          </w:p>
        </w:tc>
        <w:tc>
          <w:tcPr>
            <w:tcW w:w="851" w:type="dxa"/>
            <w:noWrap/>
            <w:vAlign w:val="center"/>
            <w:hideMark/>
          </w:tcPr>
          <w:p w14:paraId="597534B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-5254,23</w:t>
            </w:r>
          </w:p>
        </w:tc>
        <w:tc>
          <w:tcPr>
            <w:tcW w:w="709" w:type="dxa"/>
            <w:noWrap/>
            <w:vAlign w:val="center"/>
            <w:hideMark/>
          </w:tcPr>
          <w:p w14:paraId="00743D6E"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84,29</w:t>
            </w:r>
          </w:p>
        </w:tc>
        <w:tc>
          <w:tcPr>
            <w:tcW w:w="850" w:type="dxa"/>
            <w:noWrap/>
            <w:vAlign w:val="center"/>
            <w:hideMark/>
          </w:tcPr>
          <w:p w14:paraId="06655C7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6395,33</w:t>
            </w:r>
          </w:p>
        </w:tc>
        <w:tc>
          <w:tcPr>
            <w:tcW w:w="709" w:type="dxa"/>
            <w:noWrap/>
            <w:vAlign w:val="center"/>
            <w:hideMark/>
          </w:tcPr>
          <w:p w14:paraId="7999CB6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129,34</w:t>
            </w:r>
          </w:p>
        </w:tc>
      </w:tr>
      <w:tr w:rsidR="00827437" w:rsidRPr="00522104" w14:paraId="34F169E3" w14:textId="77777777" w:rsidTr="00E40BEE">
        <w:trPr>
          <w:trHeight w:val="600"/>
          <w:jc w:val="center"/>
        </w:trPr>
        <w:tc>
          <w:tcPr>
            <w:tcW w:w="1990" w:type="dxa"/>
            <w:hideMark/>
          </w:tcPr>
          <w:p w14:paraId="7B616EFD"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ЖИЛИЩНО-КОММУНАЛЬНОЕ ХОЗЯЙСТВО</w:t>
            </w:r>
          </w:p>
        </w:tc>
        <w:tc>
          <w:tcPr>
            <w:tcW w:w="992" w:type="dxa"/>
            <w:vAlign w:val="center"/>
            <w:hideMark/>
          </w:tcPr>
          <w:p w14:paraId="63EBDD7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11987,50</w:t>
            </w:r>
          </w:p>
        </w:tc>
        <w:tc>
          <w:tcPr>
            <w:tcW w:w="851" w:type="dxa"/>
            <w:vAlign w:val="center"/>
            <w:hideMark/>
          </w:tcPr>
          <w:p w14:paraId="6A9CEEB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19643,86</w:t>
            </w:r>
          </w:p>
        </w:tc>
        <w:tc>
          <w:tcPr>
            <w:tcW w:w="850" w:type="dxa"/>
            <w:noWrap/>
            <w:vAlign w:val="center"/>
            <w:hideMark/>
          </w:tcPr>
          <w:p w14:paraId="217F7279"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13874,91</w:t>
            </w:r>
          </w:p>
        </w:tc>
        <w:tc>
          <w:tcPr>
            <w:tcW w:w="992" w:type="dxa"/>
            <w:noWrap/>
            <w:vAlign w:val="center"/>
            <w:hideMark/>
          </w:tcPr>
          <w:p w14:paraId="31574D12"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19149,73</w:t>
            </w:r>
          </w:p>
        </w:tc>
        <w:tc>
          <w:tcPr>
            <w:tcW w:w="851" w:type="dxa"/>
            <w:noWrap/>
            <w:vAlign w:val="center"/>
            <w:hideMark/>
          </w:tcPr>
          <w:p w14:paraId="7D347F7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10442,12</w:t>
            </w:r>
          </w:p>
        </w:tc>
        <w:tc>
          <w:tcPr>
            <w:tcW w:w="850" w:type="dxa"/>
            <w:noWrap/>
            <w:vAlign w:val="center"/>
            <w:hideMark/>
          </w:tcPr>
          <w:p w14:paraId="620A962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7222,38</w:t>
            </w:r>
          </w:p>
        </w:tc>
        <w:tc>
          <w:tcPr>
            <w:tcW w:w="851" w:type="dxa"/>
            <w:noWrap/>
            <w:vAlign w:val="center"/>
            <w:hideMark/>
          </w:tcPr>
          <w:p w14:paraId="4B2E35B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-494,13</w:t>
            </w:r>
          </w:p>
        </w:tc>
        <w:tc>
          <w:tcPr>
            <w:tcW w:w="709" w:type="dxa"/>
            <w:noWrap/>
            <w:vAlign w:val="center"/>
            <w:hideMark/>
          </w:tcPr>
          <w:p w14:paraId="46D0BE59"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97,48</w:t>
            </w:r>
          </w:p>
        </w:tc>
        <w:tc>
          <w:tcPr>
            <w:tcW w:w="850" w:type="dxa"/>
            <w:noWrap/>
            <w:vAlign w:val="center"/>
            <w:hideMark/>
          </w:tcPr>
          <w:p w14:paraId="51232DA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5274,82</w:t>
            </w:r>
          </w:p>
        </w:tc>
        <w:tc>
          <w:tcPr>
            <w:tcW w:w="709" w:type="dxa"/>
            <w:noWrap/>
            <w:vAlign w:val="center"/>
            <w:hideMark/>
          </w:tcPr>
          <w:p w14:paraId="4D9A5666"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138,02</w:t>
            </w:r>
          </w:p>
        </w:tc>
      </w:tr>
      <w:tr w:rsidR="00827437" w:rsidRPr="00522104" w14:paraId="74115EFD" w14:textId="77777777" w:rsidTr="00E40BEE">
        <w:trPr>
          <w:trHeight w:val="600"/>
          <w:jc w:val="center"/>
        </w:trPr>
        <w:tc>
          <w:tcPr>
            <w:tcW w:w="1990" w:type="dxa"/>
            <w:hideMark/>
          </w:tcPr>
          <w:p w14:paraId="2C77F358"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ОХРАНА ОКРУЖАЮЩЕЙ СРЕДЫ</w:t>
            </w:r>
          </w:p>
        </w:tc>
        <w:tc>
          <w:tcPr>
            <w:tcW w:w="992" w:type="dxa"/>
            <w:vAlign w:val="center"/>
            <w:hideMark/>
          </w:tcPr>
          <w:p w14:paraId="10BF548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103,06</w:t>
            </w:r>
          </w:p>
        </w:tc>
        <w:tc>
          <w:tcPr>
            <w:tcW w:w="851" w:type="dxa"/>
            <w:vAlign w:val="center"/>
            <w:hideMark/>
          </w:tcPr>
          <w:p w14:paraId="171BA068"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112,21</w:t>
            </w:r>
          </w:p>
        </w:tc>
        <w:tc>
          <w:tcPr>
            <w:tcW w:w="850" w:type="dxa"/>
            <w:noWrap/>
            <w:vAlign w:val="center"/>
            <w:hideMark/>
          </w:tcPr>
          <w:p w14:paraId="19E580F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95,92</w:t>
            </w:r>
          </w:p>
        </w:tc>
        <w:tc>
          <w:tcPr>
            <w:tcW w:w="992" w:type="dxa"/>
            <w:noWrap/>
            <w:vAlign w:val="center"/>
            <w:hideMark/>
          </w:tcPr>
          <w:p w14:paraId="149031C9"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117,03</w:t>
            </w:r>
          </w:p>
        </w:tc>
        <w:tc>
          <w:tcPr>
            <w:tcW w:w="851" w:type="dxa"/>
            <w:noWrap/>
            <w:vAlign w:val="center"/>
            <w:hideMark/>
          </w:tcPr>
          <w:p w14:paraId="7AD2A124"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104,02</w:t>
            </w:r>
          </w:p>
        </w:tc>
        <w:tc>
          <w:tcPr>
            <w:tcW w:w="850" w:type="dxa"/>
            <w:noWrap/>
            <w:vAlign w:val="center"/>
            <w:hideMark/>
          </w:tcPr>
          <w:p w14:paraId="7D7CD9F6"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107,88</w:t>
            </w:r>
          </w:p>
        </w:tc>
        <w:tc>
          <w:tcPr>
            <w:tcW w:w="851" w:type="dxa"/>
            <w:noWrap/>
            <w:vAlign w:val="center"/>
            <w:hideMark/>
          </w:tcPr>
          <w:p w14:paraId="39C2A42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4,82</w:t>
            </w:r>
          </w:p>
        </w:tc>
        <w:tc>
          <w:tcPr>
            <w:tcW w:w="709" w:type="dxa"/>
            <w:noWrap/>
            <w:vAlign w:val="center"/>
            <w:hideMark/>
          </w:tcPr>
          <w:p w14:paraId="7B21759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104,30</w:t>
            </w:r>
          </w:p>
        </w:tc>
        <w:tc>
          <w:tcPr>
            <w:tcW w:w="850" w:type="dxa"/>
            <w:noWrap/>
            <w:vAlign w:val="center"/>
            <w:hideMark/>
          </w:tcPr>
          <w:p w14:paraId="4DAA005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21,11</w:t>
            </w:r>
          </w:p>
        </w:tc>
        <w:tc>
          <w:tcPr>
            <w:tcW w:w="709" w:type="dxa"/>
            <w:noWrap/>
            <w:vAlign w:val="center"/>
            <w:hideMark/>
          </w:tcPr>
          <w:p w14:paraId="0DDD0B9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122,01</w:t>
            </w:r>
          </w:p>
        </w:tc>
      </w:tr>
      <w:tr w:rsidR="00827437" w:rsidRPr="00522104" w14:paraId="63C9598C" w14:textId="77777777" w:rsidTr="00E40BEE">
        <w:trPr>
          <w:trHeight w:val="242"/>
          <w:jc w:val="center"/>
        </w:trPr>
        <w:tc>
          <w:tcPr>
            <w:tcW w:w="1990" w:type="dxa"/>
            <w:hideMark/>
          </w:tcPr>
          <w:p w14:paraId="5975FB48"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ОБРАЗОВАНИЕ</w:t>
            </w:r>
          </w:p>
        </w:tc>
        <w:tc>
          <w:tcPr>
            <w:tcW w:w="992" w:type="dxa"/>
            <w:vAlign w:val="center"/>
            <w:hideMark/>
          </w:tcPr>
          <w:p w14:paraId="1E35DE3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30225,05</w:t>
            </w:r>
          </w:p>
        </w:tc>
        <w:tc>
          <w:tcPr>
            <w:tcW w:w="851" w:type="dxa"/>
            <w:vAlign w:val="center"/>
            <w:hideMark/>
          </w:tcPr>
          <w:p w14:paraId="139B7EEA"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32638,48</w:t>
            </w:r>
          </w:p>
        </w:tc>
        <w:tc>
          <w:tcPr>
            <w:tcW w:w="850" w:type="dxa"/>
            <w:noWrap/>
            <w:vAlign w:val="center"/>
            <w:hideMark/>
          </w:tcPr>
          <w:p w14:paraId="4F6085B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28177,23</w:t>
            </w:r>
          </w:p>
        </w:tc>
        <w:tc>
          <w:tcPr>
            <w:tcW w:w="992" w:type="dxa"/>
            <w:noWrap/>
            <w:vAlign w:val="center"/>
            <w:hideMark/>
          </w:tcPr>
          <w:p w14:paraId="44F590F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31453,00</w:t>
            </w:r>
          </w:p>
        </w:tc>
        <w:tc>
          <w:tcPr>
            <w:tcW w:w="851" w:type="dxa"/>
            <w:noWrap/>
            <w:vAlign w:val="center"/>
            <w:hideMark/>
          </w:tcPr>
          <w:p w14:paraId="1BC85B3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31918,35</w:t>
            </w:r>
          </w:p>
        </w:tc>
        <w:tc>
          <w:tcPr>
            <w:tcW w:w="850" w:type="dxa"/>
            <w:noWrap/>
            <w:vAlign w:val="center"/>
            <w:hideMark/>
          </w:tcPr>
          <w:p w14:paraId="7060C30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33604,55</w:t>
            </w:r>
          </w:p>
        </w:tc>
        <w:tc>
          <w:tcPr>
            <w:tcW w:w="851" w:type="dxa"/>
            <w:noWrap/>
            <w:vAlign w:val="center"/>
            <w:hideMark/>
          </w:tcPr>
          <w:p w14:paraId="4B276A5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-1185,48</w:t>
            </w:r>
          </w:p>
        </w:tc>
        <w:tc>
          <w:tcPr>
            <w:tcW w:w="709" w:type="dxa"/>
            <w:noWrap/>
            <w:vAlign w:val="center"/>
            <w:hideMark/>
          </w:tcPr>
          <w:p w14:paraId="42267FD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96,37</w:t>
            </w:r>
          </w:p>
        </w:tc>
        <w:tc>
          <w:tcPr>
            <w:tcW w:w="850" w:type="dxa"/>
            <w:noWrap/>
            <w:vAlign w:val="center"/>
            <w:hideMark/>
          </w:tcPr>
          <w:p w14:paraId="5A04245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3275,77</w:t>
            </w:r>
          </w:p>
        </w:tc>
        <w:tc>
          <w:tcPr>
            <w:tcW w:w="709" w:type="dxa"/>
            <w:noWrap/>
            <w:vAlign w:val="center"/>
            <w:hideMark/>
          </w:tcPr>
          <w:p w14:paraId="6BF2FC6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111,63</w:t>
            </w:r>
          </w:p>
        </w:tc>
      </w:tr>
      <w:tr w:rsidR="00827437" w:rsidRPr="00522104" w14:paraId="1BEC7B0F" w14:textId="77777777" w:rsidTr="00E40BEE">
        <w:trPr>
          <w:trHeight w:val="437"/>
          <w:jc w:val="center"/>
        </w:trPr>
        <w:tc>
          <w:tcPr>
            <w:tcW w:w="1990" w:type="dxa"/>
            <w:hideMark/>
          </w:tcPr>
          <w:p w14:paraId="3E7D4C2A"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КУЛЬТУРА, КИНЕМАТОГРАФИЯ</w:t>
            </w:r>
          </w:p>
        </w:tc>
        <w:tc>
          <w:tcPr>
            <w:tcW w:w="992" w:type="dxa"/>
            <w:vAlign w:val="center"/>
            <w:hideMark/>
          </w:tcPr>
          <w:p w14:paraId="67DFCE3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1131,29</w:t>
            </w:r>
          </w:p>
        </w:tc>
        <w:tc>
          <w:tcPr>
            <w:tcW w:w="851" w:type="dxa"/>
            <w:vAlign w:val="center"/>
            <w:hideMark/>
          </w:tcPr>
          <w:p w14:paraId="0FF6B72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1335,27</w:t>
            </w:r>
          </w:p>
        </w:tc>
        <w:tc>
          <w:tcPr>
            <w:tcW w:w="850" w:type="dxa"/>
            <w:noWrap/>
            <w:vAlign w:val="center"/>
            <w:hideMark/>
          </w:tcPr>
          <w:p w14:paraId="06DC015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895,13</w:t>
            </w:r>
          </w:p>
        </w:tc>
        <w:tc>
          <w:tcPr>
            <w:tcW w:w="992" w:type="dxa"/>
            <w:noWrap/>
            <w:vAlign w:val="center"/>
            <w:hideMark/>
          </w:tcPr>
          <w:p w14:paraId="412D5C9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2064,65</w:t>
            </w:r>
          </w:p>
        </w:tc>
        <w:tc>
          <w:tcPr>
            <w:tcW w:w="851" w:type="dxa"/>
            <w:noWrap/>
            <w:vAlign w:val="center"/>
            <w:hideMark/>
          </w:tcPr>
          <w:p w14:paraId="04453CB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1811,48</w:t>
            </w:r>
          </w:p>
        </w:tc>
        <w:tc>
          <w:tcPr>
            <w:tcW w:w="850" w:type="dxa"/>
            <w:noWrap/>
            <w:vAlign w:val="center"/>
            <w:hideMark/>
          </w:tcPr>
          <w:p w14:paraId="6F35D1C6"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1385,90</w:t>
            </w:r>
          </w:p>
        </w:tc>
        <w:tc>
          <w:tcPr>
            <w:tcW w:w="851" w:type="dxa"/>
            <w:noWrap/>
            <w:vAlign w:val="center"/>
            <w:hideMark/>
          </w:tcPr>
          <w:p w14:paraId="7EBD8EB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729,38</w:t>
            </w:r>
          </w:p>
        </w:tc>
        <w:tc>
          <w:tcPr>
            <w:tcW w:w="709" w:type="dxa"/>
            <w:noWrap/>
            <w:vAlign w:val="center"/>
            <w:hideMark/>
          </w:tcPr>
          <w:p w14:paraId="4918F10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154,62</w:t>
            </w:r>
          </w:p>
        </w:tc>
        <w:tc>
          <w:tcPr>
            <w:tcW w:w="850" w:type="dxa"/>
            <w:noWrap/>
            <w:vAlign w:val="center"/>
            <w:hideMark/>
          </w:tcPr>
          <w:p w14:paraId="5CE263D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1169,52</w:t>
            </w:r>
          </w:p>
        </w:tc>
        <w:tc>
          <w:tcPr>
            <w:tcW w:w="709" w:type="dxa"/>
            <w:noWrap/>
            <w:vAlign w:val="center"/>
            <w:hideMark/>
          </w:tcPr>
          <w:p w14:paraId="741D1CF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230,65</w:t>
            </w:r>
          </w:p>
        </w:tc>
      </w:tr>
      <w:tr w:rsidR="00827437" w:rsidRPr="00522104" w14:paraId="6D01DA6F" w14:textId="77777777" w:rsidTr="00E40BEE">
        <w:trPr>
          <w:trHeight w:val="300"/>
          <w:jc w:val="center"/>
        </w:trPr>
        <w:tc>
          <w:tcPr>
            <w:tcW w:w="1990" w:type="dxa"/>
            <w:hideMark/>
          </w:tcPr>
          <w:p w14:paraId="5A39ADC3"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ЗДРАВООХРАНЕ-НИЕ</w:t>
            </w:r>
          </w:p>
        </w:tc>
        <w:tc>
          <w:tcPr>
            <w:tcW w:w="992" w:type="dxa"/>
            <w:vAlign w:val="center"/>
            <w:hideMark/>
          </w:tcPr>
          <w:p w14:paraId="71CBFE5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11592,37</w:t>
            </w:r>
          </w:p>
        </w:tc>
        <w:tc>
          <w:tcPr>
            <w:tcW w:w="851" w:type="dxa"/>
            <w:vAlign w:val="center"/>
            <w:hideMark/>
          </w:tcPr>
          <w:p w14:paraId="39E903AE"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14409,81</w:t>
            </w:r>
          </w:p>
        </w:tc>
        <w:tc>
          <w:tcPr>
            <w:tcW w:w="850" w:type="dxa"/>
            <w:noWrap/>
            <w:vAlign w:val="center"/>
            <w:hideMark/>
          </w:tcPr>
          <w:p w14:paraId="3B3F0D5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11281,97</w:t>
            </w:r>
          </w:p>
        </w:tc>
        <w:tc>
          <w:tcPr>
            <w:tcW w:w="992" w:type="dxa"/>
            <w:noWrap/>
            <w:vAlign w:val="center"/>
            <w:hideMark/>
          </w:tcPr>
          <w:p w14:paraId="7CEFA85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13940,99</w:t>
            </w:r>
          </w:p>
        </w:tc>
        <w:tc>
          <w:tcPr>
            <w:tcW w:w="851" w:type="dxa"/>
            <w:noWrap/>
            <w:vAlign w:val="center"/>
            <w:hideMark/>
          </w:tcPr>
          <w:p w14:paraId="111A9E8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11442,76</w:t>
            </w:r>
          </w:p>
        </w:tc>
        <w:tc>
          <w:tcPr>
            <w:tcW w:w="850" w:type="dxa"/>
            <w:noWrap/>
            <w:vAlign w:val="center"/>
            <w:hideMark/>
          </w:tcPr>
          <w:p w14:paraId="45405112"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11817,59</w:t>
            </w:r>
          </w:p>
        </w:tc>
        <w:tc>
          <w:tcPr>
            <w:tcW w:w="851" w:type="dxa"/>
            <w:noWrap/>
            <w:vAlign w:val="center"/>
            <w:hideMark/>
          </w:tcPr>
          <w:p w14:paraId="4F7309F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-468,82</w:t>
            </w:r>
          </w:p>
        </w:tc>
        <w:tc>
          <w:tcPr>
            <w:tcW w:w="709" w:type="dxa"/>
            <w:noWrap/>
            <w:vAlign w:val="center"/>
            <w:hideMark/>
          </w:tcPr>
          <w:p w14:paraId="0B51135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96,75</w:t>
            </w:r>
          </w:p>
        </w:tc>
        <w:tc>
          <w:tcPr>
            <w:tcW w:w="850" w:type="dxa"/>
            <w:noWrap/>
            <w:vAlign w:val="center"/>
            <w:hideMark/>
          </w:tcPr>
          <w:p w14:paraId="405F60D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2659,02</w:t>
            </w:r>
          </w:p>
        </w:tc>
        <w:tc>
          <w:tcPr>
            <w:tcW w:w="709" w:type="dxa"/>
            <w:noWrap/>
            <w:vAlign w:val="center"/>
            <w:hideMark/>
          </w:tcPr>
          <w:p w14:paraId="26141F4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123,57</w:t>
            </w:r>
          </w:p>
        </w:tc>
      </w:tr>
      <w:tr w:rsidR="00827437" w:rsidRPr="00522104" w14:paraId="4BB78DA8" w14:textId="77777777" w:rsidTr="00E40BEE">
        <w:trPr>
          <w:trHeight w:val="300"/>
          <w:jc w:val="center"/>
        </w:trPr>
        <w:tc>
          <w:tcPr>
            <w:tcW w:w="1990" w:type="dxa"/>
            <w:hideMark/>
          </w:tcPr>
          <w:p w14:paraId="7B25D220"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СОЦИАЛЬНАЯ ПОЛИТИКА</w:t>
            </w:r>
          </w:p>
        </w:tc>
        <w:tc>
          <w:tcPr>
            <w:tcW w:w="992" w:type="dxa"/>
            <w:vAlign w:val="center"/>
            <w:hideMark/>
          </w:tcPr>
          <w:p w14:paraId="74FB14E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45013,18</w:t>
            </w:r>
          </w:p>
        </w:tc>
        <w:tc>
          <w:tcPr>
            <w:tcW w:w="851" w:type="dxa"/>
            <w:vAlign w:val="center"/>
            <w:hideMark/>
          </w:tcPr>
          <w:p w14:paraId="5F5EB95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47934,88</w:t>
            </w:r>
          </w:p>
        </w:tc>
        <w:tc>
          <w:tcPr>
            <w:tcW w:w="850" w:type="dxa"/>
            <w:noWrap/>
            <w:vAlign w:val="center"/>
            <w:hideMark/>
          </w:tcPr>
          <w:p w14:paraId="4FF81D9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45209,91</w:t>
            </w:r>
          </w:p>
        </w:tc>
        <w:tc>
          <w:tcPr>
            <w:tcW w:w="992" w:type="dxa"/>
            <w:noWrap/>
            <w:vAlign w:val="center"/>
            <w:hideMark/>
          </w:tcPr>
          <w:p w14:paraId="7C93D01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47729,25</w:t>
            </w:r>
          </w:p>
        </w:tc>
        <w:tc>
          <w:tcPr>
            <w:tcW w:w="851" w:type="dxa"/>
            <w:noWrap/>
            <w:vAlign w:val="center"/>
            <w:hideMark/>
          </w:tcPr>
          <w:p w14:paraId="4DA20E7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51242,76</w:t>
            </w:r>
          </w:p>
        </w:tc>
        <w:tc>
          <w:tcPr>
            <w:tcW w:w="850" w:type="dxa"/>
            <w:noWrap/>
            <w:vAlign w:val="center"/>
            <w:hideMark/>
          </w:tcPr>
          <w:p w14:paraId="5D10DF0A"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53019,71</w:t>
            </w:r>
          </w:p>
        </w:tc>
        <w:tc>
          <w:tcPr>
            <w:tcW w:w="851" w:type="dxa"/>
            <w:noWrap/>
            <w:vAlign w:val="center"/>
            <w:hideMark/>
          </w:tcPr>
          <w:p w14:paraId="6B49623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-205,63</w:t>
            </w:r>
          </w:p>
        </w:tc>
        <w:tc>
          <w:tcPr>
            <w:tcW w:w="709" w:type="dxa"/>
            <w:noWrap/>
            <w:vAlign w:val="center"/>
            <w:hideMark/>
          </w:tcPr>
          <w:p w14:paraId="794AB5A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99,57</w:t>
            </w:r>
          </w:p>
        </w:tc>
        <w:tc>
          <w:tcPr>
            <w:tcW w:w="850" w:type="dxa"/>
            <w:noWrap/>
            <w:vAlign w:val="center"/>
            <w:hideMark/>
          </w:tcPr>
          <w:p w14:paraId="42285689"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2519,34</w:t>
            </w:r>
          </w:p>
        </w:tc>
        <w:tc>
          <w:tcPr>
            <w:tcW w:w="709" w:type="dxa"/>
            <w:noWrap/>
            <w:vAlign w:val="center"/>
            <w:hideMark/>
          </w:tcPr>
          <w:p w14:paraId="208C9186"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105,57</w:t>
            </w:r>
          </w:p>
        </w:tc>
      </w:tr>
      <w:tr w:rsidR="00827437" w:rsidRPr="00522104" w14:paraId="65B70767" w14:textId="77777777" w:rsidTr="00E40BEE">
        <w:trPr>
          <w:trHeight w:val="401"/>
          <w:jc w:val="center"/>
        </w:trPr>
        <w:tc>
          <w:tcPr>
            <w:tcW w:w="1990" w:type="dxa"/>
            <w:hideMark/>
          </w:tcPr>
          <w:p w14:paraId="5BC246EA"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ФИЗИЧЕСКАЯ КУЛЬТУРА И СПОРТ</w:t>
            </w:r>
          </w:p>
        </w:tc>
        <w:tc>
          <w:tcPr>
            <w:tcW w:w="992" w:type="dxa"/>
            <w:vAlign w:val="center"/>
            <w:hideMark/>
          </w:tcPr>
          <w:p w14:paraId="4727538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2557,19</w:t>
            </w:r>
          </w:p>
        </w:tc>
        <w:tc>
          <w:tcPr>
            <w:tcW w:w="851" w:type="dxa"/>
            <w:vAlign w:val="center"/>
            <w:hideMark/>
          </w:tcPr>
          <w:p w14:paraId="4ABC37B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2926,23</w:t>
            </w:r>
          </w:p>
        </w:tc>
        <w:tc>
          <w:tcPr>
            <w:tcW w:w="850" w:type="dxa"/>
            <w:noWrap/>
            <w:vAlign w:val="center"/>
            <w:hideMark/>
          </w:tcPr>
          <w:p w14:paraId="31B12604"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2587,55</w:t>
            </w:r>
          </w:p>
        </w:tc>
        <w:tc>
          <w:tcPr>
            <w:tcW w:w="992" w:type="dxa"/>
            <w:noWrap/>
            <w:vAlign w:val="center"/>
            <w:hideMark/>
          </w:tcPr>
          <w:p w14:paraId="740C417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3358,38</w:t>
            </w:r>
          </w:p>
        </w:tc>
        <w:tc>
          <w:tcPr>
            <w:tcW w:w="851" w:type="dxa"/>
            <w:noWrap/>
            <w:vAlign w:val="center"/>
            <w:hideMark/>
          </w:tcPr>
          <w:p w14:paraId="15376BAA"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2245,28</w:t>
            </w:r>
          </w:p>
        </w:tc>
        <w:tc>
          <w:tcPr>
            <w:tcW w:w="850" w:type="dxa"/>
            <w:noWrap/>
            <w:vAlign w:val="center"/>
            <w:hideMark/>
          </w:tcPr>
          <w:p w14:paraId="0A2A038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2136,05</w:t>
            </w:r>
          </w:p>
        </w:tc>
        <w:tc>
          <w:tcPr>
            <w:tcW w:w="851" w:type="dxa"/>
            <w:noWrap/>
            <w:vAlign w:val="center"/>
            <w:hideMark/>
          </w:tcPr>
          <w:p w14:paraId="08D6BA79"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432,15</w:t>
            </w:r>
          </w:p>
        </w:tc>
        <w:tc>
          <w:tcPr>
            <w:tcW w:w="709" w:type="dxa"/>
            <w:noWrap/>
            <w:vAlign w:val="center"/>
            <w:hideMark/>
          </w:tcPr>
          <w:p w14:paraId="30BC78A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114,77</w:t>
            </w:r>
          </w:p>
        </w:tc>
        <w:tc>
          <w:tcPr>
            <w:tcW w:w="850" w:type="dxa"/>
            <w:noWrap/>
            <w:vAlign w:val="center"/>
            <w:hideMark/>
          </w:tcPr>
          <w:p w14:paraId="496E014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770,83</w:t>
            </w:r>
          </w:p>
        </w:tc>
        <w:tc>
          <w:tcPr>
            <w:tcW w:w="709" w:type="dxa"/>
            <w:noWrap/>
            <w:vAlign w:val="center"/>
            <w:hideMark/>
          </w:tcPr>
          <w:p w14:paraId="1C32D8E2"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129,79</w:t>
            </w:r>
          </w:p>
        </w:tc>
      </w:tr>
      <w:tr w:rsidR="00827437" w:rsidRPr="00522104" w14:paraId="1AD70571" w14:textId="77777777" w:rsidTr="00E40BEE">
        <w:trPr>
          <w:trHeight w:val="600"/>
          <w:jc w:val="center"/>
        </w:trPr>
        <w:tc>
          <w:tcPr>
            <w:tcW w:w="1990" w:type="dxa"/>
            <w:hideMark/>
          </w:tcPr>
          <w:p w14:paraId="39A3E830"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СРЕДСТВА МАССОВОЙ ИНФОРМАЦИИ</w:t>
            </w:r>
          </w:p>
        </w:tc>
        <w:tc>
          <w:tcPr>
            <w:tcW w:w="992" w:type="dxa"/>
            <w:vAlign w:val="center"/>
            <w:hideMark/>
          </w:tcPr>
          <w:p w14:paraId="600F573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380,79</w:t>
            </w:r>
          </w:p>
        </w:tc>
        <w:tc>
          <w:tcPr>
            <w:tcW w:w="851" w:type="dxa"/>
            <w:vAlign w:val="center"/>
            <w:hideMark/>
          </w:tcPr>
          <w:p w14:paraId="4792F59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359,19</w:t>
            </w:r>
          </w:p>
        </w:tc>
        <w:tc>
          <w:tcPr>
            <w:tcW w:w="850" w:type="dxa"/>
            <w:noWrap/>
            <w:vAlign w:val="center"/>
            <w:hideMark/>
          </w:tcPr>
          <w:p w14:paraId="6BE546D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377,64</w:t>
            </w:r>
          </w:p>
        </w:tc>
        <w:tc>
          <w:tcPr>
            <w:tcW w:w="992" w:type="dxa"/>
            <w:noWrap/>
            <w:vAlign w:val="center"/>
            <w:hideMark/>
          </w:tcPr>
          <w:p w14:paraId="55DAEEB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356,28</w:t>
            </w:r>
          </w:p>
        </w:tc>
        <w:tc>
          <w:tcPr>
            <w:tcW w:w="851" w:type="dxa"/>
            <w:noWrap/>
            <w:vAlign w:val="center"/>
            <w:hideMark/>
          </w:tcPr>
          <w:p w14:paraId="4B05734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368,00</w:t>
            </w:r>
          </w:p>
        </w:tc>
        <w:tc>
          <w:tcPr>
            <w:tcW w:w="850" w:type="dxa"/>
            <w:noWrap/>
            <w:vAlign w:val="center"/>
            <w:hideMark/>
          </w:tcPr>
          <w:p w14:paraId="2B24EBA6"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374,30</w:t>
            </w:r>
          </w:p>
        </w:tc>
        <w:tc>
          <w:tcPr>
            <w:tcW w:w="851" w:type="dxa"/>
            <w:noWrap/>
            <w:vAlign w:val="center"/>
            <w:hideMark/>
          </w:tcPr>
          <w:p w14:paraId="42710C42"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-2,91</w:t>
            </w:r>
          </w:p>
        </w:tc>
        <w:tc>
          <w:tcPr>
            <w:tcW w:w="709" w:type="dxa"/>
            <w:noWrap/>
            <w:vAlign w:val="center"/>
            <w:hideMark/>
          </w:tcPr>
          <w:p w14:paraId="05F0085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99,19</w:t>
            </w:r>
          </w:p>
        </w:tc>
        <w:tc>
          <w:tcPr>
            <w:tcW w:w="850" w:type="dxa"/>
            <w:noWrap/>
            <w:vAlign w:val="center"/>
            <w:hideMark/>
          </w:tcPr>
          <w:p w14:paraId="647D76B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-21,36</w:t>
            </w:r>
          </w:p>
        </w:tc>
        <w:tc>
          <w:tcPr>
            <w:tcW w:w="709" w:type="dxa"/>
            <w:noWrap/>
            <w:vAlign w:val="center"/>
            <w:hideMark/>
          </w:tcPr>
          <w:p w14:paraId="3C40BE7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94,34</w:t>
            </w:r>
          </w:p>
        </w:tc>
      </w:tr>
      <w:tr w:rsidR="00827437" w:rsidRPr="00522104" w14:paraId="0BCF07EA" w14:textId="77777777" w:rsidTr="00E40BEE">
        <w:trPr>
          <w:trHeight w:val="514"/>
          <w:jc w:val="center"/>
        </w:trPr>
        <w:tc>
          <w:tcPr>
            <w:tcW w:w="1990" w:type="dxa"/>
            <w:hideMark/>
          </w:tcPr>
          <w:p w14:paraId="45F8745A"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ОБСЛУЖИВАНИЕ ГОСУДАРСТВЕННОГО И МУНИЦИПАЛЬНО-ГО ДОЛГА</w:t>
            </w:r>
          </w:p>
        </w:tc>
        <w:tc>
          <w:tcPr>
            <w:tcW w:w="992" w:type="dxa"/>
            <w:vAlign w:val="center"/>
            <w:hideMark/>
          </w:tcPr>
          <w:p w14:paraId="6794724A"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594,29</w:t>
            </w:r>
          </w:p>
        </w:tc>
        <w:tc>
          <w:tcPr>
            <w:tcW w:w="851" w:type="dxa"/>
            <w:vAlign w:val="center"/>
            <w:hideMark/>
          </w:tcPr>
          <w:p w14:paraId="44F179A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78,20</w:t>
            </w:r>
          </w:p>
        </w:tc>
        <w:tc>
          <w:tcPr>
            <w:tcW w:w="850" w:type="dxa"/>
            <w:noWrap/>
            <w:vAlign w:val="center"/>
            <w:hideMark/>
          </w:tcPr>
          <w:p w14:paraId="7ED56777"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594,29</w:t>
            </w:r>
          </w:p>
        </w:tc>
        <w:tc>
          <w:tcPr>
            <w:tcW w:w="992" w:type="dxa"/>
            <w:noWrap/>
            <w:vAlign w:val="center"/>
            <w:hideMark/>
          </w:tcPr>
          <w:p w14:paraId="5BEF31F8"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594,29</w:t>
            </w:r>
          </w:p>
        </w:tc>
        <w:tc>
          <w:tcPr>
            <w:tcW w:w="851" w:type="dxa"/>
            <w:noWrap/>
            <w:vAlign w:val="center"/>
            <w:hideMark/>
          </w:tcPr>
          <w:p w14:paraId="025CED1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594,29</w:t>
            </w:r>
          </w:p>
        </w:tc>
        <w:tc>
          <w:tcPr>
            <w:tcW w:w="850" w:type="dxa"/>
            <w:noWrap/>
            <w:vAlign w:val="center"/>
            <w:hideMark/>
          </w:tcPr>
          <w:p w14:paraId="420101DF"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594,29</w:t>
            </w:r>
          </w:p>
        </w:tc>
        <w:tc>
          <w:tcPr>
            <w:tcW w:w="851" w:type="dxa"/>
            <w:noWrap/>
            <w:vAlign w:val="center"/>
            <w:hideMark/>
          </w:tcPr>
          <w:p w14:paraId="3BB1926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516,09</w:t>
            </w:r>
          </w:p>
        </w:tc>
        <w:tc>
          <w:tcPr>
            <w:tcW w:w="709" w:type="dxa"/>
            <w:noWrap/>
            <w:vAlign w:val="center"/>
            <w:hideMark/>
          </w:tcPr>
          <w:p w14:paraId="264AEB8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759,93</w:t>
            </w:r>
          </w:p>
        </w:tc>
        <w:tc>
          <w:tcPr>
            <w:tcW w:w="850" w:type="dxa"/>
            <w:noWrap/>
            <w:vAlign w:val="center"/>
            <w:hideMark/>
          </w:tcPr>
          <w:p w14:paraId="2339D5DC"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0,00</w:t>
            </w:r>
          </w:p>
        </w:tc>
        <w:tc>
          <w:tcPr>
            <w:tcW w:w="709" w:type="dxa"/>
            <w:noWrap/>
            <w:vAlign w:val="center"/>
            <w:hideMark/>
          </w:tcPr>
          <w:p w14:paraId="7CCE2785"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100,00</w:t>
            </w:r>
          </w:p>
        </w:tc>
      </w:tr>
      <w:tr w:rsidR="00827437" w:rsidRPr="00522104" w14:paraId="01CE08EE" w14:textId="77777777" w:rsidTr="00E40BEE">
        <w:trPr>
          <w:trHeight w:val="1500"/>
          <w:jc w:val="center"/>
        </w:trPr>
        <w:tc>
          <w:tcPr>
            <w:tcW w:w="1990" w:type="dxa"/>
            <w:hideMark/>
          </w:tcPr>
          <w:p w14:paraId="206F5362" w14:textId="77777777" w:rsidR="00827437" w:rsidRPr="00522104" w:rsidRDefault="00827437" w:rsidP="00CD3AC0">
            <w:pPr>
              <w:spacing w:before="40" w:after="40"/>
              <w:jc w:val="both"/>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МЕЖБЮДЖЕТНЫЕ ТРАНСФЕРТЫ ОБЩЕГО ХАРАКТЕРА БЮДЖЕТАМ БЮДЖЕТНОЙ СИСТЕМЫ РОССИЙСКОЙ ФЕДЕРАЦИИ</w:t>
            </w:r>
          </w:p>
        </w:tc>
        <w:tc>
          <w:tcPr>
            <w:tcW w:w="992" w:type="dxa"/>
            <w:vAlign w:val="center"/>
            <w:hideMark/>
          </w:tcPr>
          <w:p w14:paraId="69DE92FE"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3205,95</w:t>
            </w:r>
          </w:p>
        </w:tc>
        <w:tc>
          <w:tcPr>
            <w:tcW w:w="851" w:type="dxa"/>
            <w:vAlign w:val="center"/>
            <w:hideMark/>
          </w:tcPr>
          <w:p w14:paraId="1ABA038D"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4573,81</w:t>
            </w:r>
          </w:p>
        </w:tc>
        <w:tc>
          <w:tcPr>
            <w:tcW w:w="850" w:type="dxa"/>
            <w:noWrap/>
            <w:vAlign w:val="center"/>
            <w:hideMark/>
          </w:tcPr>
          <w:p w14:paraId="6D26F39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2022,64</w:t>
            </w:r>
          </w:p>
        </w:tc>
        <w:tc>
          <w:tcPr>
            <w:tcW w:w="992" w:type="dxa"/>
            <w:noWrap/>
            <w:vAlign w:val="center"/>
            <w:hideMark/>
          </w:tcPr>
          <w:p w14:paraId="0A5AD620"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4131,29</w:t>
            </w:r>
          </w:p>
        </w:tc>
        <w:tc>
          <w:tcPr>
            <w:tcW w:w="851" w:type="dxa"/>
            <w:noWrap/>
            <w:vAlign w:val="center"/>
            <w:hideMark/>
          </w:tcPr>
          <w:p w14:paraId="59D53203"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2369,15</w:t>
            </w:r>
          </w:p>
        </w:tc>
        <w:tc>
          <w:tcPr>
            <w:tcW w:w="850" w:type="dxa"/>
            <w:noWrap/>
            <w:vAlign w:val="center"/>
            <w:hideMark/>
          </w:tcPr>
          <w:p w14:paraId="62EC734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2323,26</w:t>
            </w:r>
          </w:p>
        </w:tc>
        <w:tc>
          <w:tcPr>
            <w:tcW w:w="851" w:type="dxa"/>
            <w:noWrap/>
            <w:vAlign w:val="center"/>
            <w:hideMark/>
          </w:tcPr>
          <w:p w14:paraId="240E8079"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-442,52</w:t>
            </w:r>
          </w:p>
        </w:tc>
        <w:tc>
          <w:tcPr>
            <w:tcW w:w="709" w:type="dxa"/>
            <w:noWrap/>
            <w:vAlign w:val="center"/>
            <w:hideMark/>
          </w:tcPr>
          <w:p w14:paraId="5B635F19"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90,32</w:t>
            </w:r>
          </w:p>
        </w:tc>
        <w:tc>
          <w:tcPr>
            <w:tcW w:w="850" w:type="dxa"/>
            <w:noWrap/>
            <w:vAlign w:val="center"/>
            <w:hideMark/>
          </w:tcPr>
          <w:p w14:paraId="0E442451"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2108,65</w:t>
            </w:r>
          </w:p>
        </w:tc>
        <w:tc>
          <w:tcPr>
            <w:tcW w:w="709" w:type="dxa"/>
            <w:noWrap/>
            <w:vAlign w:val="center"/>
            <w:hideMark/>
          </w:tcPr>
          <w:p w14:paraId="6731EFEB" w14:textId="77777777" w:rsidR="00827437" w:rsidRPr="00522104" w:rsidRDefault="00827437" w:rsidP="00CD3AC0">
            <w:pPr>
              <w:spacing w:before="40" w:after="4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204,25</w:t>
            </w:r>
          </w:p>
        </w:tc>
      </w:tr>
      <w:tr w:rsidR="00827437" w:rsidRPr="00522104" w14:paraId="5C6E380A" w14:textId="77777777" w:rsidTr="00E40BEE">
        <w:trPr>
          <w:trHeight w:val="556"/>
          <w:jc w:val="center"/>
        </w:trPr>
        <w:tc>
          <w:tcPr>
            <w:tcW w:w="1990" w:type="dxa"/>
          </w:tcPr>
          <w:p w14:paraId="58393DEB" w14:textId="77777777" w:rsidR="00827437" w:rsidRPr="00522104" w:rsidRDefault="00827437" w:rsidP="00CD3AC0">
            <w:pPr>
              <w:spacing w:before="40" w:after="40"/>
              <w:jc w:val="both"/>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Условно утвержденные расходы</w:t>
            </w:r>
          </w:p>
        </w:tc>
        <w:tc>
          <w:tcPr>
            <w:tcW w:w="992" w:type="dxa"/>
            <w:vAlign w:val="center"/>
          </w:tcPr>
          <w:p w14:paraId="270947B4" w14:textId="77777777" w:rsidR="00827437" w:rsidRPr="00522104" w:rsidRDefault="00827437" w:rsidP="00CD3AC0">
            <w:pPr>
              <w:spacing w:before="40" w:after="40"/>
              <w:jc w:val="right"/>
              <w:rPr>
                <w:rFonts w:ascii="Times New Roman" w:eastAsia="Times New Roman" w:hAnsi="Times New Roman" w:cs="Times New Roman"/>
                <w:i/>
                <w:sz w:val="20"/>
                <w:szCs w:val="20"/>
                <w:lang w:eastAsia="ru-RU"/>
              </w:rPr>
            </w:pPr>
          </w:p>
        </w:tc>
        <w:tc>
          <w:tcPr>
            <w:tcW w:w="851" w:type="dxa"/>
            <w:vAlign w:val="center"/>
          </w:tcPr>
          <w:p w14:paraId="2A107B04" w14:textId="77777777" w:rsidR="00827437" w:rsidRPr="00522104" w:rsidRDefault="00827437" w:rsidP="00CD3AC0">
            <w:pPr>
              <w:spacing w:before="40" w:after="40"/>
              <w:jc w:val="right"/>
              <w:rPr>
                <w:rFonts w:ascii="Times New Roman" w:eastAsia="Times New Roman" w:hAnsi="Times New Roman" w:cs="Times New Roman"/>
                <w:i/>
                <w:sz w:val="20"/>
                <w:szCs w:val="20"/>
                <w:lang w:eastAsia="ru-RU"/>
              </w:rPr>
            </w:pPr>
          </w:p>
        </w:tc>
        <w:tc>
          <w:tcPr>
            <w:tcW w:w="850" w:type="dxa"/>
            <w:noWrap/>
            <w:vAlign w:val="center"/>
          </w:tcPr>
          <w:p w14:paraId="554C0BE3" w14:textId="77777777" w:rsidR="00827437" w:rsidRPr="00522104" w:rsidRDefault="00827437" w:rsidP="00CD3AC0">
            <w:pPr>
              <w:spacing w:before="40" w:after="40"/>
              <w:jc w:val="right"/>
              <w:rPr>
                <w:rFonts w:ascii="Times New Roman" w:eastAsia="Times New Roman" w:hAnsi="Times New Roman" w:cs="Times New Roman"/>
                <w:i/>
                <w:sz w:val="18"/>
                <w:szCs w:val="18"/>
                <w:lang w:eastAsia="ru-RU"/>
              </w:rPr>
            </w:pPr>
            <w:r w:rsidRPr="00522104">
              <w:rPr>
                <w:rFonts w:ascii="Times New Roman" w:eastAsia="Times New Roman" w:hAnsi="Times New Roman" w:cs="Times New Roman"/>
                <w:i/>
                <w:sz w:val="18"/>
                <w:szCs w:val="18"/>
                <w:lang w:eastAsia="ru-RU"/>
              </w:rPr>
              <w:t>2736,20</w:t>
            </w:r>
          </w:p>
        </w:tc>
        <w:tc>
          <w:tcPr>
            <w:tcW w:w="992" w:type="dxa"/>
            <w:noWrap/>
            <w:vAlign w:val="center"/>
          </w:tcPr>
          <w:p w14:paraId="6170EF96" w14:textId="77777777" w:rsidR="00827437" w:rsidRPr="00522104" w:rsidRDefault="00827437" w:rsidP="00CD3AC0">
            <w:pPr>
              <w:spacing w:before="40" w:after="40"/>
              <w:jc w:val="right"/>
              <w:rPr>
                <w:rFonts w:ascii="Times New Roman" w:eastAsia="Times New Roman" w:hAnsi="Times New Roman" w:cs="Times New Roman"/>
                <w:i/>
                <w:sz w:val="18"/>
                <w:szCs w:val="18"/>
                <w:lang w:eastAsia="ru-RU"/>
              </w:rPr>
            </w:pPr>
          </w:p>
        </w:tc>
        <w:tc>
          <w:tcPr>
            <w:tcW w:w="851" w:type="dxa"/>
            <w:noWrap/>
            <w:vAlign w:val="center"/>
          </w:tcPr>
          <w:p w14:paraId="44A42B74" w14:textId="77777777" w:rsidR="00827437" w:rsidRPr="00522104" w:rsidRDefault="00827437" w:rsidP="00CD3AC0">
            <w:pPr>
              <w:spacing w:before="40" w:after="40"/>
              <w:jc w:val="right"/>
              <w:rPr>
                <w:rFonts w:ascii="Times New Roman" w:eastAsia="Times New Roman" w:hAnsi="Times New Roman" w:cs="Times New Roman"/>
                <w:i/>
                <w:sz w:val="18"/>
                <w:szCs w:val="18"/>
                <w:lang w:eastAsia="ru-RU"/>
              </w:rPr>
            </w:pPr>
            <w:r w:rsidRPr="00522104">
              <w:rPr>
                <w:rFonts w:ascii="Times New Roman" w:eastAsia="Times New Roman" w:hAnsi="Times New Roman" w:cs="Times New Roman"/>
                <w:i/>
                <w:sz w:val="18"/>
                <w:szCs w:val="18"/>
                <w:lang w:eastAsia="ru-RU"/>
              </w:rPr>
              <w:t>2921,53</w:t>
            </w:r>
          </w:p>
        </w:tc>
        <w:tc>
          <w:tcPr>
            <w:tcW w:w="850" w:type="dxa"/>
            <w:noWrap/>
            <w:vAlign w:val="center"/>
          </w:tcPr>
          <w:p w14:paraId="6923D270" w14:textId="77777777" w:rsidR="00827437" w:rsidRPr="00522104" w:rsidRDefault="00827437" w:rsidP="00CD3AC0">
            <w:pPr>
              <w:spacing w:before="40" w:after="40"/>
              <w:jc w:val="right"/>
              <w:rPr>
                <w:rFonts w:ascii="Times New Roman" w:eastAsia="Times New Roman" w:hAnsi="Times New Roman" w:cs="Times New Roman"/>
                <w:i/>
                <w:sz w:val="18"/>
                <w:szCs w:val="18"/>
                <w:lang w:eastAsia="ru-RU"/>
              </w:rPr>
            </w:pPr>
            <w:r w:rsidRPr="00522104">
              <w:rPr>
                <w:rFonts w:ascii="Times New Roman" w:eastAsia="Times New Roman" w:hAnsi="Times New Roman" w:cs="Times New Roman"/>
                <w:i/>
                <w:sz w:val="18"/>
                <w:szCs w:val="18"/>
                <w:lang w:eastAsia="ru-RU"/>
              </w:rPr>
              <w:t>5926,97</w:t>
            </w:r>
          </w:p>
        </w:tc>
        <w:tc>
          <w:tcPr>
            <w:tcW w:w="851" w:type="dxa"/>
            <w:noWrap/>
            <w:vAlign w:val="center"/>
          </w:tcPr>
          <w:p w14:paraId="1E4CEF9A" w14:textId="77777777" w:rsidR="00827437" w:rsidRPr="00522104" w:rsidRDefault="00827437" w:rsidP="00CD3AC0">
            <w:pPr>
              <w:spacing w:before="40" w:after="40"/>
              <w:jc w:val="right"/>
              <w:rPr>
                <w:rFonts w:ascii="Times New Roman" w:eastAsia="Times New Roman" w:hAnsi="Times New Roman" w:cs="Times New Roman"/>
                <w:i/>
                <w:sz w:val="20"/>
                <w:szCs w:val="20"/>
                <w:lang w:eastAsia="ru-RU"/>
              </w:rPr>
            </w:pPr>
          </w:p>
        </w:tc>
        <w:tc>
          <w:tcPr>
            <w:tcW w:w="709" w:type="dxa"/>
            <w:noWrap/>
            <w:vAlign w:val="center"/>
          </w:tcPr>
          <w:p w14:paraId="0890A36B" w14:textId="77777777" w:rsidR="00827437" w:rsidRPr="00522104" w:rsidRDefault="00827437" w:rsidP="00CD3AC0">
            <w:pPr>
              <w:spacing w:before="40" w:after="40"/>
              <w:jc w:val="right"/>
              <w:rPr>
                <w:rFonts w:ascii="Times New Roman" w:eastAsia="Times New Roman" w:hAnsi="Times New Roman" w:cs="Times New Roman"/>
                <w:i/>
                <w:sz w:val="20"/>
                <w:szCs w:val="20"/>
                <w:lang w:eastAsia="ru-RU"/>
              </w:rPr>
            </w:pPr>
          </w:p>
        </w:tc>
        <w:tc>
          <w:tcPr>
            <w:tcW w:w="850" w:type="dxa"/>
            <w:noWrap/>
            <w:vAlign w:val="center"/>
          </w:tcPr>
          <w:p w14:paraId="2FD9E363" w14:textId="77777777" w:rsidR="00827437" w:rsidRPr="00522104" w:rsidRDefault="00827437" w:rsidP="00CD3AC0">
            <w:pPr>
              <w:spacing w:before="40" w:after="40"/>
              <w:jc w:val="right"/>
              <w:rPr>
                <w:rFonts w:ascii="Times New Roman" w:eastAsia="Times New Roman" w:hAnsi="Times New Roman" w:cs="Times New Roman"/>
                <w:i/>
                <w:sz w:val="20"/>
                <w:szCs w:val="20"/>
                <w:lang w:eastAsia="ru-RU"/>
              </w:rPr>
            </w:pPr>
          </w:p>
        </w:tc>
        <w:tc>
          <w:tcPr>
            <w:tcW w:w="709" w:type="dxa"/>
            <w:noWrap/>
            <w:vAlign w:val="center"/>
          </w:tcPr>
          <w:p w14:paraId="54F52A8D" w14:textId="77777777" w:rsidR="00827437" w:rsidRPr="00522104" w:rsidRDefault="00827437" w:rsidP="00CD3AC0">
            <w:pPr>
              <w:spacing w:before="40" w:after="40"/>
              <w:jc w:val="right"/>
              <w:rPr>
                <w:rFonts w:ascii="Times New Roman" w:eastAsia="Times New Roman" w:hAnsi="Times New Roman" w:cs="Times New Roman"/>
                <w:i/>
                <w:sz w:val="20"/>
                <w:szCs w:val="20"/>
                <w:lang w:eastAsia="ru-RU"/>
              </w:rPr>
            </w:pPr>
          </w:p>
        </w:tc>
      </w:tr>
      <w:tr w:rsidR="00827437" w:rsidRPr="00522104" w14:paraId="3E23D261" w14:textId="77777777" w:rsidTr="00E40BEE">
        <w:trPr>
          <w:trHeight w:val="300"/>
          <w:jc w:val="center"/>
        </w:trPr>
        <w:tc>
          <w:tcPr>
            <w:tcW w:w="1990" w:type="dxa"/>
            <w:vAlign w:val="center"/>
            <w:hideMark/>
          </w:tcPr>
          <w:p w14:paraId="0B68C927" w14:textId="0B51967E" w:rsidR="00827437" w:rsidRPr="00522104" w:rsidRDefault="00827437" w:rsidP="00CD3AC0">
            <w:pPr>
              <w:spacing w:before="40" w:after="40"/>
              <w:jc w:val="both"/>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Всего расходов</w:t>
            </w:r>
          </w:p>
        </w:tc>
        <w:tc>
          <w:tcPr>
            <w:tcW w:w="992" w:type="dxa"/>
            <w:noWrap/>
            <w:vAlign w:val="center"/>
            <w:hideMark/>
          </w:tcPr>
          <w:p w14:paraId="4DF997C3"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144036,52</w:t>
            </w:r>
          </w:p>
        </w:tc>
        <w:tc>
          <w:tcPr>
            <w:tcW w:w="851" w:type="dxa"/>
            <w:noWrap/>
            <w:vAlign w:val="center"/>
            <w:hideMark/>
          </w:tcPr>
          <w:p w14:paraId="7B3FEF53"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166307,38</w:t>
            </w:r>
          </w:p>
        </w:tc>
        <w:tc>
          <w:tcPr>
            <w:tcW w:w="850" w:type="dxa"/>
            <w:noWrap/>
            <w:vAlign w:val="center"/>
            <w:hideMark/>
          </w:tcPr>
          <w:p w14:paraId="5ECD3B09"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137259,47</w:t>
            </w:r>
          </w:p>
        </w:tc>
        <w:tc>
          <w:tcPr>
            <w:tcW w:w="992" w:type="dxa"/>
            <w:noWrap/>
            <w:vAlign w:val="center"/>
            <w:hideMark/>
          </w:tcPr>
          <w:p w14:paraId="025EBA17"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159581,61</w:t>
            </w:r>
          </w:p>
        </w:tc>
        <w:tc>
          <w:tcPr>
            <w:tcW w:w="851" w:type="dxa"/>
            <w:noWrap/>
            <w:vAlign w:val="center"/>
            <w:hideMark/>
          </w:tcPr>
          <w:p w14:paraId="0715B477"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148224,52</w:t>
            </w:r>
          </w:p>
        </w:tc>
        <w:tc>
          <w:tcPr>
            <w:tcW w:w="850" w:type="dxa"/>
            <w:noWrap/>
            <w:vAlign w:val="center"/>
            <w:hideMark/>
          </w:tcPr>
          <w:p w14:paraId="66B8DDDF"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151001,70</w:t>
            </w:r>
          </w:p>
        </w:tc>
        <w:tc>
          <w:tcPr>
            <w:tcW w:w="851" w:type="dxa"/>
            <w:noWrap/>
            <w:vAlign w:val="center"/>
            <w:hideMark/>
          </w:tcPr>
          <w:p w14:paraId="5D249E06"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-6725,77</w:t>
            </w:r>
          </w:p>
        </w:tc>
        <w:tc>
          <w:tcPr>
            <w:tcW w:w="709" w:type="dxa"/>
            <w:noWrap/>
            <w:vAlign w:val="center"/>
            <w:hideMark/>
          </w:tcPr>
          <w:p w14:paraId="60CF3DEB"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95,96</w:t>
            </w:r>
          </w:p>
        </w:tc>
        <w:tc>
          <w:tcPr>
            <w:tcW w:w="850" w:type="dxa"/>
            <w:noWrap/>
            <w:vAlign w:val="center"/>
            <w:hideMark/>
          </w:tcPr>
          <w:p w14:paraId="0987563D"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22322,14</w:t>
            </w:r>
          </w:p>
        </w:tc>
        <w:tc>
          <w:tcPr>
            <w:tcW w:w="709" w:type="dxa"/>
            <w:noWrap/>
            <w:vAlign w:val="center"/>
            <w:hideMark/>
          </w:tcPr>
          <w:p w14:paraId="28040AEC" w14:textId="77777777" w:rsidR="00827437" w:rsidRPr="00522104" w:rsidRDefault="00827437" w:rsidP="00CD3AC0">
            <w:pPr>
              <w:spacing w:before="40" w:after="40"/>
              <w:jc w:val="right"/>
              <w:rPr>
                <w:rFonts w:ascii="Times New Roman" w:eastAsia="Times New Roman" w:hAnsi="Times New Roman" w:cs="Times New Roman"/>
                <w:b/>
                <w:bCs/>
                <w:sz w:val="14"/>
                <w:szCs w:val="14"/>
                <w:lang w:eastAsia="ru-RU"/>
              </w:rPr>
            </w:pPr>
            <w:r w:rsidRPr="00522104">
              <w:rPr>
                <w:rFonts w:ascii="Times New Roman" w:eastAsia="Times New Roman" w:hAnsi="Times New Roman" w:cs="Times New Roman"/>
                <w:b/>
                <w:bCs/>
                <w:sz w:val="14"/>
                <w:szCs w:val="14"/>
                <w:lang w:eastAsia="ru-RU"/>
              </w:rPr>
              <w:t>116,26</w:t>
            </w:r>
          </w:p>
        </w:tc>
      </w:tr>
    </w:tbl>
    <w:p w14:paraId="7F4ABA7C" w14:textId="77777777" w:rsidR="00827437" w:rsidRPr="00522104" w:rsidRDefault="00827437" w:rsidP="00827437">
      <w:pPr>
        <w:spacing w:after="0" w:line="240" w:lineRule="auto"/>
        <w:jc w:val="both"/>
        <w:rPr>
          <w:rFonts w:ascii="Times New Roman" w:eastAsia="Times New Roman" w:hAnsi="Times New Roman" w:cs="Times New Roman"/>
          <w:sz w:val="28"/>
          <w:szCs w:val="28"/>
          <w:lang w:eastAsia="ru-RU"/>
        </w:rPr>
      </w:pPr>
    </w:p>
    <w:p w14:paraId="70E132C9"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Как видно из таблицы, законопроектом на 2022 год по сравнению с утвержденными назначениями из 14 разделов производятся корректировки по 13 разделам: увеличение по 12 разделам, уменьшение по 1.</w:t>
      </w:r>
    </w:p>
    <w:p w14:paraId="0A664016"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Анализ распределения назначений, утвержденных Законом № 969-КЗ на 2021 и 2022 годы, и планируемых законопроектом расходов на 2022 год в разрезе 14 разделов бюджетной классификации приведен на диаграмме (в общем объеме расходов краевого бюджета, без учета условно утвержденных расходов, по долям в %).</w:t>
      </w:r>
    </w:p>
    <w:p w14:paraId="0FB5313C" w14:textId="77777777" w:rsidR="00827437" w:rsidRPr="00522104" w:rsidRDefault="00827437" w:rsidP="00827437">
      <w:pPr>
        <w:spacing w:after="0" w:line="240" w:lineRule="auto"/>
        <w:rPr>
          <w:rFonts w:ascii="Times New Roman" w:eastAsia="Calibri" w:hAnsi="Times New Roman" w:cs="Times New Roman"/>
          <w:noProof/>
          <w:lang w:eastAsia="ru-RU"/>
        </w:rPr>
      </w:pPr>
    </w:p>
    <w:p w14:paraId="352E88D7" w14:textId="77777777" w:rsidR="00827437" w:rsidRPr="00522104" w:rsidRDefault="00827437" w:rsidP="00827437">
      <w:pPr>
        <w:spacing w:after="0" w:line="240" w:lineRule="auto"/>
        <w:rPr>
          <w:rFonts w:ascii="Times New Roman" w:eastAsia="Times New Roman" w:hAnsi="Times New Roman" w:cs="Times New Roman"/>
          <w:sz w:val="28"/>
          <w:szCs w:val="28"/>
          <w:lang w:eastAsia="ru-RU"/>
        </w:rPr>
      </w:pPr>
      <w:r w:rsidRPr="00522104">
        <w:rPr>
          <w:rFonts w:ascii="Times New Roman" w:hAnsi="Times New Roman" w:cs="Times New Roman"/>
          <w:noProof/>
          <w:lang w:eastAsia="ru-RU"/>
        </w:rPr>
        <w:drawing>
          <wp:inline distT="0" distB="0" distL="0" distR="0" wp14:anchorId="0506C2F8" wp14:editId="3811B2BC">
            <wp:extent cx="5864225" cy="5817995"/>
            <wp:effectExtent l="0" t="0" r="3175" b="0"/>
            <wp:docPr id="77"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54462DE" w14:textId="77777777" w:rsidR="00827437" w:rsidRPr="00522104" w:rsidRDefault="00827437" w:rsidP="00827437">
      <w:pPr>
        <w:pStyle w:val="af1"/>
        <w:spacing w:after="0" w:line="240" w:lineRule="auto"/>
        <w:ind w:left="0" w:firstLine="720"/>
        <w:jc w:val="both"/>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*Прочие разделы – разделы, занимающие в 2022 году менее 1 % от общих расходов краевого бюджета: "Национальная оборона" (0,02 %), "Охрана окружающей среды" (0,07 %), "Средства массовой информации" (0,22 %); "Обслуживание государственного и муниципального долга" (0,38 %).</w:t>
      </w:r>
    </w:p>
    <w:p w14:paraId="3B91B26B"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p>
    <w:p w14:paraId="5F768F8E"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Краевой бюджет социально-ориентирован. Законопроектом на 2022 год доля расходов, планируемых на социально-культурную сферу, составит 61,75 % от общей суммы расходов. </w:t>
      </w:r>
    </w:p>
    <w:p w14:paraId="626E2EDF" w14:textId="083DBA69"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Как и в текущем году, в законопроекте в ведомственной классификации расходы на 2022 год распределены по 44 главным распорядителям бюджетных средств (далее – ГРБС). </w:t>
      </w:r>
    </w:p>
    <w:p w14:paraId="38091D9E"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Традиционно, основной планируемый в 2022 году объем расходов краевого бюджета (64,30 %) приходится на четыре ГРБС: министерство образования Приморского края (18,90 %), министерство труда и социальной политики Приморского края (17,99 %), министерство здравоохранения Приморского края (16,52 %), министерство транспорта и дорожного хозяйства Приморского края (10,89 %). </w:t>
      </w:r>
    </w:p>
    <w:p w14:paraId="50C212DC"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По сравнению с утвержденными на 2022 год назначениями увеличение планируется по 43 ГРБС, кроме Законодательного Собрания Приморского края, по которому производится сокращение бюджетных расходов. Наиболее значительное увеличение представлено по министерству транспорта и дорожного хозяйства Приморского края – на 3386,77 млн рублей (утвержденные назначения на 2022 год – 13988,74 млн рублей, законопроект на 2022 год – 17375,52 млн рублей), министерству строительства Приморского края – 4143,68 млн рублей (утвержденные назначения на 2022 год – 6731,53 млн рублей, законопроект на 2022 год – 10875,21 млн рублей).</w:t>
      </w:r>
    </w:p>
    <w:p w14:paraId="405A614E" w14:textId="32F6CBA6" w:rsidR="00827437" w:rsidRPr="00522104" w:rsidRDefault="00827437" w:rsidP="00827437">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Подробнее анализ отклонений планируемых законопроектом расходов на 2022-2024 годы, утвержденных назначений на 2021 и 2022 годы по ведомственной структуре</w:t>
      </w:r>
      <w:r w:rsidR="00062FB3"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представлен в </w:t>
      </w:r>
      <w:r w:rsidR="005017FF" w:rsidRPr="00522104">
        <w:rPr>
          <w:rFonts w:ascii="Times New Roman" w:eastAsia="Calibri" w:hAnsi="Times New Roman" w:cs="Times New Roman"/>
          <w:sz w:val="28"/>
          <w:szCs w:val="28"/>
        </w:rPr>
        <w:t>приложении 2</w:t>
      </w:r>
      <w:r w:rsidRPr="00522104">
        <w:rPr>
          <w:rFonts w:ascii="Times New Roman" w:eastAsia="Calibri" w:hAnsi="Times New Roman" w:cs="Times New Roman"/>
          <w:sz w:val="28"/>
          <w:szCs w:val="28"/>
        </w:rPr>
        <w:t>.</w:t>
      </w:r>
    </w:p>
    <w:p w14:paraId="6653CFF1"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программной структуре краевой бюджет сформирован на основе 20 государственных программ Приморского края. Доля расходов краевого бюджета (без учета условно распределенных расходов), запланированных в законопроекте на реализацию программных мероприятий в 2022 году, составила 97,88 %, непрограммных направлений деятельности органов государственной власти – 2,12 %. На плановый период 2023 года – соответственно 97,42 % и 2,58 %, 2024 года – 97,33 % и 2,67 %.</w:t>
      </w:r>
    </w:p>
    <w:p w14:paraId="385D2BE4" w14:textId="650EFD0A"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Анализ распределения планируемых бюджетных ассигнований на 2022 год в разрезе ГРБС по программным и непрограммным расходам краевого бюджета в сравнении с утвержденными назначениями на тот же период и предыдущим годом представлено в </w:t>
      </w:r>
      <w:r w:rsidR="00703DE4" w:rsidRPr="00522104">
        <w:rPr>
          <w:rFonts w:ascii="Times New Roman" w:eastAsia="Times New Roman" w:hAnsi="Times New Roman" w:cs="Times New Roman"/>
          <w:sz w:val="28"/>
          <w:szCs w:val="28"/>
          <w:lang w:eastAsia="ru-RU"/>
        </w:rPr>
        <w:t>приложении 3</w:t>
      </w:r>
      <w:r w:rsidRPr="00522104">
        <w:rPr>
          <w:rFonts w:ascii="Times New Roman" w:eastAsia="Times New Roman" w:hAnsi="Times New Roman" w:cs="Times New Roman"/>
          <w:sz w:val="28"/>
          <w:szCs w:val="28"/>
          <w:lang w:eastAsia="ru-RU"/>
        </w:rPr>
        <w:t>.</w:t>
      </w:r>
    </w:p>
    <w:p w14:paraId="69698D69"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Подробный анализ о планируемых законопроектом бюджетных ассигнованиях на 2022 год в разрезе государственных программ Приморского края и непрограммных расходов представлен в разделах 5.1 и 5.2 заключения. </w:t>
      </w:r>
    </w:p>
    <w:p w14:paraId="1162EF35" w14:textId="239DE9C9" w:rsidR="00827437" w:rsidRPr="00522104" w:rsidRDefault="00827437" w:rsidP="00827437">
      <w:pPr>
        <w:spacing w:after="0" w:line="240" w:lineRule="auto"/>
        <w:ind w:firstLine="708"/>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Национальные проекты</w:t>
      </w:r>
      <w:r w:rsidR="00E14704">
        <w:rPr>
          <w:rFonts w:ascii="Times New Roman" w:eastAsia="Times New Roman" w:hAnsi="Times New Roman" w:cs="Times New Roman"/>
          <w:b/>
          <w:sz w:val="28"/>
          <w:szCs w:val="28"/>
          <w:lang w:eastAsia="ru-RU"/>
        </w:rPr>
        <w:t>.</w:t>
      </w:r>
    </w:p>
    <w:p w14:paraId="1B7F739C"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Законопроектом на очередной финансовый год планируется финансирование мероприятий 12 национальных проектов (далее – НП), реализуемых через 35 федеральных проектов (далее – ФП), встроенных в структуру 16 государственных программ Приморского края (далее – ГП) на общую сумму 22218,62 млн рублей, что больше на 2316,64 млн рублей утвержденных назначений на тот же год (19901,98 млн рублей). </w:t>
      </w:r>
    </w:p>
    <w:p w14:paraId="0382F9B9" w14:textId="259C0D83"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На плановый период 2023 года законопроектом прогнозируется реализация мероприятий 11 НП через 34 ФП в рамках 14 ГП на общую сумму 18676,90 млн рублей, на 2024 год – 11 НП через 33 ФП в 14 ГП на сумму 17773,9</w:t>
      </w:r>
      <w:r w:rsidR="00587973" w:rsidRPr="00522104">
        <w:rPr>
          <w:rFonts w:ascii="Times New Roman" w:eastAsia="Calibri" w:hAnsi="Times New Roman" w:cs="Times New Roman"/>
          <w:sz w:val="28"/>
          <w:szCs w:val="28"/>
        </w:rPr>
        <w:t>5</w:t>
      </w:r>
      <w:r w:rsidRPr="00522104">
        <w:rPr>
          <w:rFonts w:ascii="Times New Roman" w:eastAsia="Calibri" w:hAnsi="Times New Roman" w:cs="Times New Roman"/>
          <w:sz w:val="28"/>
          <w:szCs w:val="28"/>
        </w:rPr>
        <w:t xml:space="preserve"> млн рублей.  </w:t>
      </w:r>
    </w:p>
    <w:p w14:paraId="52B2DDB6" w14:textId="77777777" w:rsidR="00827437" w:rsidRPr="00522104" w:rsidRDefault="00827437" w:rsidP="00827437">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При составлении заключения Контрольно-счетной палатой приняты во внимание действующие на день внесения законопроекта на рассмотрение Законодательного Собрания Приморского края (29.10.2021) редакции региональных проектов Приморского края. </w:t>
      </w:r>
    </w:p>
    <w:p w14:paraId="32F06F1A" w14:textId="69BA9A79" w:rsidR="00827437" w:rsidRPr="00522104" w:rsidRDefault="00827437" w:rsidP="00827437">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Отмечаем, что как и в 2021 году, законопроектом на 2022 год планируется реализация мероприятий ФП "Развитие туристической инфраструктуры" в целях реализации НП "Туризм и индустрия гостеприимства". Однако по настоящее время региональный проект, обеспечивающий достижение целей, показателей и результатов, не утвержден.</w:t>
      </w:r>
    </w:p>
    <w:p w14:paraId="298392CD" w14:textId="77777777" w:rsidR="00997D83" w:rsidRPr="00522104" w:rsidRDefault="00997D83" w:rsidP="00997D83">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Контрольно-счетная палата в ходе проведения оценки соответствия финансового обеспечения реализации РП в паспортах РП в действующей редакции и предложенного законопроектом на 2022-2024 годы, отмечает следующее:</w:t>
      </w:r>
    </w:p>
    <w:p w14:paraId="37A39C9D" w14:textId="21539FF3" w:rsidR="00997D83" w:rsidRPr="00522104" w:rsidRDefault="00997D83" w:rsidP="00997D83">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 финансовое обеспечение, указанное в соответствующем разделе паспортов РП, из 3</w:t>
      </w:r>
      <w:r w:rsidR="00B77934" w:rsidRPr="00522104">
        <w:rPr>
          <w:rFonts w:ascii="Times New Roman" w:hAnsi="Times New Roman" w:cs="Times New Roman"/>
          <w:sz w:val="28"/>
          <w:szCs w:val="28"/>
        </w:rPr>
        <w:t>3</w:t>
      </w:r>
      <w:r w:rsidRPr="00522104">
        <w:rPr>
          <w:rFonts w:ascii="Times New Roman" w:hAnsi="Times New Roman" w:cs="Times New Roman"/>
          <w:sz w:val="28"/>
          <w:szCs w:val="28"/>
        </w:rPr>
        <w:t xml:space="preserve"> проанализированных паспортов</w:t>
      </w:r>
      <w:r w:rsidR="00B77934" w:rsidRPr="00522104">
        <w:rPr>
          <w:rFonts w:ascii="Times New Roman" w:hAnsi="Times New Roman" w:cs="Times New Roman"/>
          <w:sz w:val="28"/>
          <w:szCs w:val="28"/>
        </w:rPr>
        <w:t xml:space="preserve"> (предоставленных агентством проектного управления Приморского края на момент составления заключения)</w:t>
      </w:r>
      <w:r w:rsidRPr="00522104">
        <w:rPr>
          <w:rFonts w:ascii="Times New Roman" w:hAnsi="Times New Roman" w:cs="Times New Roman"/>
          <w:sz w:val="28"/>
          <w:szCs w:val="28"/>
        </w:rPr>
        <w:t>, на 2022-2024 годы полностью соответствует только в РП "Чистая вода", "Цифровая культура", на 2022-2023 годы – в РП "Цифровая образовательная среда", "Поддержка самозанятых" и "Адресная поддержка повышения производительности труда на предприятиях";</w:t>
      </w:r>
    </w:p>
    <w:p w14:paraId="1ABBFA38" w14:textId="77777777" w:rsidR="00997D83" w:rsidRPr="00522104" w:rsidRDefault="00997D83" w:rsidP="00997D83">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объем финансового обеспечения на 2024 год отсутствует (имеет нулевые значения) по 25 РП.</w:t>
      </w:r>
    </w:p>
    <w:p w14:paraId="5A0C32D6" w14:textId="77777777" w:rsidR="00523815" w:rsidRPr="00522104" w:rsidRDefault="00523815" w:rsidP="00523815">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Кроме того, установлено несоответствие раздела "Финансовое обеспечение" в 6 паспортах РП, обеспечивающих достижение целей, результатов и показателей НП "Здравоохранение", 4 РП НП "Образование", 1 РП НП "Безопасные качественные автомобильные дороги", 1 РП НП "Жилье и городская среда" и 1 РП НП "Цифровая экономика". </w:t>
      </w:r>
    </w:p>
    <w:p w14:paraId="2107343B" w14:textId="1EA4CC88" w:rsidR="00523815" w:rsidRPr="00522104" w:rsidRDefault="00523815" w:rsidP="00523815">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паспортах данных РП в объем финансового обеспечения за счет консолидированного бюджета Приморского края включается объем средств за счет федерального бюджета (в том числе межбюджетные трансферты бюджету Приморского края), тогда как согласно методических указаний по подготовке НП, ФП и ведомственных проектов</w:t>
      </w:r>
      <w:r w:rsidRPr="00522104">
        <w:rPr>
          <w:rStyle w:val="af"/>
          <w:rFonts w:ascii="Times New Roman" w:hAnsi="Times New Roman" w:cs="Times New Roman"/>
          <w:sz w:val="28"/>
          <w:szCs w:val="28"/>
        </w:rPr>
        <w:footnoteReference w:id="10"/>
      </w:r>
      <w:r w:rsidRPr="00522104">
        <w:rPr>
          <w:rFonts w:ascii="Times New Roman" w:hAnsi="Times New Roman" w:cs="Times New Roman"/>
          <w:sz w:val="28"/>
          <w:szCs w:val="28"/>
        </w:rPr>
        <w:t xml:space="preserve"> (разработк</w:t>
      </w:r>
      <w:r w:rsidR="00BE1F03" w:rsidRPr="00522104">
        <w:rPr>
          <w:rFonts w:ascii="Times New Roman" w:hAnsi="Times New Roman" w:cs="Times New Roman"/>
          <w:sz w:val="28"/>
          <w:szCs w:val="28"/>
        </w:rPr>
        <w:t>у</w:t>
      </w:r>
      <w:r w:rsidRPr="00522104">
        <w:rPr>
          <w:rFonts w:ascii="Times New Roman" w:hAnsi="Times New Roman" w:cs="Times New Roman"/>
          <w:sz w:val="28"/>
          <w:szCs w:val="28"/>
        </w:rPr>
        <w:t xml:space="preserve"> паспортов РП рекомендуется осуществлять по форме, аналогичной форме, применяемой для ФП)</w:t>
      </w:r>
      <w:r w:rsidRPr="00522104">
        <w:rPr>
          <w:rStyle w:val="af"/>
          <w:rFonts w:ascii="Times New Roman" w:hAnsi="Times New Roman" w:cs="Times New Roman"/>
          <w:sz w:val="28"/>
          <w:szCs w:val="28"/>
        </w:rPr>
        <w:t xml:space="preserve"> </w:t>
      </w:r>
      <w:r w:rsidRPr="00522104">
        <w:rPr>
          <w:rFonts w:ascii="Times New Roman" w:hAnsi="Times New Roman" w:cs="Times New Roman"/>
          <w:sz w:val="28"/>
          <w:szCs w:val="28"/>
        </w:rPr>
        <w:t>федеральный бюджет (в том числе межбюджетные трансферты бюджету субъекта Российской Федерации) – отдельный источник финансового обеспечения</w:t>
      </w:r>
      <w:r w:rsidRPr="00522104">
        <w:rPr>
          <w:rStyle w:val="af"/>
          <w:rFonts w:ascii="Times New Roman" w:hAnsi="Times New Roman" w:cs="Times New Roman"/>
          <w:sz w:val="28"/>
          <w:szCs w:val="28"/>
        </w:rPr>
        <w:footnoteReference w:id="11"/>
      </w:r>
      <w:r w:rsidRPr="00522104">
        <w:rPr>
          <w:rFonts w:ascii="Times New Roman" w:hAnsi="Times New Roman" w:cs="Times New Roman"/>
          <w:sz w:val="28"/>
          <w:szCs w:val="28"/>
        </w:rPr>
        <w:t>.</w:t>
      </w:r>
    </w:p>
    <w:p w14:paraId="2C6B71E8" w14:textId="77777777" w:rsidR="00523815" w:rsidRPr="00522104" w:rsidRDefault="00523815" w:rsidP="00523815">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Также необходимо отметить, что при составлении формы по финансовому обеспечению в "Итого по региональному проекту" (в том числе по источникам финансового обеспечения) в 4 паспортах РП НП "Здравоохранение", допущены ошибки по отнесению сумм к тем или иным источникам. В РП "Старшее поколение" в итоговых суммах по консолидированному бюджету Приморского края стоят суммы с учетом федерального бюджета. В РП "Укрепление общественного здоровья" консолидированный бюджет Приморского края не разделен на соответствующие источники. </w:t>
      </w:r>
    </w:p>
    <w:p w14:paraId="2D4E797D" w14:textId="06E29F1B" w:rsidR="00997D83" w:rsidRPr="00522104" w:rsidRDefault="00997D83" w:rsidP="00997D83">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На основании изложенного выше Контрольно-счетная палата рекомендует </w:t>
      </w:r>
      <w:r w:rsidR="00923B9B">
        <w:rPr>
          <w:rFonts w:ascii="Times New Roman" w:hAnsi="Times New Roman" w:cs="Times New Roman"/>
          <w:sz w:val="28"/>
          <w:szCs w:val="28"/>
        </w:rPr>
        <w:t xml:space="preserve">органам исполнительной власти Приморского края </w:t>
      </w:r>
      <w:r w:rsidRPr="00522104">
        <w:rPr>
          <w:rFonts w:ascii="Times New Roman" w:hAnsi="Times New Roman" w:cs="Times New Roman"/>
          <w:sz w:val="28"/>
          <w:szCs w:val="28"/>
        </w:rPr>
        <w:t xml:space="preserve">привести в соответствие финансовое обеспечение РП, а также паспорта РП согласно методическим </w:t>
      </w:r>
      <w:r w:rsidR="00A63166">
        <w:rPr>
          <w:rFonts w:ascii="Times New Roman" w:hAnsi="Times New Roman" w:cs="Times New Roman"/>
          <w:sz w:val="28"/>
          <w:szCs w:val="28"/>
        </w:rPr>
        <w:t>указаниям</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и устранить ошибки, возникшие при формировании паспортов.   </w:t>
      </w:r>
    </w:p>
    <w:p w14:paraId="4CE30612" w14:textId="2685BFE0" w:rsidR="00827437" w:rsidRPr="00522104" w:rsidRDefault="00827437" w:rsidP="00827437">
      <w:pPr>
        <w:spacing w:after="0" w:line="240" w:lineRule="auto"/>
        <w:ind w:firstLine="680"/>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Вся информация о планируемых расходах по ФП в рамках ГП представлена в приложении</w:t>
      </w:r>
      <w:r w:rsidR="00052C44" w:rsidRPr="00522104">
        <w:rPr>
          <w:rFonts w:ascii="Times New Roman" w:eastAsia="Calibri" w:hAnsi="Times New Roman" w:cs="Times New Roman"/>
          <w:sz w:val="28"/>
          <w:szCs w:val="28"/>
        </w:rPr>
        <w:t xml:space="preserve"> 4</w:t>
      </w:r>
      <w:r w:rsidRPr="00522104">
        <w:rPr>
          <w:rFonts w:ascii="Times New Roman" w:eastAsia="Calibri" w:hAnsi="Times New Roman" w:cs="Times New Roman"/>
          <w:sz w:val="28"/>
          <w:szCs w:val="28"/>
        </w:rPr>
        <w:t>.</w:t>
      </w:r>
    </w:p>
    <w:p w14:paraId="3C6CC146" w14:textId="77777777" w:rsidR="00827437" w:rsidRPr="00522104" w:rsidRDefault="00827437" w:rsidP="00827437">
      <w:pPr>
        <w:spacing w:after="0" w:line="240" w:lineRule="auto"/>
        <w:ind w:firstLine="720"/>
        <w:rPr>
          <w:rFonts w:ascii="Times New Roman" w:eastAsia="Times New Roman" w:hAnsi="Times New Roman" w:cs="Times New Roman"/>
          <w:bCs/>
          <w:sz w:val="28"/>
          <w:szCs w:val="28"/>
          <w:lang w:eastAsia="ru-RU"/>
        </w:rPr>
      </w:pPr>
    </w:p>
    <w:p w14:paraId="333F6103" w14:textId="77777777" w:rsidR="00827437" w:rsidRPr="00522104" w:rsidRDefault="00827437" w:rsidP="00827437">
      <w:pPr>
        <w:spacing w:after="0" w:line="240" w:lineRule="auto"/>
        <w:ind w:firstLine="720"/>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5.1. Государственные программы Приморского края.</w:t>
      </w:r>
    </w:p>
    <w:p w14:paraId="21798DFA" w14:textId="4493FF4C" w:rsidR="00827437" w:rsidRPr="00522104" w:rsidRDefault="00827437" w:rsidP="00827437">
      <w:pPr>
        <w:widowControl w:val="0"/>
        <w:tabs>
          <w:tab w:val="left" w:pos="1809"/>
        </w:tabs>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bCs/>
          <w:sz w:val="28"/>
          <w:szCs w:val="28"/>
          <w:shd w:val="clear" w:color="auto" w:fill="FFFFFF"/>
          <w:lang w:eastAsia="ru-RU" w:bidi="ru-RU"/>
        </w:rPr>
        <w:t xml:space="preserve">Предоставленные к законопроекту проекты паспортов </w:t>
      </w:r>
      <w:r w:rsidRPr="00522104">
        <w:rPr>
          <w:rFonts w:ascii="Times New Roman" w:eastAsia="Times New Roman" w:hAnsi="Times New Roman" w:cs="Times New Roman"/>
          <w:sz w:val="28"/>
          <w:szCs w:val="28"/>
        </w:rPr>
        <w:t xml:space="preserve">содержат обобщенную информацию об ответственных исполнителях, соисполнителях, подпрограммах, целях, задачах, показателях, объемах бюджетных ассигнований, ожидаемых результатах реализации по госпрограммам. Отсутствие информации о ресурсном обеспечении мероприятий ГП и целевых показателях в разрезе подпрограмм и мероприятий не позволяет проанализировать их соотношение в динамике в 2022-2024 годах. </w:t>
      </w:r>
    </w:p>
    <w:p w14:paraId="4F487A26" w14:textId="77777777" w:rsidR="00827437" w:rsidRPr="00522104" w:rsidRDefault="00827437" w:rsidP="00827437">
      <w:pPr>
        <w:widowControl w:val="0"/>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 xml:space="preserve">Законопроект, а также материалы и документы, представленные одновременно с ним, </w:t>
      </w:r>
      <w:r w:rsidRPr="00522104">
        <w:rPr>
          <w:rFonts w:ascii="Times New Roman" w:eastAsia="Times New Roman" w:hAnsi="Times New Roman" w:cs="Times New Roman"/>
          <w:bCs/>
          <w:sz w:val="28"/>
          <w:szCs w:val="28"/>
          <w:shd w:val="clear" w:color="auto" w:fill="FFFFFF"/>
          <w:lang w:eastAsia="ru-RU" w:bidi="ru-RU"/>
        </w:rPr>
        <w:t xml:space="preserve">не дают взаимоувязанную оценку </w:t>
      </w:r>
      <w:r w:rsidRPr="00522104">
        <w:rPr>
          <w:rFonts w:ascii="Times New Roman" w:eastAsia="Times New Roman" w:hAnsi="Times New Roman" w:cs="Times New Roman"/>
          <w:sz w:val="28"/>
          <w:szCs w:val="28"/>
        </w:rPr>
        <w:t xml:space="preserve">достижения целей ГП, целесообразность и результативность использования финансовых ресурсов на 2022 год и плановый период 2023 и 2024 годов. </w:t>
      </w:r>
    </w:p>
    <w:p w14:paraId="4BF77835" w14:textId="77777777" w:rsidR="006474EC" w:rsidRPr="00522104" w:rsidRDefault="00827437" w:rsidP="0082743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Законопроектом на 2022 год расходы </w:t>
      </w:r>
      <w:r w:rsidR="002A4A07" w:rsidRPr="00522104">
        <w:rPr>
          <w:rFonts w:ascii="Times New Roman" w:eastAsia="Times New Roman" w:hAnsi="Times New Roman" w:cs="Times New Roman"/>
          <w:sz w:val="28"/>
          <w:szCs w:val="28"/>
          <w:lang w:eastAsia="ru-RU"/>
        </w:rPr>
        <w:t xml:space="preserve">и плановый период 2023-2024 годов </w:t>
      </w:r>
      <w:r w:rsidRPr="00522104">
        <w:rPr>
          <w:rFonts w:ascii="Times New Roman" w:eastAsia="Times New Roman" w:hAnsi="Times New Roman" w:cs="Times New Roman"/>
          <w:sz w:val="28"/>
          <w:szCs w:val="28"/>
          <w:lang w:eastAsia="ru-RU"/>
        </w:rPr>
        <w:t>планируются на реализацию 20</w:t>
      </w:r>
      <w:r w:rsidR="002A4A07"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государственных программам</w:t>
      </w:r>
      <w:r w:rsidR="006474EC" w:rsidRPr="00522104">
        <w:rPr>
          <w:rFonts w:ascii="Times New Roman" w:eastAsia="Times New Roman" w:hAnsi="Times New Roman" w:cs="Times New Roman"/>
          <w:sz w:val="28"/>
          <w:szCs w:val="28"/>
          <w:lang w:eastAsia="ru-RU"/>
        </w:rPr>
        <w:t xml:space="preserve">. </w:t>
      </w:r>
    </w:p>
    <w:p w14:paraId="2A82E4D7" w14:textId="27E59466" w:rsidR="00827437" w:rsidRPr="00522104" w:rsidRDefault="006474EC" w:rsidP="0082743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2022 году</w:t>
      </w:r>
      <w:r w:rsidR="00827437"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программные расходы </w:t>
      </w:r>
      <w:r w:rsidR="00827437" w:rsidRPr="00522104">
        <w:rPr>
          <w:rFonts w:ascii="Times New Roman" w:eastAsia="Times New Roman" w:hAnsi="Times New Roman" w:cs="Times New Roman"/>
          <w:sz w:val="28"/>
          <w:szCs w:val="28"/>
          <w:lang w:eastAsia="ru-RU"/>
        </w:rPr>
        <w:t>состав</w:t>
      </w:r>
      <w:r w:rsidRPr="00522104">
        <w:rPr>
          <w:rFonts w:ascii="Times New Roman" w:eastAsia="Times New Roman" w:hAnsi="Times New Roman" w:cs="Times New Roman"/>
          <w:sz w:val="28"/>
          <w:szCs w:val="28"/>
          <w:lang w:eastAsia="ru-RU"/>
        </w:rPr>
        <w:t>ят</w:t>
      </w:r>
      <w:r w:rsidR="00827437" w:rsidRPr="00522104">
        <w:rPr>
          <w:rFonts w:ascii="Times New Roman" w:eastAsia="Times New Roman" w:hAnsi="Times New Roman" w:cs="Times New Roman"/>
          <w:sz w:val="28"/>
          <w:szCs w:val="28"/>
          <w:lang w:eastAsia="ru-RU"/>
        </w:rPr>
        <w:t xml:space="preserve"> 156201,03 млн рублей, или 97,88 % общего объема расходов </w:t>
      </w:r>
      <w:r w:rsidR="00827437" w:rsidRPr="00522104">
        <w:rPr>
          <w:rFonts w:ascii="Times New Roman" w:eastAsiaTheme="minorEastAsia" w:hAnsi="Times New Roman" w:cs="Times New Roman"/>
          <w:sz w:val="28"/>
          <w:szCs w:val="28"/>
          <w:lang w:eastAsia="ru-RU"/>
        </w:rPr>
        <w:t>(159581,61 млн рублей)</w:t>
      </w:r>
      <w:r w:rsidR="001D1F1F"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w:t>
      </w:r>
      <w:r w:rsidR="001D1F1F" w:rsidRPr="00522104">
        <w:rPr>
          <w:rFonts w:ascii="Times New Roman" w:eastAsiaTheme="minorEastAsia" w:hAnsi="Times New Roman" w:cs="Times New Roman"/>
          <w:sz w:val="28"/>
          <w:szCs w:val="28"/>
          <w:lang w:eastAsia="ru-RU"/>
        </w:rPr>
        <w:t xml:space="preserve">На плановый период (без учета условно распределенных расходов) </w:t>
      </w:r>
      <w:r w:rsidRPr="00522104">
        <w:rPr>
          <w:rFonts w:ascii="Times New Roman" w:eastAsiaTheme="minorEastAsia" w:hAnsi="Times New Roman" w:cs="Times New Roman"/>
          <w:sz w:val="28"/>
          <w:szCs w:val="28"/>
          <w:lang w:eastAsia="ru-RU"/>
        </w:rPr>
        <w:t>2023 год</w:t>
      </w:r>
      <w:r w:rsidR="001D1F1F" w:rsidRPr="00522104">
        <w:rPr>
          <w:rFonts w:ascii="Times New Roman" w:eastAsiaTheme="minorEastAsia" w:hAnsi="Times New Roman" w:cs="Times New Roman"/>
          <w:sz w:val="28"/>
          <w:szCs w:val="28"/>
          <w:lang w:eastAsia="ru-RU"/>
        </w:rPr>
        <w:t>а</w:t>
      </w:r>
      <w:r w:rsidRPr="00522104">
        <w:rPr>
          <w:rFonts w:ascii="Times New Roman" w:eastAsiaTheme="minorEastAsia" w:hAnsi="Times New Roman" w:cs="Times New Roman"/>
          <w:sz w:val="28"/>
          <w:szCs w:val="28"/>
          <w:lang w:eastAsia="ru-RU"/>
        </w:rPr>
        <w:t xml:space="preserve"> </w:t>
      </w:r>
      <w:r w:rsidR="008A249B"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141555,72 млн рублей (97,42 %), 2024 год</w:t>
      </w:r>
      <w:r w:rsidR="001D1F1F" w:rsidRPr="00522104">
        <w:rPr>
          <w:rFonts w:ascii="Times New Roman" w:eastAsiaTheme="minorEastAsia" w:hAnsi="Times New Roman" w:cs="Times New Roman"/>
          <w:sz w:val="28"/>
          <w:szCs w:val="28"/>
          <w:lang w:eastAsia="ru-RU"/>
        </w:rPr>
        <w:t>а</w:t>
      </w:r>
      <w:r w:rsidRPr="00522104">
        <w:rPr>
          <w:rFonts w:ascii="Times New Roman" w:eastAsiaTheme="minorEastAsia" w:hAnsi="Times New Roman" w:cs="Times New Roman"/>
          <w:sz w:val="28"/>
          <w:szCs w:val="28"/>
          <w:lang w:eastAsia="ru-RU"/>
        </w:rPr>
        <w:t xml:space="preserve"> </w:t>
      </w:r>
      <w:r w:rsidR="008A249B"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141200,26 млн рублей (97,33 %)</w:t>
      </w:r>
      <w:r w:rsidR="00827437" w:rsidRPr="00522104">
        <w:rPr>
          <w:rFonts w:ascii="Times New Roman" w:eastAsiaTheme="minorEastAsia" w:hAnsi="Times New Roman" w:cs="Times New Roman"/>
          <w:sz w:val="28"/>
          <w:szCs w:val="28"/>
          <w:lang w:eastAsia="ru-RU"/>
        </w:rPr>
        <w:t>.</w:t>
      </w:r>
      <w:r w:rsidR="00827437" w:rsidRPr="00522104">
        <w:rPr>
          <w:rFonts w:ascii="Times New Roman" w:eastAsia="Times New Roman" w:hAnsi="Times New Roman" w:cs="Times New Roman"/>
          <w:sz w:val="28"/>
          <w:szCs w:val="28"/>
          <w:lang w:eastAsia="ru-RU"/>
        </w:rPr>
        <w:t xml:space="preserve"> </w:t>
      </w:r>
    </w:p>
    <w:p w14:paraId="7A91C832" w14:textId="77777777" w:rsidR="00827437" w:rsidRPr="00522104" w:rsidRDefault="00827437" w:rsidP="0082743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Данные о количестве ГП, о планируемых объемах бюджетных ассигнований законом о краевом бюджете на текущий год и законопроектом на очередной финансовый год и плановый период приведены в таблице. </w:t>
      </w:r>
    </w:p>
    <w:p w14:paraId="45BA19EE" w14:textId="77777777" w:rsidR="00827437" w:rsidRPr="00522104" w:rsidRDefault="00827437" w:rsidP="00827437">
      <w:pPr>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p>
    <w:tbl>
      <w:tblPr>
        <w:tblW w:w="9362" w:type="dxa"/>
        <w:tblInd w:w="93" w:type="dxa"/>
        <w:tblLayout w:type="fixed"/>
        <w:tblLook w:val="04A0" w:firstRow="1" w:lastRow="0" w:firstColumn="1" w:lastColumn="0" w:noHBand="0" w:noVBand="1"/>
      </w:tblPr>
      <w:tblGrid>
        <w:gridCol w:w="2029"/>
        <w:gridCol w:w="1559"/>
        <w:gridCol w:w="1880"/>
        <w:gridCol w:w="1298"/>
        <w:gridCol w:w="1311"/>
        <w:gridCol w:w="1285"/>
      </w:tblGrid>
      <w:tr w:rsidR="00827437" w:rsidRPr="00522104" w14:paraId="747E1C76" w14:textId="77777777" w:rsidTr="00E40BEE">
        <w:trPr>
          <w:trHeight w:val="300"/>
          <w:tblHeader/>
        </w:trPr>
        <w:tc>
          <w:tcPr>
            <w:tcW w:w="20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18B5E"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Наименование показателей</w:t>
            </w:r>
          </w:p>
        </w:tc>
        <w:tc>
          <w:tcPr>
            <w:tcW w:w="3439" w:type="dxa"/>
            <w:gridSpan w:val="2"/>
            <w:tcBorders>
              <w:top w:val="single" w:sz="4" w:space="0" w:color="auto"/>
              <w:left w:val="single" w:sz="4" w:space="0" w:color="auto"/>
              <w:bottom w:val="single" w:sz="4" w:space="0" w:color="auto"/>
              <w:right w:val="single" w:sz="4" w:space="0" w:color="auto"/>
            </w:tcBorders>
            <w:vAlign w:val="center"/>
          </w:tcPr>
          <w:p w14:paraId="77CC48B2"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 xml:space="preserve">Утверждено Законом № 969-Кз </w:t>
            </w:r>
          </w:p>
        </w:tc>
        <w:tc>
          <w:tcPr>
            <w:tcW w:w="3894" w:type="dxa"/>
            <w:gridSpan w:val="3"/>
            <w:tcBorders>
              <w:top w:val="single" w:sz="4" w:space="0" w:color="auto"/>
              <w:left w:val="nil"/>
              <w:bottom w:val="single" w:sz="4" w:space="0" w:color="auto"/>
              <w:right w:val="single" w:sz="4" w:space="0" w:color="auto"/>
            </w:tcBorders>
            <w:shd w:val="clear" w:color="auto" w:fill="auto"/>
            <w:vAlign w:val="center"/>
            <w:hideMark/>
          </w:tcPr>
          <w:p w14:paraId="730DD3AA"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Законопроект</w:t>
            </w:r>
          </w:p>
        </w:tc>
      </w:tr>
      <w:tr w:rsidR="00827437" w:rsidRPr="00522104" w14:paraId="699523D9" w14:textId="77777777" w:rsidTr="00E40BEE">
        <w:trPr>
          <w:trHeight w:val="689"/>
          <w:tblHeader/>
        </w:trPr>
        <w:tc>
          <w:tcPr>
            <w:tcW w:w="2029" w:type="dxa"/>
            <w:vMerge/>
            <w:tcBorders>
              <w:top w:val="single" w:sz="4" w:space="0" w:color="auto"/>
              <w:left w:val="single" w:sz="4" w:space="0" w:color="auto"/>
              <w:bottom w:val="single" w:sz="4" w:space="0" w:color="auto"/>
              <w:right w:val="single" w:sz="4" w:space="0" w:color="auto"/>
            </w:tcBorders>
            <w:vAlign w:val="center"/>
            <w:hideMark/>
          </w:tcPr>
          <w:p w14:paraId="2516D6E0" w14:textId="77777777" w:rsidR="00827437" w:rsidRPr="00522104" w:rsidRDefault="00827437" w:rsidP="00E40BEE">
            <w:pPr>
              <w:spacing w:after="0" w:line="240" w:lineRule="auto"/>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14:paraId="783E1A86"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на 2021 год</w:t>
            </w:r>
          </w:p>
        </w:tc>
        <w:tc>
          <w:tcPr>
            <w:tcW w:w="18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C8E01"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на 2022* год</w:t>
            </w:r>
          </w:p>
        </w:tc>
        <w:tc>
          <w:tcPr>
            <w:tcW w:w="1298" w:type="dxa"/>
            <w:tcBorders>
              <w:top w:val="single" w:sz="4" w:space="0" w:color="auto"/>
              <w:left w:val="nil"/>
              <w:bottom w:val="single" w:sz="4" w:space="0" w:color="auto"/>
              <w:right w:val="single" w:sz="4" w:space="0" w:color="auto"/>
            </w:tcBorders>
            <w:shd w:val="clear" w:color="auto" w:fill="auto"/>
            <w:noWrap/>
            <w:vAlign w:val="center"/>
            <w:hideMark/>
          </w:tcPr>
          <w:p w14:paraId="083071A4"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на 2022 год</w:t>
            </w:r>
          </w:p>
        </w:tc>
        <w:tc>
          <w:tcPr>
            <w:tcW w:w="1311" w:type="dxa"/>
            <w:tcBorders>
              <w:top w:val="single" w:sz="4" w:space="0" w:color="auto"/>
              <w:left w:val="nil"/>
              <w:bottom w:val="single" w:sz="4" w:space="0" w:color="auto"/>
              <w:right w:val="single" w:sz="4" w:space="0" w:color="auto"/>
            </w:tcBorders>
            <w:shd w:val="clear" w:color="auto" w:fill="auto"/>
            <w:vAlign w:val="center"/>
            <w:hideMark/>
          </w:tcPr>
          <w:p w14:paraId="458459AD"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на 2023 год*</w:t>
            </w:r>
          </w:p>
        </w:tc>
        <w:tc>
          <w:tcPr>
            <w:tcW w:w="1285" w:type="dxa"/>
            <w:tcBorders>
              <w:top w:val="single" w:sz="4" w:space="0" w:color="auto"/>
              <w:left w:val="nil"/>
              <w:bottom w:val="single" w:sz="4" w:space="0" w:color="auto"/>
              <w:right w:val="single" w:sz="4" w:space="0" w:color="auto"/>
            </w:tcBorders>
            <w:shd w:val="clear" w:color="auto" w:fill="auto"/>
            <w:vAlign w:val="center"/>
            <w:hideMark/>
          </w:tcPr>
          <w:p w14:paraId="01711090"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на 2024 год*</w:t>
            </w:r>
          </w:p>
        </w:tc>
      </w:tr>
      <w:tr w:rsidR="00827437" w:rsidRPr="00522104" w14:paraId="3E7C3448" w14:textId="77777777" w:rsidTr="00E40BEE">
        <w:trPr>
          <w:trHeight w:val="300"/>
        </w:trPr>
        <w:tc>
          <w:tcPr>
            <w:tcW w:w="2029" w:type="dxa"/>
            <w:tcBorders>
              <w:top w:val="nil"/>
              <w:left w:val="single" w:sz="4" w:space="0" w:color="auto"/>
              <w:bottom w:val="single" w:sz="4" w:space="0" w:color="auto"/>
              <w:right w:val="single" w:sz="4" w:space="0" w:color="auto"/>
            </w:tcBorders>
            <w:shd w:val="clear" w:color="auto" w:fill="auto"/>
            <w:vAlign w:val="center"/>
            <w:hideMark/>
          </w:tcPr>
          <w:p w14:paraId="198D3D3D" w14:textId="77777777" w:rsidR="00827437" w:rsidRPr="00522104" w:rsidRDefault="00827437" w:rsidP="00E40BEE">
            <w:pPr>
              <w:spacing w:after="0" w:line="240" w:lineRule="auto"/>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Количество программ</w:t>
            </w:r>
          </w:p>
        </w:tc>
        <w:tc>
          <w:tcPr>
            <w:tcW w:w="1559" w:type="dxa"/>
            <w:tcBorders>
              <w:top w:val="single" w:sz="4" w:space="0" w:color="auto"/>
              <w:left w:val="nil"/>
              <w:bottom w:val="single" w:sz="4" w:space="0" w:color="auto"/>
              <w:right w:val="single" w:sz="4" w:space="0" w:color="auto"/>
            </w:tcBorders>
            <w:vAlign w:val="bottom"/>
          </w:tcPr>
          <w:p w14:paraId="5A730056"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20</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08E0BF68"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20</w:t>
            </w:r>
          </w:p>
        </w:tc>
        <w:tc>
          <w:tcPr>
            <w:tcW w:w="1298" w:type="dxa"/>
            <w:tcBorders>
              <w:top w:val="nil"/>
              <w:left w:val="nil"/>
              <w:bottom w:val="single" w:sz="4" w:space="0" w:color="auto"/>
              <w:right w:val="single" w:sz="4" w:space="0" w:color="auto"/>
            </w:tcBorders>
            <w:shd w:val="clear" w:color="auto" w:fill="auto"/>
            <w:noWrap/>
            <w:vAlign w:val="bottom"/>
            <w:hideMark/>
          </w:tcPr>
          <w:p w14:paraId="311BBC4B"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20</w:t>
            </w:r>
          </w:p>
        </w:tc>
        <w:tc>
          <w:tcPr>
            <w:tcW w:w="1311" w:type="dxa"/>
            <w:tcBorders>
              <w:top w:val="nil"/>
              <w:left w:val="nil"/>
              <w:bottom w:val="single" w:sz="4" w:space="0" w:color="auto"/>
              <w:right w:val="single" w:sz="4" w:space="0" w:color="auto"/>
            </w:tcBorders>
            <w:shd w:val="clear" w:color="auto" w:fill="auto"/>
            <w:vAlign w:val="bottom"/>
            <w:hideMark/>
          </w:tcPr>
          <w:p w14:paraId="101355FA"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20</w:t>
            </w:r>
          </w:p>
        </w:tc>
        <w:tc>
          <w:tcPr>
            <w:tcW w:w="1285" w:type="dxa"/>
            <w:tcBorders>
              <w:top w:val="nil"/>
              <w:left w:val="nil"/>
              <w:bottom w:val="single" w:sz="4" w:space="0" w:color="auto"/>
              <w:right w:val="single" w:sz="4" w:space="0" w:color="auto"/>
            </w:tcBorders>
            <w:shd w:val="clear" w:color="auto" w:fill="auto"/>
            <w:vAlign w:val="bottom"/>
            <w:hideMark/>
          </w:tcPr>
          <w:p w14:paraId="50D60B4C"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20</w:t>
            </w:r>
          </w:p>
        </w:tc>
      </w:tr>
      <w:tr w:rsidR="00827437" w:rsidRPr="00522104" w14:paraId="2C53658C" w14:textId="77777777" w:rsidTr="00E40BEE">
        <w:trPr>
          <w:trHeight w:val="728"/>
        </w:trPr>
        <w:tc>
          <w:tcPr>
            <w:tcW w:w="2029" w:type="dxa"/>
            <w:tcBorders>
              <w:top w:val="nil"/>
              <w:left w:val="single" w:sz="4" w:space="0" w:color="auto"/>
              <w:bottom w:val="single" w:sz="4" w:space="0" w:color="auto"/>
              <w:right w:val="single" w:sz="4" w:space="0" w:color="auto"/>
            </w:tcBorders>
            <w:shd w:val="clear" w:color="auto" w:fill="auto"/>
            <w:hideMark/>
          </w:tcPr>
          <w:p w14:paraId="3DEE878C" w14:textId="77777777" w:rsidR="00827437" w:rsidRPr="00522104" w:rsidRDefault="00827437" w:rsidP="00E40BEE">
            <w:pPr>
              <w:spacing w:after="0" w:line="240" w:lineRule="auto"/>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Планируемый объем расходов на реализацию государственных программ (млн рублей)</w:t>
            </w:r>
          </w:p>
        </w:tc>
        <w:tc>
          <w:tcPr>
            <w:tcW w:w="1559" w:type="dxa"/>
            <w:tcBorders>
              <w:top w:val="single" w:sz="4" w:space="0" w:color="auto"/>
              <w:left w:val="nil"/>
              <w:bottom w:val="single" w:sz="4" w:space="0" w:color="auto"/>
              <w:right w:val="single" w:sz="4" w:space="0" w:color="auto"/>
            </w:tcBorders>
            <w:vAlign w:val="bottom"/>
          </w:tcPr>
          <w:p w14:paraId="02D2D417"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161977,80</w:t>
            </w:r>
          </w:p>
        </w:tc>
        <w:tc>
          <w:tcPr>
            <w:tcW w:w="1880" w:type="dxa"/>
            <w:tcBorders>
              <w:top w:val="nil"/>
              <w:left w:val="single" w:sz="4" w:space="0" w:color="auto"/>
              <w:bottom w:val="single" w:sz="4" w:space="0" w:color="auto"/>
              <w:right w:val="single" w:sz="4" w:space="0" w:color="auto"/>
            </w:tcBorders>
            <w:shd w:val="clear" w:color="auto" w:fill="auto"/>
            <w:noWrap/>
            <w:vAlign w:val="bottom"/>
          </w:tcPr>
          <w:p w14:paraId="6D1F1BBE"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131151,31</w:t>
            </w:r>
          </w:p>
        </w:tc>
        <w:tc>
          <w:tcPr>
            <w:tcW w:w="1298" w:type="dxa"/>
            <w:tcBorders>
              <w:top w:val="nil"/>
              <w:left w:val="nil"/>
              <w:bottom w:val="single" w:sz="4" w:space="0" w:color="auto"/>
              <w:right w:val="single" w:sz="4" w:space="0" w:color="auto"/>
            </w:tcBorders>
            <w:shd w:val="clear" w:color="auto" w:fill="auto"/>
            <w:noWrap/>
            <w:vAlign w:val="bottom"/>
          </w:tcPr>
          <w:p w14:paraId="5D783A5D" w14:textId="1500BC41" w:rsidR="00827437" w:rsidRPr="00522104" w:rsidRDefault="00827437" w:rsidP="00997D83">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156201,0</w:t>
            </w:r>
            <w:r w:rsidR="00997D83" w:rsidRPr="00522104">
              <w:rPr>
                <w:rFonts w:ascii="Times New Roman" w:eastAsia="Times New Roman" w:hAnsi="Times New Roman" w:cs="Times New Roman"/>
                <w:lang w:eastAsia="ru-RU"/>
              </w:rPr>
              <w:t>3</w:t>
            </w:r>
          </w:p>
        </w:tc>
        <w:tc>
          <w:tcPr>
            <w:tcW w:w="1311" w:type="dxa"/>
            <w:tcBorders>
              <w:top w:val="nil"/>
              <w:left w:val="nil"/>
              <w:bottom w:val="single" w:sz="4" w:space="0" w:color="auto"/>
              <w:right w:val="single" w:sz="4" w:space="0" w:color="auto"/>
            </w:tcBorders>
            <w:shd w:val="clear" w:color="auto" w:fill="auto"/>
            <w:vAlign w:val="bottom"/>
          </w:tcPr>
          <w:p w14:paraId="6863F9BE" w14:textId="1237BA39" w:rsidR="00827437" w:rsidRPr="00522104" w:rsidRDefault="00827437" w:rsidP="00997D83">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141555,7</w:t>
            </w:r>
            <w:r w:rsidR="00997D83" w:rsidRPr="00522104">
              <w:rPr>
                <w:rFonts w:ascii="Times New Roman" w:eastAsia="Times New Roman" w:hAnsi="Times New Roman" w:cs="Times New Roman"/>
                <w:lang w:eastAsia="ru-RU"/>
              </w:rPr>
              <w:t>2</w:t>
            </w:r>
          </w:p>
        </w:tc>
        <w:tc>
          <w:tcPr>
            <w:tcW w:w="1285" w:type="dxa"/>
            <w:tcBorders>
              <w:top w:val="nil"/>
              <w:left w:val="nil"/>
              <w:bottom w:val="single" w:sz="4" w:space="0" w:color="auto"/>
              <w:right w:val="single" w:sz="4" w:space="0" w:color="auto"/>
            </w:tcBorders>
            <w:shd w:val="clear" w:color="auto" w:fill="auto"/>
            <w:vAlign w:val="bottom"/>
          </w:tcPr>
          <w:p w14:paraId="5E70E6CE"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141200,26</w:t>
            </w:r>
          </w:p>
        </w:tc>
      </w:tr>
      <w:tr w:rsidR="00827437" w:rsidRPr="00522104" w14:paraId="769512CE" w14:textId="77777777" w:rsidTr="00E40BEE">
        <w:trPr>
          <w:trHeight w:val="668"/>
        </w:trPr>
        <w:tc>
          <w:tcPr>
            <w:tcW w:w="2029" w:type="dxa"/>
            <w:tcBorders>
              <w:top w:val="nil"/>
              <w:left w:val="single" w:sz="4" w:space="0" w:color="auto"/>
              <w:bottom w:val="single" w:sz="4" w:space="0" w:color="auto"/>
              <w:right w:val="single" w:sz="4" w:space="0" w:color="auto"/>
            </w:tcBorders>
            <w:shd w:val="clear" w:color="auto" w:fill="auto"/>
            <w:hideMark/>
          </w:tcPr>
          <w:p w14:paraId="166B773D" w14:textId="77777777" w:rsidR="00827437" w:rsidRPr="00522104" w:rsidRDefault="00827437" w:rsidP="00E40BEE">
            <w:pPr>
              <w:spacing w:after="0" w:line="240" w:lineRule="auto"/>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 xml:space="preserve">Планируемые объемы расходов на государственные программы в % к уровню предыдущего года </w:t>
            </w:r>
          </w:p>
        </w:tc>
        <w:tc>
          <w:tcPr>
            <w:tcW w:w="1559" w:type="dxa"/>
            <w:tcBorders>
              <w:top w:val="single" w:sz="4" w:space="0" w:color="auto"/>
              <w:left w:val="nil"/>
              <w:bottom w:val="single" w:sz="4" w:space="0" w:color="auto"/>
              <w:right w:val="single" w:sz="4" w:space="0" w:color="auto"/>
            </w:tcBorders>
            <w:vAlign w:val="bottom"/>
          </w:tcPr>
          <w:p w14:paraId="33CA2EA9"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w:t>
            </w:r>
          </w:p>
        </w:tc>
        <w:tc>
          <w:tcPr>
            <w:tcW w:w="1880" w:type="dxa"/>
            <w:tcBorders>
              <w:top w:val="nil"/>
              <w:left w:val="single" w:sz="4" w:space="0" w:color="auto"/>
              <w:bottom w:val="single" w:sz="4" w:space="0" w:color="auto"/>
              <w:right w:val="single" w:sz="4" w:space="0" w:color="auto"/>
            </w:tcBorders>
            <w:shd w:val="clear" w:color="auto" w:fill="auto"/>
            <w:noWrap/>
            <w:vAlign w:val="bottom"/>
          </w:tcPr>
          <w:p w14:paraId="6E6CD884"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80,97 % (161977,80)</w:t>
            </w:r>
          </w:p>
        </w:tc>
        <w:tc>
          <w:tcPr>
            <w:tcW w:w="1298" w:type="dxa"/>
            <w:tcBorders>
              <w:top w:val="nil"/>
              <w:left w:val="nil"/>
              <w:bottom w:val="single" w:sz="4" w:space="0" w:color="auto"/>
              <w:right w:val="single" w:sz="4" w:space="0" w:color="auto"/>
            </w:tcBorders>
            <w:shd w:val="clear" w:color="auto" w:fill="auto"/>
            <w:noWrap/>
            <w:vAlign w:val="bottom"/>
          </w:tcPr>
          <w:p w14:paraId="60BB38F6"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119,10 % (131151,31)</w:t>
            </w:r>
          </w:p>
        </w:tc>
        <w:tc>
          <w:tcPr>
            <w:tcW w:w="1311" w:type="dxa"/>
            <w:tcBorders>
              <w:top w:val="nil"/>
              <w:left w:val="nil"/>
              <w:bottom w:val="single" w:sz="4" w:space="0" w:color="auto"/>
              <w:right w:val="single" w:sz="4" w:space="0" w:color="auto"/>
            </w:tcBorders>
            <w:shd w:val="clear" w:color="auto" w:fill="auto"/>
            <w:noWrap/>
            <w:vAlign w:val="bottom"/>
          </w:tcPr>
          <w:p w14:paraId="09851CB2"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 xml:space="preserve">90,62 % </w:t>
            </w:r>
          </w:p>
        </w:tc>
        <w:tc>
          <w:tcPr>
            <w:tcW w:w="1285" w:type="dxa"/>
            <w:tcBorders>
              <w:top w:val="nil"/>
              <w:left w:val="nil"/>
              <w:bottom w:val="single" w:sz="4" w:space="0" w:color="auto"/>
              <w:right w:val="single" w:sz="4" w:space="0" w:color="auto"/>
            </w:tcBorders>
            <w:shd w:val="clear" w:color="auto" w:fill="auto"/>
            <w:noWrap/>
            <w:vAlign w:val="bottom"/>
          </w:tcPr>
          <w:p w14:paraId="52AA9EA5"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99,75</w:t>
            </w:r>
          </w:p>
        </w:tc>
      </w:tr>
      <w:tr w:rsidR="00827437" w:rsidRPr="00522104" w14:paraId="67B0FF20" w14:textId="77777777" w:rsidTr="00E40BEE">
        <w:trPr>
          <w:trHeight w:val="892"/>
        </w:trPr>
        <w:tc>
          <w:tcPr>
            <w:tcW w:w="2029" w:type="dxa"/>
            <w:tcBorders>
              <w:top w:val="nil"/>
              <w:left w:val="single" w:sz="4" w:space="0" w:color="auto"/>
              <w:bottom w:val="single" w:sz="4" w:space="0" w:color="auto"/>
              <w:right w:val="single" w:sz="4" w:space="0" w:color="auto"/>
            </w:tcBorders>
            <w:shd w:val="clear" w:color="auto" w:fill="auto"/>
            <w:hideMark/>
          </w:tcPr>
          <w:p w14:paraId="4FFF5422" w14:textId="77777777" w:rsidR="00827437" w:rsidRPr="00522104" w:rsidRDefault="00827437" w:rsidP="00E40BEE">
            <w:pPr>
              <w:spacing w:after="0" w:line="240" w:lineRule="auto"/>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Доля планируемых расходов на государственные программы в общем объеме расходов краевого бюджета (%)</w:t>
            </w:r>
          </w:p>
        </w:tc>
        <w:tc>
          <w:tcPr>
            <w:tcW w:w="1559" w:type="dxa"/>
            <w:tcBorders>
              <w:top w:val="single" w:sz="4" w:space="0" w:color="auto"/>
              <w:left w:val="nil"/>
              <w:bottom w:val="single" w:sz="4" w:space="0" w:color="auto"/>
              <w:right w:val="single" w:sz="4" w:space="0" w:color="auto"/>
            </w:tcBorders>
            <w:vAlign w:val="bottom"/>
          </w:tcPr>
          <w:p w14:paraId="114B7A64"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97,40</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17A3003C"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97,49</w:t>
            </w:r>
          </w:p>
        </w:tc>
        <w:tc>
          <w:tcPr>
            <w:tcW w:w="1298" w:type="dxa"/>
            <w:tcBorders>
              <w:top w:val="nil"/>
              <w:left w:val="nil"/>
              <w:bottom w:val="single" w:sz="4" w:space="0" w:color="auto"/>
              <w:right w:val="single" w:sz="4" w:space="0" w:color="auto"/>
            </w:tcBorders>
            <w:shd w:val="clear" w:color="auto" w:fill="auto"/>
            <w:noWrap/>
            <w:vAlign w:val="bottom"/>
            <w:hideMark/>
          </w:tcPr>
          <w:p w14:paraId="634CB039"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97,88</w:t>
            </w:r>
          </w:p>
        </w:tc>
        <w:tc>
          <w:tcPr>
            <w:tcW w:w="1311" w:type="dxa"/>
            <w:tcBorders>
              <w:top w:val="nil"/>
              <w:left w:val="nil"/>
              <w:bottom w:val="single" w:sz="4" w:space="0" w:color="auto"/>
              <w:right w:val="single" w:sz="4" w:space="0" w:color="auto"/>
            </w:tcBorders>
            <w:shd w:val="clear" w:color="auto" w:fill="auto"/>
            <w:vAlign w:val="bottom"/>
          </w:tcPr>
          <w:p w14:paraId="10115DEA"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97,42</w:t>
            </w:r>
          </w:p>
        </w:tc>
        <w:tc>
          <w:tcPr>
            <w:tcW w:w="1285" w:type="dxa"/>
            <w:tcBorders>
              <w:top w:val="nil"/>
              <w:left w:val="nil"/>
              <w:bottom w:val="single" w:sz="4" w:space="0" w:color="auto"/>
              <w:right w:val="single" w:sz="4" w:space="0" w:color="auto"/>
            </w:tcBorders>
            <w:shd w:val="clear" w:color="auto" w:fill="auto"/>
            <w:vAlign w:val="bottom"/>
          </w:tcPr>
          <w:p w14:paraId="054CA05F" w14:textId="77777777" w:rsidR="00827437" w:rsidRPr="00522104" w:rsidRDefault="00827437" w:rsidP="00E40BEE">
            <w:pPr>
              <w:spacing w:after="0" w:line="240" w:lineRule="auto"/>
              <w:jc w:val="center"/>
              <w:rPr>
                <w:rFonts w:ascii="Times New Roman" w:eastAsia="Times New Roman" w:hAnsi="Times New Roman" w:cs="Times New Roman"/>
                <w:lang w:eastAsia="ru-RU"/>
              </w:rPr>
            </w:pPr>
            <w:r w:rsidRPr="00522104">
              <w:rPr>
                <w:rFonts w:ascii="Times New Roman" w:eastAsia="Times New Roman" w:hAnsi="Times New Roman" w:cs="Times New Roman"/>
                <w:lang w:eastAsia="ru-RU"/>
              </w:rPr>
              <w:t>97,33</w:t>
            </w:r>
          </w:p>
        </w:tc>
      </w:tr>
    </w:tbl>
    <w:p w14:paraId="0C386BAF" w14:textId="77777777" w:rsidR="00827437" w:rsidRPr="00522104" w:rsidRDefault="00827437" w:rsidP="00827437">
      <w:pPr>
        <w:spacing w:after="0" w:line="240" w:lineRule="auto"/>
        <w:ind w:firstLine="709"/>
        <w:jc w:val="both"/>
        <w:rPr>
          <w:rFonts w:ascii="Times New Roman" w:eastAsiaTheme="minorEastAsia" w:hAnsi="Times New Roman" w:cs="Times New Roman"/>
          <w:sz w:val="20"/>
          <w:szCs w:val="20"/>
          <w:lang w:eastAsia="ru-RU"/>
        </w:rPr>
      </w:pPr>
      <w:r w:rsidRPr="00522104">
        <w:rPr>
          <w:rFonts w:ascii="Times New Roman" w:eastAsiaTheme="minorEastAsia" w:hAnsi="Times New Roman" w:cs="Times New Roman"/>
          <w:sz w:val="20"/>
          <w:szCs w:val="20"/>
          <w:lang w:eastAsia="ru-RU"/>
        </w:rPr>
        <w:t>*Указано без учета объемов условно утвержденных расходов на плановый период.</w:t>
      </w:r>
    </w:p>
    <w:p w14:paraId="6B87D21E" w14:textId="77777777" w:rsidR="00827437" w:rsidRPr="00522104" w:rsidRDefault="00827437" w:rsidP="00827437">
      <w:pPr>
        <w:spacing w:after="0" w:line="240" w:lineRule="auto"/>
        <w:ind w:firstLine="720"/>
        <w:jc w:val="both"/>
        <w:rPr>
          <w:rFonts w:ascii="Times New Roman" w:eastAsiaTheme="minorEastAsia" w:hAnsi="Times New Roman" w:cs="Times New Roman"/>
          <w:sz w:val="28"/>
          <w:szCs w:val="28"/>
          <w:lang w:eastAsia="ru-RU"/>
        </w:rPr>
      </w:pPr>
    </w:p>
    <w:p w14:paraId="5494B5EB"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Структура программных расходов краевого бюджета (156201,03 млн рублей) в процентном соотношении в разрезе государственных программ Приморского края согласно законопроекту на 2022 год представлена диаграммой.</w:t>
      </w:r>
    </w:p>
    <w:p w14:paraId="6813DD4C"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p>
    <w:p w14:paraId="5D1DA026" w14:textId="77777777" w:rsidR="00827437" w:rsidRPr="00522104" w:rsidRDefault="00827437" w:rsidP="00827437">
      <w:pPr>
        <w:spacing w:after="0" w:line="240" w:lineRule="auto"/>
        <w:ind w:hanging="284"/>
        <w:jc w:val="both"/>
        <w:rPr>
          <w:rFonts w:ascii="Times New Roman" w:eastAsia="Times New Roman" w:hAnsi="Times New Roman" w:cs="Times New Roman"/>
          <w:sz w:val="28"/>
          <w:szCs w:val="28"/>
          <w:lang w:eastAsia="ru-RU"/>
        </w:rPr>
      </w:pPr>
      <w:r w:rsidRPr="00522104">
        <w:rPr>
          <w:noProof/>
          <w:lang w:eastAsia="ru-RU"/>
        </w:rPr>
        <w:drawing>
          <wp:inline distT="0" distB="0" distL="0" distR="0" wp14:anchorId="12A4560C" wp14:editId="294BC3FD">
            <wp:extent cx="6343650" cy="653415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495AF17"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p>
    <w:p w14:paraId="0D6AE4AB"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Как и в предыдущие годы, в общем объеме расходов бюджета в 2022 году наибольший удельный вес (78,44 %) занимают расходы на ГП: </w:t>
      </w:r>
    </w:p>
    <w:p w14:paraId="58D32965"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"Развитие образования Приморского края" – 19,95 % (31829,56 млн рублей); </w:t>
      </w:r>
    </w:p>
    <w:p w14:paraId="37E7E727"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"Социальная поддержка населения Приморского края" – 19,15 % (30552,28 млн рублей); </w:t>
      </w:r>
    </w:p>
    <w:p w14:paraId="569B8661"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"Развитие здравоохранения Приморского края" – 17,27 % (27562,14 млн рублей); </w:t>
      </w:r>
    </w:p>
    <w:p w14:paraId="277F0E75"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"Обеспечение доступным жильем и качественными услугами жилищно-коммунального хозяйства населения Приморского края" – 11,26 % (17968,79 млн рублей);</w:t>
      </w:r>
    </w:p>
    <w:p w14:paraId="505A6277"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"Развитие транспортного комплекса Приморского края" – 10,81 % (17253,99 млн рублей). </w:t>
      </w:r>
    </w:p>
    <w:p w14:paraId="36803F68" w14:textId="389BC932" w:rsidR="00827437" w:rsidRPr="00522104" w:rsidRDefault="00827437" w:rsidP="00827437">
      <w:pPr>
        <w:spacing w:after="0" w:line="240" w:lineRule="auto"/>
        <w:ind w:firstLine="720"/>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Анализ расходов на реализацию ГП за 2019, 2020 годы, 9 месяцев 2021 года, а также на 2022 год и</w:t>
      </w:r>
      <w:r w:rsidR="00A90E03" w:rsidRPr="00522104">
        <w:rPr>
          <w:rFonts w:ascii="Times New Roman" w:eastAsiaTheme="minorEastAsia" w:hAnsi="Times New Roman" w:cs="Times New Roman"/>
          <w:sz w:val="28"/>
          <w:szCs w:val="28"/>
          <w:lang w:eastAsia="ru-RU"/>
        </w:rPr>
        <w:t xml:space="preserve"> плановый период представлен в п</w:t>
      </w:r>
      <w:r w:rsidRPr="00522104">
        <w:rPr>
          <w:rFonts w:ascii="Times New Roman" w:eastAsiaTheme="minorEastAsia" w:hAnsi="Times New Roman" w:cs="Times New Roman"/>
          <w:sz w:val="28"/>
          <w:szCs w:val="28"/>
          <w:lang w:eastAsia="ru-RU"/>
        </w:rPr>
        <w:t>риложении</w:t>
      </w:r>
      <w:r w:rsidR="00A90E03" w:rsidRPr="00522104">
        <w:rPr>
          <w:rFonts w:ascii="Times New Roman" w:eastAsiaTheme="minorEastAsia" w:hAnsi="Times New Roman" w:cs="Times New Roman"/>
          <w:sz w:val="28"/>
          <w:szCs w:val="28"/>
          <w:lang w:eastAsia="ru-RU"/>
        </w:rPr>
        <w:t xml:space="preserve"> 5</w:t>
      </w:r>
      <w:r w:rsidRPr="00522104">
        <w:rPr>
          <w:rFonts w:ascii="Times New Roman" w:eastAsiaTheme="minorEastAsia" w:hAnsi="Times New Roman" w:cs="Times New Roman"/>
          <w:sz w:val="28"/>
          <w:szCs w:val="28"/>
          <w:lang w:eastAsia="ru-RU"/>
        </w:rPr>
        <w:t>.</w:t>
      </w:r>
    </w:p>
    <w:p w14:paraId="710D39E4" w14:textId="77777777" w:rsidR="00827437" w:rsidRPr="00522104" w:rsidRDefault="00827437" w:rsidP="00827437">
      <w:pPr>
        <w:spacing w:after="0" w:line="240" w:lineRule="auto"/>
        <w:ind w:firstLine="720"/>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Сравнительная характеристика распределения расходов на реализацию ГП на текущий год на 2022 год и плановый период представлена в таблице.</w:t>
      </w:r>
    </w:p>
    <w:p w14:paraId="2372DA1D" w14:textId="77777777" w:rsidR="00827437" w:rsidRPr="00522104" w:rsidRDefault="00827437" w:rsidP="00827437">
      <w:pPr>
        <w:spacing w:after="0" w:line="240" w:lineRule="auto"/>
        <w:ind w:firstLine="720"/>
        <w:jc w:val="right"/>
        <w:rPr>
          <w:rFonts w:ascii="Times New Roman" w:eastAsiaTheme="minorEastAsia" w:hAnsi="Times New Roman" w:cs="Times New Roman"/>
          <w:lang w:eastAsia="ru-RU"/>
        </w:rPr>
      </w:pPr>
    </w:p>
    <w:tbl>
      <w:tblPr>
        <w:tblW w:w="10490" w:type="dxa"/>
        <w:tblInd w:w="-714" w:type="dxa"/>
        <w:tblLayout w:type="fixed"/>
        <w:tblLook w:val="04A0" w:firstRow="1" w:lastRow="0" w:firstColumn="1" w:lastColumn="0" w:noHBand="0" w:noVBand="1"/>
      </w:tblPr>
      <w:tblGrid>
        <w:gridCol w:w="2274"/>
        <w:gridCol w:w="850"/>
        <w:gridCol w:w="851"/>
        <w:gridCol w:w="992"/>
        <w:gridCol w:w="709"/>
        <w:gridCol w:w="850"/>
        <w:gridCol w:w="851"/>
        <w:gridCol w:w="850"/>
        <w:gridCol w:w="709"/>
        <w:gridCol w:w="845"/>
        <w:gridCol w:w="709"/>
      </w:tblGrid>
      <w:tr w:rsidR="002A4A07" w:rsidRPr="00522104" w14:paraId="3240BA9A" w14:textId="77777777" w:rsidTr="00F042AC">
        <w:trPr>
          <w:trHeight w:val="20"/>
          <w:tblHeader/>
        </w:trPr>
        <w:tc>
          <w:tcPr>
            <w:tcW w:w="2274" w:type="dxa"/>
            <w:tcBorders>
              <w:bottom w:val="single" w:sz="4" w:space="0" w:color="auto"/>
            </w:tcBorders>
            <w:shd w:val="clear" w:color="auto" w:fill="auto"/>
            <w:vAlign w:val="center"/>
          </w:tcPr>
          <w:p w14:paraId="6B881200" w14:textId="77777777" w:rsidR="002A4A07" w:rsidRPr="00522104" w:rsidRDefault="002A4A07" w:rsidP="00F43273">
            <w:pPr>
              <w:spacing w:before="40" w:after="40" w:line="240" w:lineRule="auto"/>
              <w:jc w:val="center"/>
              <w:rPr>
                <w:rFonts w:ascii="Times New Roman" w:eastAsia="Times New Roman" w:hAnsi="Times New Roman" w:cs="Times New Roman"/>
                <w:sz w:val="20"/>
                <w:szCs w:val="20"/>
                <w:lang w:eastAsia="ru-RU"/>
              </w:rPr>
            </w:pPr>
          </w:p>
        </w:tc>
        <w:tc>
          <w:tcPr>
            <w:tcW w:w="1701" w:type="dxa"/>
            <w:gridSpan w:val="2"/>
            <w:tcBorders>
              <w:bottom w:val="single" w:sz="4" w:space="0" w:color="auto"/>
            </w:tcBorders>
            <w:shd w:val="clear" w:color="auto" w:fill="auto"/>
            <w:vAlign w:val="center"/>
          </w:tcPr>
          <w:p w14:paraId="5E2769C2" w14:textId="77777777" w:rsidR="002A4A07" w:rsidRPr="00522104" w:rsidRDefault="002A4A07" w:rsidP="00F43273">
            <w:pPr>
              <w:spacing w:before="40" w:after="40" w:line="240" w:lineRule="auto"/>
              <w:jc w:val="center"/>
              <w:rPr>
                <w:rFonts w:ascii="Times New Roman" w:eastAsia="Times New Roman" w:hAnsi="Times New Roman" w:cs="Times New Roman"/>
                <w:sz w:val="20"/>
                <w:szCs w:val="20"/>
                <w:lang w:eastAsia="ru-RU"/>
              </w:rPr>
            </w:pPr>
          </w:p>
        </w:tc>
        <w:tc>
          <w:tcPr>
            <w:tcW w:w="3402" w:type="dxa"/>
            <w:gridSpan w:val="4"/>
            <w:tcBorders>
              <w:bottom w:val="single" w:sz="4" w:space="0" w:color="auto"/>
            </w:tcBorders>
            <w:shd w:val="clear" w:color="auto" w:fill="auto"/>
            <w:noWrap/>
            <w:vAlign w:val="center"/>
          </w:tcPr>
          <w:p w14:paraId="291116B6" w14:textId="77777777" w:rsidR="002A4A07" w:rsidRPr="00522104" w:rsidRDefault="002A4A07" w:rsidP="00F43273">
            <w:pPr>
              <w:spacing w:before="40" w:after="40" w:line="240" w:lineRule="auto"/>
              <w:jc w:val="center"/>
              <w:rPr>
                <w:rFonts w:ascii="Times New Roman" w:eastAsia="Times New Roman" w:hAnsi="Times New Roman" w:cs="Times New Roman"/>
                <w:sz w:val="20"/>
                <w:szCs w:val="20"/>
                <w:lang w:eastAsia="ru-RU"/>
              </w:rPr>
            </w:pPr>
          </w:p>
        </w:tc>
        <w:tc>
          <w:tcPr>
            <w:tcW w:w="3113" w:type="dxa"/>
            <w:gridSpan w:val="4"/>
            <w:tcBorders>
              <w:bottom w:val="single" w:sz="4" w:space="0" w:color="auto"/>
            </w:tcBorders>
            <w:shd w:val="clear" w:color="auto" w:fill="auto"/>
            <w:noWrap/>
            <w:vAlign w:val="center"/>
          </w:tcPr>
          <w:p w14:paraId="0FA118CA" w14:textId="1DB14A56" w:rsidR="002A4A07" w:rsidRPr="00522104" w:rsidRDefault="002A4A07" w:rsidP="00F43273">
            <w:pPr>
              <w:spacing w:before="40" w:after="40" w:line="240" w:lineRule="auto"/>
              <w:jc w:val="right"/>
              <w:rPr>
                <w:rFonts w:ascii="Times New Roman" w:eastAsia="Times New Roman" w:hAnsi="Times New Roman" w:cs="Times New Roman"/>
                <w:sz w:val="24"/>
                <w:szCs w:val="20"/>
                <w:lang w:eastAsia="ru-RU"/>
              </w:rPr>
            </w:pPr>
            <w:r w:rsidRPr="00522104">
              <w:rPr>
                <w:rFonts w:ascii="Times New Roman" w:eastAsia="Times New Roman" w:hAnsi="Times New Roman" w:cs="Times New Roman"/>
                <w:sz w:val="24"/>
                <w:szCs w:val="20"/>
                <w:lang w:eastAsia="ru-RU"/>
              </w:rPr>
              <w:t>(млн рублей)</w:t>
            </w:r>
          </w:p>
        </w:tc>
      </w:tr>
      <w:tr w:rsidR="00827437" w:rsidRPr="00522104" w14:paraId="011C96CE" w14:textId="77777777" w:rsidTr="00F042AC">
        <w:trPr>
          <w:trHeight w:val="20"/>
          <w:tblHeader/>
        </w:trPr>
        <w:tc>
          <w:tcPr>
            <w:tcW w:w="227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8264ECC"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Наименование</w:t>
            </w:r>
          </w:p>
        </w:tc>
        <w:tc>
          <w:tcPr>
            <w:tcW w:w="1701" w:type="dxa"/>
            <w:gridSpan w:val="2"/>
            <w:tcBorders>
              <w:top w:val="single" w:sz="4" w:space="0" w:color="auto"/>
              <w:left w:val="nil"/>
              <w:bottom w:val="single" w:sz="4" w:space="0" w:color="auto"/>
              <w:right w:val="single" w:sz="4" w:space="0" w:color="000000"/>
            </w:tcBorders>
            <w:shd w:val="clear" w:color="auto" w:fill="auto"/>
            <w:vAlign w:val="center"/>
            <w:hideMark/>
          </w:tcPr>
          <w:p w14:paraId="40A9ADCB"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 № 969-КЗ</w:t>
            </w:r>
          </w:p>
        </w:tc>
        <w:tc>
          <w:tcPr>
            <w:tcW w:w="340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87D1BBD"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Законопроект</w:t>
            </w:r>
          </w:p>
        </w:tc>
        <w:tc>
          <w:tcPr>
            <w:tcW w:w="3113"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9DF715"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Отклонения</w:t>
            </w:r>
          </w:p>
        </w:tc>
      </w:tr>
      <w:tr w:rsidR="00B6135D" w:rsidRPr="00522104" w14:paraId="4E08EDF3" w14:textId="77777777" w:rsidTr="00F042AC">
        <w:trPr>
          <w:trHeight w:val="20"/>
          <w:tblHeader/>
        </w:trPr>
        <w:tc>
          <w:tcPr>
            <w:tcW w:w="2274" w:type="dxa"/>
            <w:vMerge/>
            <w:tcBorders>
              <w:top w:val="single" w:sz="4" w:space="0" w:color="auto"/>
              <w:left w:val="single" w:sz="4" w:space="0" w:color="auto"/>
              <w:bottom w:val="single" w:sz="4" w:space="0" w:color="000000"/>
              <w:right w:val="single" w:sz="4" w:space="0" w:color="auto"/>
            </w:tcBorders>
            <w:vAlign w:val="center"/>
            <w:hideMark/>
          </w:tcPr>
          <w:p w14:paraId="40D21CD4" w14:textId="77777777" w:rsidR="00827437" w:rsidRPr="00522104" w:rsidRDefault="00827437" w:rsidP="00F43273">
            <w:pPr>
              <w:spacing w:before="40" w:after="40" w:line="240" w:lineRule="auto"/>
              <w:rPr>
                <w:rFonts w:ascii="Times New Roman" w:eastAsia="Times New Roman" w:hAnsi="Times New Roman" w:cs="Times New Roman"/>
                <w:sz w:val="20"/>
                <w:szCs w:val="20"/>
                <w:lang w:eastAsia="ru-RU"/>
              </w:rPr>
            </w:pPr>
          </w:p>
        </w:tc>
        <w:tc>
          <w:tcPr>
            <w:tcW w:w="850" w:type="dxa"/>
            <w:vMerge w:val="restart"/>
            <w:tcBorders>
              <w:top w:val="nil"/>
              <w:left w:val="single" w:sz="4" w:space="0" w:color="auto"/>
              <w:bottom w:val="single" w:sz="4" w:space="0" w:color="000000"/>
              <w:right w:val="single" w:sz="4" w:space="0" w:color="auto"/>
            </w:tcBorders>
            <w:shd w:val="clear" w:color="auto" w:fill="auto"/>
            <w:vAlign w:val="center"/>
            <w:hideMark/>
          </w:tcPr>
          <w:p w14:paraId="57A8C022"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2021 год</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DFBE40"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 год</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929EA7"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 год</w:t>
            </w:r>
          </w:p>
        </w:tc>
        <w:tc>
          <w:tcPr>
            <w:tcW w:w="709" w:type="dxa"/>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14:paraId="24DD3AD2" w14:textId="77777777" w:rsidR="00827437" w:rsidRPr="00522104" w:rsidRDefault="00827437" w:rsidP="00F43273">
            <w:pPr>
              <w:spacing w:before="40" w:after="40" w:line="240" w:lineRule="auto"/>
              <w:ind w:left="113" w:right="113"/>
              <w:jc w:val="center"/>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 xml:space="preserve">доля в общей сумме расходов </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264F12"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2023 год</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B45C01"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2024 год</w:t>
            </w:r>
          </w:p>
        </w:tc>
        <w:tc>
          <w:tcPr>
            <w:tcW w:w="15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03A4C83"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2022/2022</w:t>
            </w:r>
          </w:p>
        </w:tc>
        <w:tc>
          <w:tcPr>
            <w:tcW w:w="1554"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795EF44"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2022/2021</w:t>
            </w:r>
          </w:p>
        </w:tc>
      </w:tr>
      <w:tr w:rsidR="00B6135D" w:rsidRPr="00522104" w14:paraId="31A98C1C" w14:textId="77777777" w:rsidTr="00F042AC">
        <w:trPr>
          <w:trHeight w:val="1447"/>
          <w:tblHeader/>
        </w:trPr>
        <w:tc>
          <w:tcPr>
            <w:tcW w:w="2274" w:type="dxa"/>
            <w:vMerge/>
            <w:tcBorders>
              <w:top w:val="single" w:sz="4" w:space="0" w:color="auto"/>
              <w:left w:val="single" w:sz="4" w:space="0" w:color="auto"/>
              <w:bottom w:val="single" w:sz="4" w:space="0" w:color="000000"/>
              <w:right w:val="single" w:sz="4" w:space="0" w:color="auto"/>
            </w:tcBorders>
            <w:vAlign w:val="center"/>
            <w:hideMark/>
          </w:tcPr>
          <w:p w14:paraId="479D72FF" w14:textId="77777777" w:rsidR="00827437" w:rsidRPr="00522104" w:rsidRDefault="00827437" w:rsidP="00F43273">
            <w:pPr>
              <w:spacing w:before="40" w:after="40" w:line="240" w:lineRule="auto"/>
              <w:rPr>
                <w:rFonts w:ascii="Times New Roman" w:eastAsia="Times New Roman" w:hAnsi="Times New Roman" w:cs="Times New Roman"/>
                <w:sz w:val="20"/>
                <w:szCs w:val="20"/>
                <w:lang w:eastAsia="ru-RU"/>
              </w:rPr>
            </w:pPr>
          </w:p>
        </w:tc>
        <w:tc>
          <w:tcPr>
            <w:tcW w:w="850" w:type="dxa"/>
            <w:vMerge/>
            <w:tcBorders>
              <w:top w:val="nil"/>
              <w:left w:val="single" w:sz="4" w:space="0" w:color="auto"/>
              <w:bottom w:val="single" w:sz="4" w:space="0" w:color="000000"/>
              <w:right w:val="single" w:sz="4" w:space="0" w:color="auto"/>
            </w:tcBorders>
            <w:vAlign w:val="center"/>
            <w:hideMark/>
          </w:tcPr>
          <w:p w14:paraId="7E5173CE" w14:textId="77777777" w:rsidR="00827437" w:rsidRPr="00522104" w:rsidRDefault="00827437" w:rsidP="00F43273">
            <w:pPr>
              <w:spacing w:before="40" w:after="40" w:line="240" w:lineRule="auto"/>
              <w:rPr>
                <w:rFonts w:ascii="Times New Roman" w:eastAsia="Times New Roman" w:hAnsi="Times New Roman" w:cs="Times New Roman"/>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14:paraId="15D49781" w14:textId="77777777" w:rsidR="00827437" w:rsidRPr="00522104" w:rsidRDefault="00827437" w:rsidP="00F43273">
            <w:pPr>
              <w:spacing w:before="40" w:after="40" w:line="240" w:lineRule="auto"/>
              <w:rPr>
                <w:rFonts w:ascii="Times New Roman" w:eastAsia="Times New Roman" w:hAnsi="Times New Roman" w:cs="Times New Roman"/>
                <w:sz w:val="20"/>
                <w:szCs w:val="20"/>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17C4F879" w14:textId="77777777" w:rsidR="00827437" w:rsidRPr="00522104" w:rsidRDefault="00827437" w:rsidP="00F43273">
            <w:pPr>
              <w:spacing w:before="40" w:after="40" w:line="240" w:lineRule="auto"/>
              <w:rPr>
                <w:rFonts w:ascii="Times New Roman" w:eastAsia="Times New Roman" w:hAnsi="Times New Roman" w:cs="Times New Roman"/>
                <w:sz w:val="20"/>
                <w:szCs w:val="20"/>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A7CEDCE" w14:textId="77777777" w:rsidR="00827437" w:rsidRPr="00522104" w:rsidRDefault="00827437" w:rsidP="00F43273">
            <w:pPr>
              <w:spacing w:before="40" w:after="40" w:line="240" w:lineRule="auto"/>
              <w:rPr>
                <w:rFonts w:ascii="Times New Roman" w:eastAsia="Times New Roman" w:hAnsi="Times New Roman" w:cs="Times New Roman"/>
                <w:i/>
                <w:iCs/>
                <w:sz w:val="20"/>
                <w:szCs w:val="20"/>
                <w:lang w:eastAsia="ru-RU"/>
              </w:rPr>
            </w:pPr>
          </w:p>
        </w:tc>
        <w:tc>
          <w:tcPr>
            <w:tcW w:w="850" w:type="dxa"/>
            <w:vMerge/>
            <w:tcBorders>
              <w:top w:val="nil"/>
              <w:left w:val="single" w:sz="4" w:space="0" w:color="auto"/>
              <w:bottom w:val="single" w:sz="4" w:space="0" w:color="000000"/>
              <w:right w:val="single" w:sz="4" w:space="0" w:color="auto"/>
            </w:tcBorders>
            <w:vAlign w:val="center"/>
            <w:hideMark/>
          </w:tcPr>
          <w:p w14:paraId="25BBEC5A" w14:textId="77777777" w:rsidR="00827437" w:rsidRPr="00522104" w:rsidRDefault="00827437" w:rsidP="00F43273">
            <w:pPr>
              <w:spacing w:before="40" w:after="40" w:line="240" w:lineRule="auto"/>
              <w:rPr>
                <w:rFonts w:ascii="Times New Roman" w:eastAsia="Times New Roman" w:hAnsi="Times New Roman" w:cs="Times New Roman"/>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14:paraId="3566FD8E" w14:textId="77777777" w:rsidR="00827437" w:rsidRPr="00522104" w:rsidRDefault="00827437" w:rsidP="00F43273">
            <w:pPr>
              <w:spacing w:before="40" w:after="40" w:line="240" w:lineRule="auto"/>
              <w:rPr>
                <w:rFonts w:ascii="Times New Roman" w:eastAsia="Times New Roman" w:hAnsi="Times New Roman" w:cs="Times New Roman"/>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4B1A07A7"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14:paraId="40A46E0E"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w:t>
            </w:r>
          </w:p>
        </w:tc>
        <w:tc>
          <w:tcPr>
            <w:tcW w:w="845" w:type="dxa"/>
            <w:tcBorders>
              <w:top w:val="nil"/>
              <w:left w:val="nil"/>
              <w:bottom w:val="single" w:sz="4" w:space="0" w:color="auto"/>
              <w:right w:val="single" w:sz="4" w:space="0" w:color="auto"/>
            </w:tcBorders>
            <w:shd w:val="clear" w:color="auto" w:fill="auto"/>
            <w:noWrap/>
            <w:vAlign w:val="center"/>
            <w:hideMark/>
          </w:tcPr>
          <w:p w14:paraId="7F1EE77F"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14:paraId="5FA4003A" w14:textId="77777777" w:rsidR="00827437" w:rsidRPr="00522104" w:rsidRDefault="00827437" w:rsidP="00F43273">
            <w:pPr>
              <w:spacing w:before="40" w:after="4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w:t>
            </w:r>
          </w:p>
        </w:tc>
      </w:tr>
      <w:tr w:rsidR="00B6135D" w:rsidRPr="00522104" w14:paraId="41480930" w14:textId="77777777" w:rsidTr="00F042AC">
        <w:trPr>
          <w:trHeight w:val="2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5070DC3F" w14:textId="24F6DB33" w:rsidR="00827437" w:rsidRPr="00522104" w:rsidRDefault="00827437" w:rsidP="00F43273">
            <w:pPr>
              <w:spacing w:before="40" w:after="40" w:line="240" w:lineRule="auto"/>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Всего программные расходы</w:t>
            </w:r>
            <w:r w:rsidR="004B27CA">
              <w:rPr>
                <w:rFonts w:ascii="Times New Roman" w:eastAsia="Times New Roman" w:hAnsi="Times New Roman" w:cs="Times New Roman"/>
                <w:b/>
                <w:bCs/>
                <w:i/>
                <w:iCs/>
                <w:sz w:val="18"/>
                <w:szCs w:val="18"/>
                <w:lang w:eastAsia="ru-RU"/>
              </w:rPr>
              <w:t>:</w:t>
            </w:r>
          </w:p>
        </w:tc>
        <w:tc>
          <w:tcPr>
            <w:tcW w:w="850" w:type="dxa"/>
            <w:tcBorders>
              <w:top w:val="nil"/>
              <w:left w:val="nil"/>
              <w:bottom w:val="single" w:sz="4" w:space="0" w:color="auto"/>
              <w:right w:val="single" w:sz="4" w:space="0" w:color="auto"/>
            </w:tcBorders>
            <w:shd w:val="clear" w:color="auto" w:fill="auto"/>
            <w:noWrap/>
            <w:hideMark/>
          </w:tcPr>
          <w:p w14:paraId="14BE4112"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161977,8</w:t>
            </w:r>
          </w:p>
        </w:tc>
        <w:tc>
          <w:tcPr>
            <w:tcW w:w="851" w:type="dxa"/>
            <w:tcBorders>
              <w:top w:val="nil"/>
              <w:left w:val="nil"/>
              <w:bottom w:val="single" w:sz="4" w:space="0" w:color="auto"/>
              <w:right w:val="single" w:sz="4" w:space="0" w:color="auto"/>
            </w:tcBorders>
            <w:shd w:val="clear" w:color="auto" w:fill="auto"/>
            <w:noWrap/>
            <w:hideMark/>
          </w:tcPr>
          <w:p w14:paraId="61D2FD65"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131151,31</w:t>
            </w:r>
          </w:p>
        </w:tc>
        <w:tc>
          <w:tcPr>
            <w:tcW w:w="992" w:type="dxa"/>
            <w:tcBorders>
              <w:top w:val="nil"/>
              <w:left w:val="nil"/>
              <w:bottom w:val="single" w:sz="4" w:space="0" w:color="auto"/>
              <w:right w:val="single" w:sz="4" w:space="0" w:color="auto"/>
            </w:tcBorders>
            <w:shd w:val="clear" w:color="auto" w:fill="auto"/>
            <w:noWrap/>
            <w:hideMark/>
          </w:tcPr>
          <w:p w14:paraId="764FEBD2"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156201,03</w:t>
            </w:r>
          </w:p>
        </w:tc>
        <w:tc>
          <w:tcPr>
            <w:tcW w:w="709" w:type="dxa"/>
            <w:tcBorders>
              <w:top w:val="nil"/>
              <w:left w:val="nil"/>
              <w:bottom w:val="single" w:sz="4" w:space="0" w:color="auto"/>
              <w:right w:val="single" w:sz="4" w:space="0" w:color="auto"/>
            </w:tcBorders>
            <w:shd w:val="clear" w:color="auto" w:fill="auto"/>
            <w:noWrap/>
            <w:hideMark/>
          </w:tcPr>
          <w:p w14:paraId="7316D936"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97,88</w:t>
            </w:r>
          </w:p>
        </w:tc>
        <w:tc>
          <w:tcPr>
            <w:tcW w:w="850" w:type="dxa"/>
            <w:tcBorders>
              <w:top w:val="nil"/>
              <w:left w:val="nil"/>
              <w:bottom w:val="single" w:sz="4" w:space="0" w:color="auto"/>
              <w:right w:val="single" w:sz="4" w:space="0" w:color="auto"/>
            </w:tcBorders>
            <w:shd w:val="clear" w:color="auto" w:fill="auto"/>
            <w:noWrap/>
            <w:hideMark/>
          </w:tcPr>
          <w:p w14:paraId="4E97EB9F"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141555,72</w:t>
            </w:r>
          </w:p>
        </w:tc>
        <w:tc>
          <w:tcPr>
            <w:tcW w:w="851" w:type="dxa"/>
            <w:tcBorders>
              <w:top w:val="nil"/>
              <w:left w:val="nil"/>
              <w:bottom w:val="single" w:sz="4" w:space="0" w:color="auto"/>
              <w:right w:val="single" w:sz="4" w:space="0" w:color="auto"/>
            </w:tcBorders>
            <w:shd w:val="clear" w:color="auto" w:fill="auto"/>
            <w:noWrap/>
            <w:hideMark/>
          </w:tcPr>
          <w:p w14:paraId="3537081B"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141200,26</w:t>
            </w:r>
          </w:p>
        </w:tc>
        <w:tc>
          <w:tcPr>
            <w:tcW w:w="850" w:type="dxa"/>
            <w:tcBorders>
              <w:top w:val="nil"/>
              <w:left w:val="nil"/>
              <w:bottom w:val="single" w:sz="4" w:space="0" w:color="auto"/>
              <w:right w:val="single" w:sz="4" w:space="0" w:color="auto"/>
            </w:tcBorders>
            <w:shd w:val="clear" w:color="auto" w:fill="auto"/>
            <w:noWrap/>
            <w:hideMark/>
          </w:tcPr>
          <w:p w14:paraId="1B3EC961"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25049,72</w:t>
            </w:r>
          </w:p>
        </w:tc>
        <w:tc>
          <w:tcPr>
            <w:tcW w:w="709" w:type="dxa"/>
            <w:tcBorders>
              <w:top w:val="nil"/>
              <w:left w:val="nil"/>
              <w:bottom w:val="single" w:sz="4" w:space="0" w:color="auto"/>
              <w:right w:val="single" w:sz="4" w:space="0" w:color="auto"/>
            </w:tcBorders>
            <w:shd w:val="clear" w:color="auto" w:fill="auto"/>
            <w:hideMark/>
          </w:tcPr>
          <w:p w14:paraId="52C05259"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119,10</w:t>
            </w:r>
          </w:p>
        </w:tc>
        <w:tc>
          <w:tcPr>
            <w:tcW w:w="845" w:type="dxa"/>
            <w:tcBorders>
              <w:top w:val="nil"/>
              <w:left w:val="nil"/>
              <w:bottom w:val="single" w:sz="4" w:space="0" w:color="auto"/>
              <w:right w:val="single" w:sz="4" w:space="0" w:color="auto"/>
            </w:tcBorders>
            <w:shd w:val="clear" w:color="auto" w:fill="auto"/>
            <w:noWrap/>
            <w:hideMark/>
          </w:tcPr>
          <w:p w14:paraId="3723FE71"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-5776,78</w:t>
            </w:r>
          </w:p>
        </w:tc>
        <w:tc>
          <w:tcPr>
            <w:tcW w:w="709" w:type="dxa"/>
            <w:tcBorders>
              <w:top w:val="nil"/>
              <w:left w:val="nil"/>
              <w:bottom w:val="single" w:sz="4" w:space="0" w:color="auto"/>
              <w:right w:val="single" w:sz="4" w:space="0" w:color="auto"/>
            </w:tcBorders>
            <w:shd w:val="clear" w:color="auto" w:fill="auto"/>
            <w:hideMark/>
          </w:tcPr>
          <w:p w14:paraId="7AE51448"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96,43</w:t>
            </w:r>
          </w:p>
        </w:tc>
      </w:tr>
      <w:tr w:rsidR="00B6135D" w:rsidRPr="00522104" w14:paraId="2FE39A62" w14:textId="77777777" w:rsidTr="00F042AC">
        <w:trPr>
          <w:trHeight w:val="20"/>
        </w:trPr>
        <w:tc>
          <w:tcPr>
            <w:tcW w:w="2274" w:type="dxa"/>
            <w:tcBorders>
              <w:top w:val="nil"/>
              <w:left w:val="single" w:sz="4" w:space="0" w:color="auto"/>
              <w:bottom w:val="single" w:sz="4" w:space="0" w:color="auto"/>
              <w:right w:val="single" w:sz="4" w:space="0" w:color="auto"/>
            </w:tcBorders>
            <w:shd w:val="clear" w:color="auto" w:fill="auto"/>
            <w:noWrap/>
            <w:vAlign w:val="bottom"/>
            <w:hideMark/>
          </w:tcPr>
          <w:p w14:paraId="03955A2C" w14:textId="2D440174" w:rsidR="00827437" w:rsidRPr="00522104" w:rsidRDefault="00827437" w:rsidP="00F43273">
            <w:pPr>
              <w:spacing w:before="40" w:after="40" w:line="240" w:lineRule="auto"/>
              <w:rPr>
                <w:rFonts w:ascii="Times New Roman" w:eastAsia="Times New Roman" w:hAnsi="Times New Roman" w:cs="Times New Roman"/>
                <w:b/>
                <w:bCs/>
                <w:i/>
                <w:iCs/>
                <w:sz w:val="18"/>
                <w:szCs w:val="18"/>
                <w:lang w:eastAsia="ru-RU"/>
              </w:rPr>
            </w:pPr>
            <w:r w:rsidRPr="00522104">
              <w:rPr>
                <w:rFonts w:ascii="Times New Roman" w:eastAsia="Times New Roman" w:hAnsi="Times New Roman" w:cs="Times New Roman"/>
                <w:b/>
                <w:bCs/>
                <w:i/>
                <w:iCs/>
                <w:sz w:val="18"/>
                <w:szCs w:val="18"/>
                <w:lang w:eastAsia="ru-RU"/>
              </w:rPr>
              <w:t>в том числе по ГП</w:t>
            </w:r>
            <w:r w:rsidR="004B27CA">
              <w:rPr>
                <w:rFonts w:ascii="Times New Roman" w:eastAsia="Times New Roman" w:hAnsi="Times New Roman" w:cs="Times New Roman"/>
                <w:b/>
                <w:bCs/>
                <w:i/>
                <w:iCs/>
                <w:sz w:val="18"/>
                <w:szCs w:val="18"/>
                <w:lang w:eastAsia="ru-RU"/>
              </w:rPr>
              <w:t>:</w:t>
            </w:r>
          </w:p>
        </w:tc>
        <w:tc>
          <w:tcPr>
            <w:tcW w:w="850" w:type="dxa"/>
            <w:tcBorders>
              <w:top w:val="nil"/>
              <w:left w:val="nil"/>
              <w:bottom w:val="single" w:sz="4" w:space="0" w:color="auto"/>
              <w:right w:val="single" w:sz="4" w:space="0" w:color="auto"/>
            </w:tcBorders>
            <w:shd w:val="clear" w:color="auto" w:fill="auto"/>
            <w:noWrap/>
            <w:hideMark/>
          </w:tcPr>
          <w:p w14:paraId="13B0F466" w14:textId="77777777" w:rsidR="00827437" w:rsidRPr="00522104" w:rsidRDefault="00827437" w:rsidP="00F43273">
            <w:pPr>
              <w:spacing w:before="40" w:after="40" w:line="240" w:lineRule="auto"/>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noWrap/>
            <w:hideMark/>
          </w:tcPr>
          <w:p w14:paraId="069C9931" w14:textId="77777777" w:rsidR="00827437" w:rsidRPr="00522104" w:rsidRDefault="00827437" w:rsidP="00F43273">
            <w:pPr>
              <w:spacing w:before="40" w:after="40" w:line="240" w:lineRule="auto"/>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hideMark/>
          </w:tcPr>
          <w:p w14:paraId="40AD9FC1" w14:textId="77777777" w:rsidR="00827437" w:rsidRPr="00522104" w:rsidRDefault="00827437" w:rsidP="00F43273">
            <w:pPr>
              <w:spacing w:before="40" w:after="40" w:line="240" w:lineRule="auto"/>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hideMark/>
          </w:tcPr>
          <w:p w14:paraId="5FD6765E" w14:textId="77777777" w:rsidR="00827437" w:rsidRPr="00522104" w:rsidRDefault="00827437" w:rsidP="00F43273">
            <w:pPr>
              <w:spacing w:before="40" w:after="40" w:line="240" w:lineRule="auto"/>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auto" w:fill="auto"/>
            <w:noWrap/>
            <w:hideMark/>
          </w:tcPr>
          <w:p w14:paraId="4187EA63" w14:textId="77777777" w:rsidR="00827437" w:rsidRPr="00522104" w:rsidRDefault="00827437" w:rsidP="00F43273">
            <w:pPr>
              <w:spacing w:before="40" w:after="40" w:line="240" w:lineRule="auto"/>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single" w:sz="4" w:space="0" w:color="auto"/>
            </w:tcBorders>
            <w:shd w:val="clear" w:color="auto" w:fill="auto"/>
            <w:hideMark/>
          </w:tcPr>
          <w:p w14:paraId="1637A39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auto" w:fill="auto"/>
            <w:noWrap/>
            <w:hideMark/>
          </w:tcPr>
          <w:p w14:paraId="6F8AD614" w14:textId="77777777" w:rsidR="00827437" w:rsidRPr="00522104" w:rsidRDefault="00827437" w:rsidP="00F43273">
            <w:pPr>
              <w:spacing w:before="40" w:after="4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hideMark/>
          </w:tcPr>
          <w:p w14:paraId="3C43A664" w14:textId="77777777" w:rsidR="00827437" w:rsidRPr="00522104" w:rsidRDefault="00827437" w:rsidP="00F43273">
            <w:pPr>
              <w:spacing w:before="40" w:after="4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 </w:t>
            </w:r>
          </w:p>
        </w:tc>
        <w:tc>
          <w:tcPr>
            <w:tcW w:w="845" w:type="dxa"/>
            <w:tcBorders>
              <w:top w:val="nil"/>
              <w:left w:val="nil"/>
              <w:bottom w:val="single" w:sz="4" w:space="0" w:color="auto"/>
              <w:right w:val="single" w:sz="4" w:space="0" w:color="auto"/>
            </w:tcBorders>
            <w:shd w:val="clear" w:color="auto" w:fill="auto"/>
            <w:noWrap/>
            <w:hideMark/>
          </w:tcPr>
          <w:p w14:paraId="0A531E2D" w14:textId="77777777" w:rsidR="00827437" w:rsidRPr="00522104" w:rsidRDefault="00827437" w:rsidP="00F43273">
            <w:pPr>
              <w:spacing w:before="40" w:after="4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hideMark/>
          </w:tcPr>
          <w:p w14:paraId="31B961A4" w14:textId="77777777" w:rsidR="00827437" w:rsidRPr="00522104" w:rsidRDefault="00827437" w:rsidP="00F43273">
            <w:pPr>
              <w:spacing w:before="40" w:after="40" w:line="240" w:lineRule="auto"/>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 </w:t>
            </w:r>
          </w:p>
        </w:tc>
      </w:tr>
      <w:tr w:rsidR="00B6135D" w:rsidRPr="00522104" w14:paraId="5957950A"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49A67838"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Развитие здравоохранения </w:t>
            </w:r>
          </w:p>
        </w:tc>
        <w:tc>
          <w:tcPr>
            <w:tcW w:w="850" w:type="dxa"/>
            <w:tcBorders>
              <w:top w:val="nil"/>
              <w:left w:val="nil"/>
              <w:bottom w:val="single" w:sz="4" w:space="0" w:color="auto"/>
              <w:right w:val="single" w:sz="4" w:space="0" w:color="auto"/>
            </w:tcBorders>
            <w:shd w:val="clear" w:color="auto" w:fill="auto"/>
            <w:hideMark/>
          </w:tcPr>
          <w:p w14:paraId="125ED54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27456,62</w:t>
            </w:r>
          </w:p>
        </w:tc>
        <w:tc>
          <w:tcPr>
            <w:tcW w:w="851" w:type="dxa"/>
            <w:tcBorders>
              <w:top w:val="nil"/>
              <w:left w:val="nil"/>
              <w:bottom w:val="single" w:sz="4" w:space="0" w:color="auto"/>
              <w:right w:val="single" w:sz="4" w:space="0" w:color="auto"/>
            </w:tcBorders>
            <w:shd w:val="clear" w:color="auto" w:fill="auto"/>
            <w:hideMark/>
          </w:tcPr>
          <w:p w14:paraId="5B291C4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24753,36</w:t>
            </w:r>
          </w:p>
        </w:tc>
        <w:tc>
          <w:tcPr>
            <w:tcW w:w="992" w:type="dxa"/>
            <w:tcBorders>
              <w:top w:val="nil"/>
              <w:left w:val="nil"/>
              <w:bottom w:val="single" w:sz="4" w:space="0" w:color="auto"/>
              <w:right w:val="single" w:sz="4" w:space="0" w:color="auto"/>
            </w:tcBorders>
            <w:shd w:val="clear" w:color="auto" w:fill="auto"/>
            <w:noWrap/>
            <w:hideMark/>
          </w:tcPr>
          <w:p w14:paraId="532F741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27562,14</w:t>
            </w:r>
          </w:p>
        </w:tc>
        <w:tc>
          <w:tcPr>
            <w:tcW w:w="709" w:type="dxa"/>
            <w:tcBorders>
              <w:top w:val="nil"/>
              <w:left w:val="nil"/>
              <w:bottom w:val="single" w:sz="4" w:space="0" w:color="auto"/>
              <w:right w:val="single" w:sz="4" w:space="0" w:color="auto"/>
            </w:tcBorders>
            <w:shd w:val="clear" w:color="auto" w:fill="auto"/>
            <w:noWrap/>
            <w:hideMark/>
          </w:tcPr>
          <w:p w14:paraId="5E85601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17,27</w:t>
            </w:r>
          </w:p>
        </w:tc>
        <w:tc>
          <w:tcPr>
            <w:tcW w:w="850" w:type="dxa"/>
            <w:tcBorders>
              <w:top w:val="nil"/>
              <w:left w:val="nil"/>
              <w:bottom w:val="single" w:sz="4" w:space="0" w:color="auto"/>
              <w:right w:val="single" w:sz="4" w:space="0" w:color="auto"/>
            </w:tcBorders>
            <w:shd w:val="clear" w:color="auto" w:fill="auto"/>
            <w:hideMark/>
          </w:tcPr>
          <w:p w14:paraId="3DC3FBA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25415,77</w:t>
            </w:r>
          </w:p>
        </w:tc>
        <w:tc>
          <w:tcPr>
            <w:tcW w:w="851" w:type="dxa"/>
            <w:tcBorders>
              <w:top w:val="nil"/>
              <w:left w:val="nil"/>
              <w:bottom w:val="single" w:sz="4" w:space="0" w:color="auto"/>
              <w:right w:val="single" w:sz="4" w:space="0" w:color="auto"/>
            </w:tcBorders>
            <w:shd w:val="clear" w:color="auto" w:fill="auto"/>
            <w:hideMark/>
          </w:tcPr>
          <w:p w14:paraId="22999FA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26357,17</w:t>
            </w:r>
          </w:p>
        </w:tc>
        <w:tc>
          <w:tcPr>
            <w:tcW w:w="850" w:type="dxa"/>
            <w:tcBorders>
              <w:top w:val="nil"/>
              <w:left w:val="nil"/>
              <w:bottom w:val="single" w:sz="4" w:space="0" w:color="auto"/>
              <w:right w:val="single" w:sz="4" w:space="0" w:color="auto"/>
            </w:tcBorders>
            <w:shd w:val="clear" w:color="auto" w:fill="auto"/>
            <w:hideMark/>
          </w:tcPr>
          <w:p w14:paraId="7A8E20F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2808,78</w:t>
            </w:r>
          </w:p>
        </w:tc>
        <w:tc>
          <w:tcPr>
            <w:tcW w:w="709" w:type="dxa"/>
            <w:tcBorders>
              <w:top w:val="nil"/>
              <w:left w:val="nil"/>
              <w:bottom w:val="single" w:sz="4" w:space="0" w:color="auto"/>
              <w:right w:val="single" w:sz="4" w:space="0" w:color="auto"/>
            </w:tcBorders>
            <w:shd w:val="clear" w:color="auto" w:fill="auto"/>
            <w:hideMark/>
          </w:tcPr>
          <w:p w14:paraId="3994252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111,35</w:t>
            </w:r>
          </w:p>
        </w:tc>
        <w:tc>
          <w:tcPr>
            <w:tcW w:w="845" w:type="dxa"/>
            <w:tcBorders>
              <w:top w:val="nil"/>
              <w:left w:val="nil"/>
              <w:bottom w:val="single" w:sz="4" w:space="0" w:color="auto"/>
              <w:right w:val="single" w:sz="4" w:space="0" w:color="auto"/>
            </w:tcBorders>
            <w:shd w:val="clear" w:color="auto" w:fill="auto"/>
            <w:hideMark/>
          </w:tcPr>
          <w:p w14:paraId="03635A6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105,52</w:t>
            </w:r>
          </w:p>
        </w:tc>
        <w:tc>
          <w:tcPr>
            <w:tcW w:w="709" w:type="dxa"/>
            <w:tcBorders>
              <w:top w:val="nil"/>
              <w:left w:val="nil"/>
              <w:bottom w:val="single" w:sz="4" w:space="0" w:color="auto"/>
              <w:right w:val="single" w:sz="4" w:space="0" w:color="auto"/>
            </w:tcBorders>
            <w:shd w:val="clear" w:color="auto" w:fill="auto"/>
            <w:hideMark/>
          </w:tcPr>
          <w:p w14:paraId="15903BE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100,38</w:t>
            </w:r>
          </w:p>
        </w:tc>
      </w:tr>
      <w:tr w:rsidR="00B6135D" w:rsidRPr="00522104" w14:paraId="427A910C" w14:textId="77777777" w:rsidTr="00F042AC">
        <w:trPr>
          <w:trHeight w:val="179"/>
        </w:trPr>
        <w:tc>
          <w:tcPr>
            <w:tcW w:w="2274" w:type="dxa"/>
            <w:tcBorders>
              <w:top w:val="nil"/>
              <w:left w:val="single" w:sz="4" w:space="0" w:color="auto"/>
              <w:bottom w:val="single" w:sz="4" w:space="0" w:color="auto"/>
              <w:right w:val="single" w:sz="4" w:space="0" w:color="auto"/>
            </w:tcBorders>
            <w:shd w:val="clear" w:color="000000" w:fill="FFFFFF"/>
            <w:hideMark/>
          </w:tcPr>
          <w:p w14:paraId="0FFD8557"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Развитие образования </w:t>
            </w:r>
          </w:p>
        </w:tc>
        <w:tc>
          <w:tcPr>
            <w:tcW w:w="850" w:type="dxa"/>
            <w:tcBorders>
              <w:top w:val="nil"/>
              <w:left w:val="nil"/>
              <w:bottom w:val="single" w:sz="4" w:space="0" w:color="auto"/>
              <w:right w:val="single" w:sz="4" w:space="0" w:color="auto"/>
            </w:tcBorders>
            <w:shd w:val="clear" w:color="auto" w:fill="auto"/>
            <w:hideMark/>
          </w:tcPr>
          <w:p w14:paraId="0BF112E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33164,67</w:t>
            </w:r>
          </w:p>
        </w:tc>
        <w:tc>
          <w:tcPr>
            <w:tcW w:w="851" w:type="dxa"/>
            <w:tcBorders>
              <w:top w:val="nil"/>
              <w:left w:val="nil"/>
              <w:bottom w:val="single" w:sz="4" w:space="0" w:color="auto"/>
              <w:right w:val="single" w:sz="4" w:space="0" w:color="auto"/>
            </w:tcBorders>
            <w:shd w:val="clear" w:color="auto" w:fill="auto"/>
            <w:hideMark/>
          </w:tcPr>
          <w:p w14:paraId="3A6E050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28682,61</w:t>
            </w:r>
          </w:p>
        </w:tc>
        <w:tc>
          <w:tcPr>
            <w:tcW w:w="992" w:type="dxa"/>
            <w:tcBorders>
              <w:top w:val="nil"/>
              <w:left w:val="nil"/>
              <w:bottom w:val="single" w:sz="4" w:space="0" w:color="auto"/>
              <w:right w:val="single" w:sz="4" w:space="0" w:color="auto"/>
            </w:tcBorders>
            <w:shd w:val="clear" w:color="auto" w:fill="auto"/>
            <w:noWrap/>
            <w:hideMark/>
          </w:tcPr>
          <w:p w14:paraId="29C3955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31829,56</w:t>
            </w:r>
          </w:p>
        </w:tc>
        <w:tc>
          <w:tcPr>
            <w:tcW w:w="709" w:type="dxa"/>
            <w:tcBorders>
              <w:top w:val="nil"/>
              <w:left w:val="nil"/>
              <w:bottom w:val="single" w:sz="4" w:space="0" w:color="auto"/>
              <w:right w:val="single" w:sz="4" w:space="0" w:color="auto"/>
            </w:tcBorders>
            <w:shd w:val="clear" w:color="auto" w:fill="auto"/>
            <w:noWrap/>
            <w:hideMark/>
          </w:tcPr>
          <w:p w14:paraId="4F45F6F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19,95</w:t>
            </w:r>
          </w:p>
        </w:tc>
        <w:tc>
          <w:tcPr>
            <w:tcW w:w="850" w:type="dxa"/>
            <w:tcBorders>
              <w:top w:val="nil"/>
              <w:left w:val="nil"/>
              <w:bottom w:val="single" w:sz="4" w:space="0" w:color="auto"/>
              <w:right w:val="single" w:sz="4" w:space="0" w:color="auto"/>
            </w:tcBorders>
            <w:shd w:val="clear" w:color="auto" w:fill="auto"/>
            <w:hideMark/>
          </w:tcPr>
          <w:p w14:paraId="4A21187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32364,59</w:t>
            </w:r>
          </w:p>
        </w:tc>
        <w:tc>
          <w:tcPr>
            <w:tcW w:w="851" w:type="dxa"/>
            <w:tcBorders>
              <w:top w:val="nil"/>
              <w:left w:val="nil"/>
              <w:bottom w:val="single" w:sz="4" w:space="0" w:color="auto"/>
              <w:right w:val="single" w:sz="4" w:space="0" w:color="auto"/>
            </w:tcBorders>
            <w:shd w:val="clear" w:color="auto" w:fill="auto"/>
            <w:hideMark/>
          </w:tcPr>
          <w:p w14:paraId="72B4247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33863,61</w:t>
            </w:r>
          </w:p>
        </w:tc>
        <w:tc>
          <w:tcPr>
            <w:tcW w:w="850" w:type="dxa"/>
            <w:tcBorders>
              <w:top w:val="nil"/>
              <w:left w:val="nil"/>
              <w:bottom w:val="single" w:sz="4" w:space="0" w:color="auto"/>
              <w:right w:val="single" w:sz="4" w:space="0" w:color="auto"/>
            </w:tcBorders>
            <w:shd w:val="clear" w:color="auto" w:fill="auto"/>
            <w:hideMark/>
          </w:tcPr>
          <w:p w14:paraId="03E7823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3146,95</w:t>
            </w:r>
          </w:p>
        </w:tc>
        <w:tc>
          <w:tcPr>
            <w:tcW w:w="709" w:type="dxa"/>
            <w:tcBorders>
              <w:top w:val="nil"/>
              <w:left w:val="nil"/>
              <w:bottom w:val="single" w:sz="4" w:space="0" w:color="auto"/>
              <w:right w:val="single" w:sz="4" w:space="0" w:color="auto"/>
            </w:tcBorders>
            <w:shd w:val="clear" w:color="auto" w:fill="auto"/>
            <w:hideMark/>
          </w:tcPr>
          <w:p w14:paraId="637A0B4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110,97</w:t>
            </w:r>
          </w:p>
        </w:tc>
        <w:tc>
          <w:tcPr>
            <w:tcW w:w="845" w:type="dxa"/>
            <w:tcBorders>
              <w:top w:val="nil"/>
              <w:left w:val="nil"/>
              <w:bottom w:val="single" w:sz="4" w:space="0" w:color="auto"/>
              <w:right w:val="single" w:sz="4" w:space="0" w:color="auto"/>
            </w:tcBorders>
            <w:shd w:val="clear" w:color="auto" w:fill="auto"/>
            <w:hideMark/>
          </w:tcPr>
          <w:p w14:paraId="5C0FAA9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-1335,11</w:t>
            </w:r>
          </w:p>
        </w:tc>
        <w:tc>
          <w:tcPr>
            <w:tcW w:w="709" w:type="dxa"/>
            <w:tcBorders>
              <w:top w:val="nil"/>
              <w:left w:val="nil"/>
              <w:bottom w:val="single" w:sz="4" w:space="0" w:color="auto"/>
              <w:right w:val="single" w:sz="4" w:space="0" w:color="auto"/>
            </w:tcBorders>
            <w:shd w:val="clear" w:color="auto" w:fill="auto"/>
            <w:hideMark/>
          </w:tcPr>
          <w:p w14:paraId="600F353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95,97</w:t>
            </w:r>
          </w:p>
        </w:tc>
      </w:tr>
      <w:tr w:rsidR="00B6135D" w:rsidRPr="00522104" w14:paraId="7404631F"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731B470F"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 Социальная поддержка населения </w:t>
            </w:r>
          </w:p>
        </w:tc>
        <w:tc>
          <w:tcPr>
            <w:tcW w:w="850" w:type="dxa"/>
            <w:tcBorders>
              <w:top w:val="nil"/>
              <w:left w:val="nil"/>
              <w:bottom w:val="single" w:sz="4" w:space="0" w:color="auto"/>
              <w:right w:val="single" w:sz="4" w:space="0" w:color="auto"/>
            </w:tcBorders>
            <w:shd w:val="clear" w:color="auto" w:fill="auto"/>
            <w:hideMark/>
          </w:tcPr>
          <w:p w14:paraId="7881F22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29881,01</w:t>
            </w:r>
          </w:p>
        </w:tc>
        <w:tc>
          <w:tcPr>
            <w:tcW w:w="851" w:type="dxa"/>
            <w:tcBorders>
              <w:top w:val="nil"/>
              <w:left w:val="nil"/>
              <w:bottom w:val="single" w:sz="4" w:space="0" w:color="auto"/>
              <w:right w:val="single" w:sz="4" w:space="0" w:color="auto"/>
            </w:tcBorders>
            <w:shd w:val="clear" w:color="auto" w:fill="auto"/>
            <w:hideMark/>
          </w:tcPr>
          <w:p w14:paraId="2C3384A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28201,30</w:t>
            </w:r>
          </w:p>
        </w:tc>
        <w:tc>
          <w:tcPr>
            <w:tcW w:w="992" w:type="dxa"/>
            <w:tcBorders>
              <w:top w:val="nil"/>
              <w:left w:val="nil"/>
              <w:bottom w:val="single" w:sz="4" w:space="0" w:color="auto"/>
              <w:right w:val="single" w:sz="4" w:space="0" w:color="auto"/>
            </w:tcBorders>
            <w:shd w:val="clear" w:color="auto" w:fill="auto"/>
            <w:noWrap/>
            <w:hideMark/>
          </w:tcPr>
          <w:p w14:paraId="4F73F2D3"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30552,28</w:t>
            </w:r>
          </w:p>
        </w:tc>
        <w:tc>
          <w:tcPr>
            <w:tcW w:w="709" w:type="dxa"/>
            <w:tcBorders>
              <w:top w:val="nil"/>
              <w:left w:val="nil"/>
              <w:bottom w:val="single" w:sz="4" w:space="0" w:color="auto"/>
              <w:right w:val="single" w:sz="4" w:space="0" w:color="auto"/>
            </w:tcBorders>
            <w:shd w:val="clear" w:color="auto" w:fill="auto"/>
            <w:noWrap/>
            <w:hideMark/>
          </w:tcPr>
          <w:p w14:paraId="2E37566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19,15</w:t>
            </w:r>
          </w:p>
        </w:tc>
        <w:tc>
          <w:tcPr>
            <w:tcW w:w="850" w:type="dxa"/>
            <w:tcBorders>
              <w:top w:val="nil"/>
              <w:left w:val="nil"/>
              <w:bottom w:val="single" w:sz="4" w:space="0" w:color="auto"/>
              <w:right w:val="single" w:sz="4" w:space="0" w:color="auto"/>
            </w:tcBorders>
            <w:shd w:val="clear" w:color="auto" w:fill="auto"/>
            <w:hideMark/>
          </w:tcPr>
          <w:p w14:paraId="1BFB824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33563,99</w:t>
            </w:r>
          </w:p>
        </w:tc>
        <w:tc>
          <w:tcPr>
            <w:tcW w:w="851" w:type="dxa"/>
            <w:tcBorders>
              <w:top w:val="nil"/>
              <w:left w:val="nil"/>
              <w:bottom w:val="single" w:sz="4" w:space="0" w:color="auto"/>
              <w:right w:val="single" w:sz="4" w:space="0" w:color="auto"/>
            </w:tcBorders>
            <w:shd w:val="clear" w:color="auto" w:fill="auto"/>
            <w:hideMark/>
          </w:tcPr>
          <w:p w14:paraId="1AC14F6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34753,18</w:t>
            </w:r>
          </w:p>
        </w:tc>
        <w:tc>
          <w:tcPr>
            <w:tcW w:w="850" w:type="dxa"/>
            <w:tcBorders>
              <w:top w:val="nil"/>
              <w:left w:val="nil"/>
              <w:bottom w:val="single" w:sz="4" w:space="0" w:color="auto"/>
              <w:right w:val="single" w:sz="4" w:space="0" w:color="auto"/>
            </w:tcBorders>
            <w:shd w:val="clear" w:color="auto" w:fill="auto"/>
            <w:hideMark/>
          </w:tcPr>
          <w:p w14:paraId="0510276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2350,98</w:t>
            </w:r>
          </w:p>
        </w:tc>
        <w:tc>
          <w:tcPr>
            <w:tcW w:w="709" w:type="dxa"/>
            <w:tcBorders>
              <w:top w:val="nil"/>
              <w:left w:val="nil"/>
              <w:bottom w:val="single" w:sz="4" w:space="0" w:color="auto"/>
              <w:right w:val="single" w:sz="4" w:space="0" w:color="auto"/>
            </w:tcBorders>
            <w:shd w:val="clear" w:color="auto" w:fill="auto"/>
            <w:hideMark/>
          </w:tcPr>
          <w:p w14:paraId="57C4F72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108,34</w:t>
            </w:r>
          </w:p>
        </w:tc>
        <w:tc>
          <w:tcPr>
            <w:tcW w:w="845" w:type="dxa"/>
            <w:tcBorders>
              <w:top w:val="nil"/>
              <w:left w:val="nil"/>
              <w:bottom w:val="single" w:sz="4" w:space="0" w:color="auto"/>
              <w:right w:val="single" w:sz="4" w:space="0" w:color="auto"/>
            </w:tcBorders>
            <w:shd w:val="clear" w:color="auto" w:fill="auto"/>
            <w:hideMark/>
          </w:tcPr>
          <w:p w14:paraId="3A4A97B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671,27</w:t>
            </w:r>
          </w:p>
        </w:tc>
        <w:tc>
          <w:tcPr>
            <w:tcW w:w="709" w:type="dxa"/>
            <w:tcBorders>
              <w:top w:val="nil"/>
              <w:left w:val="nil"/>
              <w:bottom w:val="single" w:sz="4" w:space="0" w:color="auto"/>
              <w:right w:val="single" w:sz="4" w:space="0" w:color="auto"/>
            </w:tcBorders>
            <w:shd w:val="clear" w:color="auto" w:fill="auto"/>
            <w:hideMark/>
          </w:tcPr>
          <w:p w14:paraId="5AAB2DA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102,25</w:t>
            </w:r>
          </w:p>
        </w:tc>
      </w:tr>
      <w:tr w:rsidR="00B6135D" w:rsidRPr="00522104" w14:paraId="4367871A"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675B8037"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Содействие занятости населения </w:t>
            </w:r>
          </w:p>
        </w:tc>
        <w:tc>
          <w:tcPr>
            <w:tcW w:w="850" w:type="dxa"/>
            <w:tcBorders>
              <w:top w:val="nil"/>
              <w:left w:val="nil"/>
              <w:bottom w:val="single" w:sz="4" w:space="0" w:color="auto"/>
              <w:right w:val="single" w:sz="4" w:space="0" w:color="auto"/>
            </w:tcBorders>
            <w:shd w:val="clear" w:color="auto" w:fill="auto"/>
            <w:hideMark/>
          </w:tcPr>
          <w:p w14:paraId="3C52A3C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1984,98</w:t>
            </w:r>
          </w:p>
        </w:tc>
        <w:tc>
          <w:tcPr>
            <w:tcW w:w="851" w:type="dxa"/>
            <w:tcBorders>
              <w:top w:val="nil"/>
              <w:left w:val="nil"/>
              <w:bottom w:val="single" w:sz="4" w:space="0" w:color="auto"/>
              <w:right w:val="single" w:sz="4" w:space="0" w:color="auto"/>
            </w:tcBorders>
            <w:shd w:val="clear" w:color="auto" w:fill="auto"/>
            <w:hideMark/>
          </w:tcPr>
          <w:p w14:paraId="4963104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1711,86</w:t>
            </w:r>
          </w:p>
        </w:tc>
        <w:tc>
          <w:tcPr>
            <w:tcW w:w="992" w:type="dxa"/>
            <w:tcBorders>
              <w:top w:val="nil"/>
              <w:left w:val="nil"/>
              <w:bottom w:val="single" w:sz="4" w:space="0" w:color="auto"/>
              <w:right w:val="single" w:sz="4" w:space="0" w:color="auto"/>
            </w:tcBorders>
            <w:shd w:val="clear" w:color="auto" w:fill="auto"/>
            <w:noWrap/>
            <w:hideMark/>
          </w:tcPr>
          <w:p w14:paraId="7873F94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1621,04</w:t>
            </w:r>
          </w:p>
        </w:tc>
        <w:tc>
          <w:tcPr>
            <w:tcW w:w="709" w:type="dxa"/>
            <w:tcBorders>
              <w:top w:val="nil"/>
              <w:left w:val="nil"/>
              <w:bottom w:val="single" w:sz="4" w:space="0" w:color="auto"/>
              <w:right w:val="single" w:sz="4" w:space="0" w:color="auto"/>
            </w:tcBorders>
            <w:shd w:val="clear" w:color="auto" w:fill="auto"/>
            <w:noWrap/>
            <w:hideMark/>
          </w:tcPr>
          <w:p w14:paraId="142E632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1,02</w:t>
            </w:r>
          </w:p>
        </w:tc>
        <w:tc>
          <w:tcPr>
            <w:tcW w:w="850" w:type="dxa"/>
            <w:tcBorders>
              <w:top w:val="nil"/>
              <w:left w:val="nil"/>
              <w:bottom w:val="single" w:sz="4" w:space="0" w:color="auto"/>
              <w:right w:val="single" w:sz="4" w:space="0" w:color="auto"/>
            </w:tcBorders>
            <w:shd w:val="clear" w:color="auto" w:fill="auto"/>
            <w:hideMark/>
          </w:tcPr>
          <w:p w14:paraId="529E5A2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1679,47</w:t>
            </w:r>
          </w:p>
        </w:tc>
        <w:tc>
          <w:tcPr>
            <w:tcW w:w="851" w:type="dxa"/>
            <w:tcBorders>
              <w:top w:val="nil"/>
              <w:left w:val="nil"/>
              <w:bottom w:val="single" w:sz="4" w:space="0" w:color="auto"/>
              <w:right w:val="single" w:sz="4" w:space="0" w:color="auto"/>
            </w:tcBorders>
            <w:shd w:val="clear" w:color="auto" w:fill="auto"/>
            <w:hideMark/>
          </w:tcPr>
          <w:p w14:paraId="1FF68B7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1652,52</w:t>
            </w:r>
          </w:p>
        </w:tc>
        <w:tc>
          <w:tcPr>
            <w:tcW w:w="850" w:type="dxa"/>
            <w:tcBorders>
              <w:top w:val="nil"/>
              <w:left w:val="nil"/>
              <w:bottom w:val="single" w:sz="4" w:space="0" w:color="auto"/>
              <w:right w:val="single" w:sz="4" w:space="0" w:color="auto"/>
            </w:tcBorders>
            <w:shd w:val="clear" w:color="auto" w:fill="auto"/>
            <w:hideMark/>
          </w:tcPr>
          <w:p w14:paraId="5050947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-90,82</w:t>
            </w:r>
          </w:p>
        </w:tc>
        <w:tc>
          <w:tcPr>
            <w:tcW w:w="709" w:type="dxa"/>
            <w:tcBorders>
              <w:top w:val="nil"/>
              <w:left w:val="nil"/>
              <w:bottom w:val="single" w:sz="4" w:space="0" w:color="auto"/>
              <w:right w:val="single" w:sz="4" w:space="0" w:color="auto"/>
            </w:tcBorders>
            <w:shd w:val="clear" w:color="auto" w:fill="auto"/>
            <w:hideMark/>
          </w:tcPr>
          <w:p w14:paraId="3E5C835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94,69</w:t>
            </w:r>
          </w:p>
        </w:tc>
        <w:tc>
          <w:tcPr>
            <w:tcW w:w="845" w:type="dxa"/>
            <w:tcBorders>
              <w:top w:val="nil"/>
              <w:left w:val="nil"/>
              <w:bottom w:val="single" w:sz="4" w:space="0" w:color="auto"/>
              <w:right w:val="single" w:sz="4" w:space="0" w:color="auto"/>
            </w:tcBorders>
            <w:shd w:val="clear" w:color="auto" w:fill="auto"/>
            <w:hideMark/>
          </w:tcPr>
          <w:p w14:paraId="7E270F2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-363,94</w:t>
            </w:r>
          </w:p>
        </w:tc>
        <w:tc>
          <w:tcPr>
            <w:tcW w:w="709" w:type="dxa"/>
            <w:tcBorders>
              <w:top w:val="nil"/>
              <w:left w:val="nil"/>
              <w:bottom w:val="single" w:sz="4" w:space="0" w:color="auto"/>
              <w:right w:val="single" w:sz="4" w:space="0" w:color="auto"/>
            </w:tcBorders>
            <w:shd w:val="clear" w:color="auto" w:fill="auto"/>
            <w:hideMark/>
          </w:tcPr>
          <w:p w14:paraId="3B7CF24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81,67</w:t>
            </w:r>
          </w:p>
        </w:tc>
      </w:tr>
      <w:tr w:rsidR="00B6135D" w:rsidRPr="00522104" w14:paraId="40B1C0A7"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75B6CD34"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Развитие культуры </w:t>
            </w:r>
          </w:p>
        </w:tc>
        <w:tc>
          <w:tcPr>
            <w:tcW w:w="850" w:type="dxa"/>
            <w:tcBorders>
              <w:top w:val="nil"/>
              <w:left w:val="nil"/>
              <w:bottom w:val="single" w:sz="4" w:space="0" w:color="auto"/>
              <w:right w:val="single" w:sz="4" w:space="0" w:color="auto"/>
            </w:tcBorders>
            <w:shd w:val="clear" w:color="auto" w:fill="auto"/>
            <w:hideMark/>
          </w:tcPr>
          <w:p w14:paraId="00EB3F2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1879,34</w:t>
            </w:r>
          </w:p>
        </w:tc>
        <w:tc>
          <w:tcPr>
            <w:tcW w:w="851" w:type="dxa"/>
            <w:tcBorders>
              <w:top w:val="nil"/>
              <w:left w:val="nil"/>
              <w:bottom w:val="single" w:sz="4" w:space="0" w:color="auto"/>
              <w:right w:val="single" w:sz="4" w:space="0" w:color="auto"/>
            </w:tcBorders>
            <w:shd w:val="clear" w:color="auto" w:fill="auto"/>
            <w:hideMark/>
          </w:tcPr>
          <w:p w14:paraId="5BE2670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1440,93</w:t>
            </w:r>
          </w:p>
        </w:tc>
        <w:tc>
          <w:tcPr>
            <w:tcW w:w="992" w:type="dxa"/>
            <w:tcBorders>
              <w:top w:val="nil"/>
              <w:left w:val="nil"/>
              <w:bottom w:val="single" w:sz="4" w:space="0" w:color="auto"/>
              <w:right w:val="single" w:sz="4" w:space="0" w:color="auto"/>
            </w:tcBorders>
            <w:shd w:val="clear" w:color="auto" w:fill="auto"/>
            <w:noWrap/>
            <w:hideMark/>
          </w:tcPr>
          <w:p w14:paraId="17964EC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2673,59</w:t>
            </w:r>
          </w:p>
        </w:tc>
        <w:tc>
          <w:tcPr>
            <w:tcW w:w="709" w:type="dxa"/>
            <w:tcBorders>
              <w:top w:val="nil"/>
              <w:left w:val="nil"/>
              <w:bottom w:val="single" w:sz="4" w:space="0" w:color="auto"/>
              <w:right w:val="single" w:sz="4" w:space="0" w:color="auto"/>
            </w:tcBorders>
            <w:shd w:val="clear" w:color="auto" w:fill="auto"/>
            <w:noWrap/>
            <w:hideMark/>
          </w:tcPr>
          <w:p w14:paraId="7C5A180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1,68</w:t>
            </w:r>
          </w:p>
        </w:tc>
        <w:tc>
          <w:tcPr>
            <w:tcW w:w="850" w:type="dxa"/>
            <w:tcBorders>
              <w:top w:val="nil"/>
              <w:left w:val="nil"/>
              <w:bottom w:val="single" w:sz="4" w:space="0" w:color="auto"/>
              <w:right w:val="single" w:sz="4" w:space="0" w:color="auto"/>
            </w:tcBorders>
            <w:shd w:val="clear" w:color="auto" w:fill="auto"/>
            <w:hideMark/>
          </w:tcPr>
          <w:p w14:paraId="2759245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2449,03</w:t>
            </w:r>
          </w:p>
        </w:tc>
        <w:tc>
          <w:tcPr>
            <w:tcW w:w="851" w:type="dxa"/>
            <w:tcBorders>
              <w:top w:val="nil"/>
              <w:left w:val="nil"/>
              <w:bottom w:val="single" w:sz="4" w:space="0" w:color="auto"/>
              <w:right w:val="single" w:sz="4" w:space="0" w:color="auto"/>
            </w:tcBorders>
            <w:shd w:val="clear" w:color="auto" w:fill="auto"/>
            <w:hideMark/>
          </w:tcPr>
          <w:p w14:paraId="21D4801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1919,80</w:t>
            </w:r>
          </w:p>
        </w:tc>
        <w:tc>
          <w:tcPr>
            <w:tcW w:w="850" w:type="dxa"/>
            <w:tcBorders>
              <w:top w:val="nil"/>
              <w:left w:val="nil"/>
              <w:bottom w:val="single" w:sz="4" w:space="0" w:color="auto"/>
              <w:right w:val="single" w:sz="4" w:space="0" w:color="auto"/>
            </w:tcBorders>
            <w:shd w:val="clear" w:color="auto" w:fill="auto"/>
            <w:hideMark/>
          </w:tcPr>
          <w:p w14:paraId="7043B63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1232,66</w:t>
            </w:r>
          </w:p>
        </w:tc>
        <w:tc>
          <w:tcPr>
            <w:tcW w:w="709" w:type="dxa"/>
            <w:tcBorders>
              <w:top w:val="nil"/>
              <w:left w:val="nil"/>
              <w:bottom w:val="single" w:sz="4" w:space="0" w:color="auto"/>
              <w:right w:val="single" w:sz="4" w:space="0" w:color="auto"/>
            </w:tcBorders>
            <w:shd w:val="clear" w:color="auto" w:fill="auto"/>
            <w:hideMark/>
          </w:tcPr>
          <w:p w14:paraId="70B177F3"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185,55</w:t>
            </w:r>
          </w:p>
        </w:tc>
        <w:tc>
          <w:tcPr>
            <w:tcW w:w="845" w:type="dxa"/>
            <w:tcBorders>
              <w:top w:val="nil"/>
              <w:left w:val="nil"/>
              <w:bottom w:val="single" w:sz="4" w:space="0" w:color="auto"/>
              <w:right w:val="single" w:sz="4" w:space="0" w:color="auto"/>
            </w:tcBorders>
            <w:shd w:val="clear" w:color="auto" w:fill="auto"/>
            <w:hideMark/>
          </w:tcPr>
          <w:p w14:paraId="635392B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794,25</w:t>
            </w:r>
          </w:p>
        </w:tc>
        <w:tc>
          <w:tcPr>
            <w:tcW w:w="709" w:type="dxa"/>
            <w:tcBorders>
              <w:top w:val="nil"/>
              <w:left w:val="nil"/>
              <w:bottom w:val="single" w:sz="4" w:space="0" w:color="auto"/>
              <w:right w:val="single" w:sz="4" w:space="0" w:color="auto"/>
            </w:tcBorders>
            <w:shd w:val="clear" w:color="auto" w:fill="auto"/>
            <w:hideMark/>
          </w:tcPr>
          <w:p w14:paraId="183191C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142,26</w:t>
            </w:r>
          </w:p>
        </w:tc>
      </w:tr>
      <w:tr w:rsidR="00B6135D" w:rsidRPr="00522104" w14:paraId="2E0F2093"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7E38A633"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Обеспечение доступным жильем и качественными услугами ЖКХ населения </w:t>
            </w:r>
          </w:p>
        </w:tc>
        <w:tc>
          <w:tcPr>
            <w:tcW w:w="850" w:type="dxa"/>
            <w:tcBorders>
              <w:top w:val="nil"/>
              <w:left w:val="nil"/>
              <w:bottom w:val="single" w:sz="4" w:space="0" w:color="auto"/>
              <w:right w:val="single" w:sz="4" w:space="0" w:color="auto"/>
            </w:tcBorders>
            <w:shd w:val="clear" w:color="auto" w:fill="auto"/>
            <w:hideMark/>
          </w:tcPr>
          <w:p w14:paraId="5E4CE31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19274,93</w:t>
            </w:r>
          </w:p>
        </w:tc>
        <w:tc>
          <w:tcPr>
            <w:tcW w:w="851" w:type="dxa"/>
            <w:tcBorders>
              <w:top w:val="nil"/>
              <w:left w:val="nil"/>
              <w:bottom w:val="single" w:sz="4" w:space="0" w:color="auto"/>
              <w:right w:val="single" w:sz="4" w:space="0" w:color="auto"/>
            </w:tcBorders>
            <w:shd w:val="clear" w:color="auto" w:fill="auto"/>
            <w:hideMark/>
          </w:tcPr>
          <w:p w14:paraId="46AFFCC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12552,53</w:t>
            </w:r>
          </w:p>
        </w:tc>
        <w:tc>
          <w:tcPr>
            <w:tcW w:w="992" w:type="dxa"/>
            <w:tcBorders>
              <w:top w:val="nil"/>
              <w:left w:val="nil"/>
              <w:bottom w:val="single" w:sz="4" w:space="0" w:color="auto"/>
              <w:right w:val="single" w:sz="4" w:space="0" w:color="auto"/>
            </w:tcBorders>
            <w:shd w:val="clear" w:color="auto" w:fill="auto"/>
            <w:noWrap/>
            <w:hideMark/>
          </w:tcPr>
          <w:p w14:paraId="68817D4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17968,79</w:t>
            </w:r>
          </w:p>
        </w:tc>
        <w:tc>
          <w:tcPr>
            <w:tcW w:w="709" w:type="dxa"/>
            <w:tcBorders>
              <w:top w:val="nil"/>
              <w:left w:val="nil"/>
              <w:bottom w:val="single" w:sz="4" w:space="0" w:color="auto"/>
              <w:right w:val="single" w:sz="4" w:space="0" w:color="auto"/>
            </w:tcBorders>
            <w:shd w:val="clear" w:color="auto" w:fill="auto"/>
            <w:noWrap/>
            <w:hideMark/>
          </w:tcPr>
          <w:p w14:paraId="4AB06AA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11,26</w:t>
            </w:r>
          </w:p>
        </w:tc>
        <w:tc>
          <w:tcPr>
            <w:tcW w:w="850" w:type="dxa"/>
            <w:tcBorders>
              <w:top w:val="nil"/>
              <w:left w:val="nil"/>
              <w:bottom w:val="single" w:sz="4" w:space="0" w:color="auto"/>
              <w:right w:val="single" w:sz="4" w:space="0" w:color="auto"/>
            </w:tcBorders>
            <w:shd w:val="clear" w:color="auto" w:fill="auto"/>
            <w:hideMark/>
          </w:tcPr>
          <w:p w14:paraId="6CF882A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9631,76</w:t>
            </w:r>
          </w:p>
        </w:tc>
        <w:tc>
          <w:tcPr>
            <w:tcW w:w="851" w:type="dxa"/>
            <w:tcBorders>
              <w:top w:val="nil"/>
              <w:left w:val="nil"/>
              <w:bottom w:val="single" w:sz="4" w:space="0" w:color="auto"/>
              <w:right w:val="single" w:sz="4" w:space="0" w:color="auto"/>
            </w:tcBorders>
            <w:shd w:val="clear" w:color="auto" w:fill="auto"/>
            <w:hideMark/>
          </w:tcPr>
          <w:p w14:paraId="14B90F6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7088,57</w:t>
            </w:r>
          </w:p>
        </w:tc>
        <w:tc>
          <w:tcPr>
            <w:tcW w:w="850" w:type="dxa"/>
            <w:tcBorders>
              <w:top w:val="nil"/>
              <w:left w:val="nil"/>
              <w:bottom w:val="single" w:sz="4" w:space="0" w:color="auto"/>
              <w:right w:val="single" w:sz="4" w:space="0" w:color="auto"/>
            </w:tcBorders>
            <w:shd w:val="clear" w:color="auto" w:fill="auto"/>
            <w:hideMark/>
          </w:tcPr>
          <w:p w14:paraId="1A91521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5416,26</w:t>
            </w:r>
          </w:p>
        </w:tc>
        <w:tc>
          <w:tcPr>
            <w:tcW w:w="709" w:type="dxa"/>
            <w:tcBorders>
              <w:top w:val="nil"/>
              <w:left w:val="nil"/>
              <w:bottom w:val="single" w:sz="4" w:space="0" w:color="auto"/>
              <w:right w:val="single" w:sz="4" w:space="0" w:color="auto"/>
            </w:tcBorders>
            <w:shd w:val="clear" w:color="auto" w:fill="auto"/>
            <w:hideMark/>
          </w:tcPr>
          <w:p w14:paraId="5407FEF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143,15</w:t>
            </w:r>
          </w:p>
        </w:tc>
        <w:tc>
          <w:tcPr>
            <w:tcW w:w="845" w:type="dxa"/>
            <w:tcBorders>
              <w:top w:val="nil"/>
              <w:left w:val="nil"/>
              <w:bottom w:val="single" w:sz="4" w:space="0" w:color="auto"/>
              <w:right w:val="single" w:sz="4" w:space="0" w:color="auto"/>
            </w:tcBorders>
            <w:shd w:val="clear" w:color="auto" w:fill="auto"/>
            <w:hideMark/>
          </w:tcPr>
          <w:p w14:paraId="51CE5C0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-1306,14</w:t>
            </w:r>
          </w:p>
        </w:tc>
        <w:tc>
          <w:tcPr>
            <w:tcW w:w="709" w:type="dxa"/>
            <w:tcBorders>
              <w:top w:val="nil"/>
              <w:left w:val="nil"/>
              <w:bottom w:val="single" w:sz="4" w:space="0" w:color="auto"/>
              <w:right w:val="single" w:sz="4" w:space="0" w:color="auto"/>
            </w:tcBorders>
            <w:shd w:val="clear" w:color="auto" w:fill="auto"/>
            <w:hideMark/>
          </w:tcPr>
          <w:p w14:paraId="74AD0E6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93,22</w:t>
            </w:r>
          </w:p>
        </w:tc>
      </w:tr>
      <w:tr w:rsidR="00B6135D" w:rsidRPr="00522104" w14:paraId="5A489F4A"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15616B11"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Защита населения и территории от чрезвычайных ситуаций, обеспечение пожарной безопасности и безопасности людей на водных объектах </w:t>
            </w:r>
          </w:p>
        </w:tc>
        <w:tc>
          <w:tcPr>
            <w:tcW w:w="850" w:type="dxa"/>
            <w:tcBorders>
              <w:top w:val="nil"/>
              <w:left w:val="nil"/>
              <w:bottom w:val="single" w:sz="4" w:space="0" w:color="auto"/>
              <w:right w:val="single" w:sz="4" w:space="0" w:color="auto"/>
            </w:tcBorders>
            <w:shd w:val="clear" w:color="auto" w:fill="auto"/>
            <w:hideMark/>
          </w:tcPr>
          <w:p w14:paraId="55551F7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1623,40</w:t>
            </w:r>
          </w:p>
        </w:tc>
        <w:tc>
          <w:tcPr>
            <w:tcW w:w="851" w:type="dxa"/>
            <w:tcBorders>
              <w:top w:val="nil"/>
              <w:left w:val="nil"/>
              <w:bottom w:val="single" w:sz="4" w:space="0" w:color="auto"/>
              <w:right w:val="single" w:sz="4" w:space="0" w:color="auto"/>
            </w:tcBorders>
            <w:shd w:val="clear" w:color="auto" w:fill="auto"/>
            <w:hideMark/>
          </w:tcPr>
          <w:p w14:paraId="3DA55CE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1511,37</w:t>
            </w:r>
          </w:p>
        </w:tc>
        <w:tc>
          <w:tcPr>
            <w:tcW w:w="992" w:type="dxa"/>
            <w:tcBorders>
              <w:top w:val="nil"/>
              <w:left w:val="nil"/>
              <w:bottom w:val="single" w:sz="4" w:space="0" w:color="auto"/>
              <w:right w:val="single" w:sz="4" w:space="0" w:color="auto"/>
            </w:tcBorders>
            <w:shd w:val="clear" w:color="auto" w:fill="auto"/>
            <w:noWrap/>
            <w:hideMark/>
          </w:tcPr>
          <w:p w14:paraId="0BEA75C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1833,63</w:t>
            </w:r>
          </w:p>
        </w:tc>
        <w:tc>
          <w:tcPr>
            <w:tcW w:w="709" w:type="dxa"/>
            <w:tcBorders>
              <w:top w:val="nil"/>
              <w:left w:val="nil"/>
              <w:bottom w:val="single" w:sz="4" w:space="0" w:color="auto"/>
              <w:right w:val="single" w:sz="4" w:space="0" w:color="auto"/>
            </w:tcBorders>
            <w:shd w:val="clear" w:color="auto" w:fill="auto"/>
            <w:noWrap/>
            <w:hideMark/>
          </w:tcPr>
          <w:p w14:paraId="3CB5BF1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1,15</w:t>
            </w:r>
          </w:p>
        </w:tc>
        <w:tc>
          <w:tcPr>
            <w:tcW w:w="850" w:type="dxa"/>
            <w:tcBorders>
              <w:top w:val="nil"/>
              <w:left w:val="nil"/>
              <w:bottom w:val="single" w:sz="4" w:space="0" w:color="auto"/>
              <w:right w:val="single" w:sz="4" w:space="0" w:color="auto"/>
            </w:tcBorders>
            <w:shd w:val="clear" w:color="auto" w:fill="auto"/>
            <w:hideMark/>
          </w:tcPr>
          <w:p w14:paraId="2370C71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1896,45</w:t>
            </w:r>
          </w:p>
        </w:tc>
        <w:tc>
          <w:tcPr>
            <w:tcW w:w="851" w:type="dxa"/>
            <w:tcBorders>
              <w:top w:val="nil"/>
              <w:left w:val="nil"/>
              <w:bottom w:val="single" w:sz="4" w:space="0" w:color="auto"/>
              <w:right w:val="single" w:sz="4" w:space="0" w:color="auto"/>
            </w:tcBorders>
            <w:shd w:val="clear" w:color="auto" w:fill="auto"/>
            <w:hideMark/>
          </w:tcPr>
          <w:p w14:paraId="3892D99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1819,93</w:t>
            </w:r>
          </w:p>
        </w:tc>
        <w:tc>
          <w:tcPr>
            <w:tcW w:w="850" w:type="dxa"/>
            <w:tcBorders>
              <w:top w:val="nil"/>
              <w:left w:val="nil"/>
              <w:bottom w:val="single" w:sz="4" w:space="0" w:color="auto"/>
              <w:right w:val="single" w:sz="4" w:space="0" w:color="auto"/>
            </w:tcBorders>
            <w:shd w:val="clear" w:color="auto" w:fill="auto"/>
            <w:hideMark/>
          </w:tcPr>
          <w:p w14:paraId="74B1F84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322,26</w:t>
            </w:r>
          </w:p>
        </w:tc>
        <w:tc>
          <w:tcPr>
            <w:tcW w:w="709" w:type="dxa"/>
            <w:tcBorders>
              <w:top w:val="nil"/>
              <w:left w:val="nil"/>
              <w:bottom w:val="single" w:sz="4" w:space="0" w:color="auto"/>
              <w:right w:val="single" w:sz="4" w:space="0" w:color="auto"/>
            </w:tcBorders>
            <w:shd w:val="clear" w:color="auto" w:fill="auto"/>
            <w:hideMark/>
          </w:tcPr>
          <w:p w14:paraId="6A8DA84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121,32</w:t>
            </w:r>
          </w:p>
        </w:tc>
        <w:tc>
          <w:tcPr>
            <w:tcW w:w="845" w:type="dxa"/>
            <w:tcBorders>
              <w:top w:val="nil"/>
              <w:left w:val="nil"/>
              <w:bottom w:val="single" w:sz="4" w:space="0" w:color="auto"/>
              <w:right w:val="single" w:sz="4" w:space="0" w:color="auto"/>
            </w:tcBorders>
            <w:shd w:val="clear" w:color="auto" w:fill="auto"/>
            <w:hideMark/>
          </w:tcPr>
          <w:p w14:paraId="577CD34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210,23</w:t>
            </w:r>
          </w:p>
        </w:tc>
        <w:tc>
          <w:tcPr>
            <w:tcW w:w="709" w:type="dxa"/>
            <w:tcBorders>
              <w:top w:val="nil"/>
              <w:left w:val="nil"/>
              <w:bottom w:val="single" w:sz="4" w:space="0" w:color="auto"/>
              <w:right w:val="single" w:sz="4" w:space="0" w:color="auto"/>
            </w:tcBorders>
            <w:shd w:val="clear" w:color="auto" w:fill="auto"/>
            <w:hideMark/>
          </w:tcPr>
          <w:p w14:paraId="6AC31D5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112,95</w:t>
            </w:r>
          </w:p>
        </w:tc>
      </w:tr>
      <w:tr w:rsidR="00B6135D" w:rsidRPr="00522104" w14:paraId="47FBE9C0"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2F13C52E"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Охрана окружающей среды </w:t>
            </w:r>
          </w:p>
        </w:tc>
        <w:tc>
          <w:tcPr>
            <w:tcW w:w="850" w:type="dxa"/>
            <w:tcBorders>
              <w:top w:val="nil"/>
              <w:left w:val="nil"/>
              <w:bottom w:val="single" w:sz="4" w:space="0" w:color="auto"/>
              <w:right w:val="single" w:sz="4" w:space="0" w:color="auto"/>
            </w:tcBorders>
            <w:shd w:val="clear" w:color="000000" w:fill="FFFFFF"/>
            <w:hideMark/>
          </w:tcPr>
          <w:p w14:paraId="248053B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513,22</w:t>
            </w:r>
          </w:p>
        </w:tc>
        <w:tc>
          <w:tcPr>
            <w:tcW w:w="851" w:type="dxa"/>
            <w:tcBorders>
              <w:top w:val="nil"/>
              <w:left w:val="nil"/>
              <w:bottom w:val="single" w:sz="4" w:space="0" w:color="auto"/>
              <w:right w:val="single" w:sz="4" w:space="0" w:color="auto"/>
            </w:tcBorders>
            <w:shd w:val="clear" w:color="000000" w:fill="FFFFFF"/>
            <w:hideMark/>
          </w:tcPr>
          <w:p w14:paraId="6A199EA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272,42</w:t>
            </w:r>
          </w:p>
        </w:tc>
        <w:tc>
          <w:tcPr>
            <w:tcW w:w="992" w:type="dxa"/>
            <w:tcBorders>
              <w:top w:val="nil"/>
              <w:left w:val="nil"/>
              <w:bottom w:val="single" w:sz="4" w:space="0" w:color="auto"/>
              <w:right w:val="single" w:sz="4" w:space="0" w:color="auto"/>
            </w:tcBorders>
            <w:shd w:val="clear" w:color="auto" w:fill="auto"/>
            <w:noWrap/>
            <w:hideMark/>
          </w:tcPr>
          <w:p w14:paraId="73E8457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456,43</w:t>
            </w:r>
          </w:p>
        </w:tc>
        <w:tc>
          <w:tcPr>
            <w:tcW w:w="709" w:type="dxa"/>
            <w:tcBorders>
              <w:top w:val="nil"/>
              <w:left w:val="nil"/>
              <w:bottom w:val="single" w:sz="4" w:space="0" w:color="auto"/>
              <w:right w:val="single" w:sz="4" w:space="0" w:color="auto"/>
            </w:tcBorders>
            <w:shd w:val="clear" w:color="auto" w:fill="auto"/>
            <w:noWrap/>
            <w:hideMark/>
          </w:tcPr>
          <w:p w14:paraId="30BD7CB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0,29</w:t>
            </w:r>
          </w:p>
        </w:tc>
        <w:tc>
          <w:tcPr>
            <w:tcW w:w="850" w:type="dxa"/>
            <w:tcBorders>
              <w:top w:val="nil"/>
              <w:left w:val="nil"/>
              <w:bottom w:val="single" w:sz="4" w:space="0" w:color="auto"/>
              <w:right w:val="single" w:sz="4" w:space="0" w:color="auto"/>
            </w:tcBorders>
            <w:shd w:val="clear" w:color="000000" w:fill="FFFFFF"/>
            <w:hideMark/>
          </w:tcPr>
          <w:p w14:paraId="7066187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402,46</w:t>
            </w:r>
          </w:p>
        </w:tc>
        <w:tc>
          <w:tcPr>
            <w:tcW w:w="851" w:type="dxa"/>
            <w:tcBorders>
              <w:top w:val="nil"/>
              <w:left w:val="nil"/>
              <w:bottom w:val="single" w:sz="4" w:space="0" w:color="auto"/>
              <w:right w:val="single" w:sz="4" w:space="0" w:color="auto"/>
            </w:tcBorders>
            <w:shd w:val="clear" w:color="000000" w:fill="FFFFFF"/>
            <w:hideMark/>
          </w:tcPr>
          <w:p w14:paraId="17C5C94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296,30</w:t>
            </w:r>
          </w:p>
        </w:tc>
        <w:tc>
          <w:tcPr>
            <w:tcW w:w="850" w:type="dxa"/>
            <w:tcBorders>
              <w:top w:val="nil"/>
              <w:left w:val="nil"/>
              <w:bottom w:val="single" w:sz="4" w:space="0" w:color="auto"/>
              <w:right w:val="single" w:sz="4" w:space="0" w:color="auto"/>
            </w:tcBorders>
            <w:shd w:val="clear" w:color="auto" w:fill="auto"/>
            <w:hideMark/>
          </w:tcPr>
          <w:p w14:paraId="19C865D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184,01</w:t>
            </w:r>
          </w:p>
        </w:tc>
        <w:tc>
          <w:tcPr>
            <w:tcW w:w="709" w:type="dxa"/>
            <w:tcBorders>
              <w:top w:val="nil"/>
              <w:left w:val="nil"/>
              <w:bottom w:val="single" w:sz="4" w:space="0" w:color="auto"/>
              <w:right w:val="single" w:sz="4" w:space="0" w:color="auto"/>
            </w:tcBorders>
            <w:shd w:val="clear" w:color="auto" w:fill="auto"/>
            <w:hideMark/>
          </w:tcPr>
          <w:p w14:paraId="37F6CA6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167,55</w:t>
            </w:r>
          </w:p>
        </w:tc>
        <w:tc>
          <w:tcPr>
            <w:tcW w:w="845" w:type="dxa"/>
            <w:tcBorders>
              <w:top w:val="nil"/>
              <w:left w:val="nil"/>
              <w:bottom w:val="single" w:sz="4" w:space="0" w:color="auto"/>
              <w:right w:val="single" w:sz="4" w:space="0" w:color="auto"/>
            </w:tcBorders>
            <w:shd w:val="clear" w:color="auto" w:fill="auto"/>
            <w:hideMark/>
          </w:tcPr>
          <w:p w14:paraId="11BFDC9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-56,79</w:t>
            </w:r>
          </w:p>
        </w:tc>
        <w:tc>
          <w:tcPr>
            <w:tcW w:w="709" w:type="dxa"/>
            <w:tcBorders>
              <w:top w:val="nil"/>
              <w:left w:val="nil"/>
              <w:bottom w:val="single" w:sz="4" w:space="0" w:color="auto"/>
              <w:right w:val="single" w:sz="4" w:space="0" w:color="auto"/>
            </w:tcBorders>
            <w:shd w:val="clear" w:color="auto" w:fill="auto"/>
            <w:hideMark/>
          </w:tcPr>
          <w:p w14:paraId="087D3F8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88,93</w:t>
            </w:r>
          </w:p>
        </w:tc>
      </w:tr>
      <w:tr w:rsidR="00B6135D" w:rsidRPr="00522104" w14:paraId="0686452B"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26434950"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Развитие физической культуры и спорта </w:t>
            </w:r>
          </w:p>
        </w:tc>
        <w:tc>
          <w:tcPr>
            <w:tcW w:w="850" w:type="dxa"/>
            <w:tcBorders>
              <w:top w:val="nil"/>
              <w:left w:val="nil"/>
              <w:bottom w:val="single" w:sz="4" w:space="0" w:color="auto"/>
              <w:right w:val="single" w:sz="4" w:space="0" w:color="auto"/>
            </w:tcBorders>
            <w:shd w:val="clear" w:color="auto" w:fill="auto"/>
            <w:hideMark/>
          </w:tcPr>
          <w:p w14:paraId="7E603E6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2916,05</w:t>
            </w:r>
          </w:p>
        </w:tc>
        <w:tc>
          <w:tcPr>
            <w:tcW w:w="851" w:type="dxa"/>
            <w:tcBorders>
              <w:top w:val="nil"/>
              <w:left w:val="nil"/>
              <w:bottom w:val="single" w:sz="4" w:space="0" w:color="auto"/>
              <w:right w:val="single" w:sz="4" w:space="0" w:color="auto"/>
            </w:tcBorders>
            <w:shd w:val="clear" w:color="auto" w:fill="auto"/>
            <w:hideMark/>
          </w:tcPr>
          <w:p w14:paraId="4D45F18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2580,27</w:t>
            </w:r>
          </w:p>
        </w:tc>
        <w:tc>
          <w:tcPr>
            <w:tcW w:w="992" w:type="dxa"/>
            <w:tcBorders>
              <w:top w:val="nil"/>
              <w:left w:val="nil"/>
              <w:bottom w:val="single" w:sz="4" w:space="0" w:color="auto"/>
              <w:right w:val="single" w:sz="4" w:space="0" w:color="auto"/>
            </w:tcBorders>
            <w:shd w:val="clear" w:color="auto" w:fill="auto"/>
            <w:noWrap/>
            <w:hideMark/>
          </w:tcPr>
          <w:p w14:paraId="0F50475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3348,02</w:t>
            </w:r>
          </w:p>
        </w:tc>
        <w:tc>
          <w:tcPr>
            <w:tcW w:w="709" w:type="dxa"/>
            <w:tcBorders>
              <w:top w:val="nil"/>
              <w:left w:val="nil"/>
              <w:bottom w:val="single" w:sz="4" w:space="0" w:color="auto"/>
              <w:right w:val="single" w:sz="4" w:space="0" w:color="auto"/>
            </w:tcBorders>
            <w:shd w:val="clear" w:color="auto" w:fill="auto"/>
            <w:noWrap/>
            <w:hideMark/>
          </w:tcPr>
          <w:p w14:paraId="15CD0F3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2,10</w:t>
            </w:r>
          </w:p>
        </w:tc>
        <w:tc>
          <w:tcPr>
            <w:tcW w:w="850" w:type="dxa"/>
            <w:tcBorders>
              <w:top w:val="nil"/>
              <w:left w:val="nil"/>
              <w:bottom w:val="single" w:sz="4" w:space="0" w:color="auto"/>
              <w:right w:val="single" w:sz="4" w:space="0" w:color="auto"/>
            </w:tcBorders>
            <w:shd w:val="clear" w:color="auto" w:fill="auto"/>
            <w:hideMark/>
          </w:tcPr>
          <w:p w14:paraId="76CDCFE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2236,97</w:t>
            </w:r>
          </w:p>
        </w:tc>
        <w:tc>
          <w:tcPr>
            <w:tcW w:w="851" w:type="dxa"/>
            <w:tcBorders>
              <w:top w:val="nil"/>
              <w:left w:val="nil"/>
              <w:bottom w:val="single" w:sz="4" w:space="0" w:color="auto"/>
              <w:right w:val="single" w:sz="4" w:space="0" w:color="auto"/>
            </w:tcBorders>
            <w:shd w:val="clear" w:color="auto" w:fill="auto"/>
            <w:hideMark/>
          </w:tcPr>
          <w:p w14:paraId="50ADB4B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2128,74</w:t>
            </w:r>
          </w:p>
        </w:tc>
        <w:tc>
          <w:tcPr>
            <w:tcW w:w="850" w:type="dxa"/>
            <w:tcBorders>
              <w:top w:val="nil"/>
              <w:left w:val="nil"/>
              <w:bottom w:val="single" w:sz="4" w:space="0" w:color="auto"/>
              <w:right w:val="single" w:sz="4" w:space="0" w:color="auto"/>
            </w:tcBorders>
            <w:shd w:val="clear" w:color="auto" w:fill="auto"/>
            <w:hideMark/>
          </w:tcPr>
          <w:p w14:paraId="32FAF4F3"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767,75</w:t>
            </w:r>
          </w:p>
        </w:tc>
        <w:tc>
          <w:tcPr>
            <w:tcW w:w="709" w:type="dxa"/>
            <w:tcBorders>
              <w:top w:val="nil"/>
              <w:left w:val="nil"/>
              <w:bottom w:val="single" w:sz="4" w:space="0" w:color="auto"/>
              <w:right w:val="single" w:sz="4" w:space="0" w:color="auto"/>
            </w:tcBorders>
            <w:shd w:val="clear" w:color="auto" w:fill="auto"/>
            <w:hideMark/>
          </w:tcPr>
          <w:p w14:paraId="6093DCA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129,75</w:t>
            </w:r>
          </w:p>
        </w:tc>
        <w:tc>
          <w:tcPr>
            <w:tcW w:w="845" w:type="dxa"/>
            <w:tcBorders>
              <w:top w:val="nil"/>
              <w:left w:val="nil"/>
              <w:bottom w:val="single" w:sz="4" w:space="0" w:color="auto"/>
              <w:right w:val="single" w:sz="4" w:space="0" w:color="auto"/>
            </w:tcBorders>
            <w:shd w:val="clear" w:color="auto" w:fill="auto"/>
            <w:hideMark/>
          </w:tcPr>
          <w:p w14:paraId="2384CC5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431,97</w:t>
            </w:r>
          </w:p>
        </w:tc>
        <w:tc>
          <w:tcPr>
            <w:tcW w:w="709" w:type="dxa"/>
            <w:tcBorders>
              <w:top w:val="nil"/>
              <w:left w:val="nil"/>
              <w:bottom w:val="single" w:sz="4" w:space="0" w:color="auto"/>
              <w:right w:val="single" w:sz="4" w:space="0" w:color="auto"/>
            </w:tcBorders>
            <w:shd w:val="clear" w:color="auto" w:fill="auto"/>
            <w:hideMark/>
          </w:tcPr>
          <w:p w14:paraId="38A0A92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114,81</w:t>
            </w:r>
          </w:p>
        </w:tc>
      </w:tr>
      <w:tr w:rsidR="00B6135D" w:rsidRPr="00522104" w14:paraId="7CA7001F"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681829BB"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Развитие туризма в </w:t>
            </w:r>
          </w:p>
        </w:tc>
        <w:tc>
          <w:tcPr>
            <w:tcW w:w="850" w:type="dxa"/>
            <w:tcBorders>
              <w:top w:val="nil"/>
              <w:left w:val="nil"/>
              <w:bottom w:val="single" w:sz="4" w:space="0" w:color="auto"/>
              <w:right w:val="single" w:sz="4" w:space="0" w:color="auto"/>
            </w:tcBorders>
            <w:shd w:val="clear" w:color="auto" w:fill="auto"/>
            <w:hideMark/>
          </w:tcPr>
          <w:p w14:paraId="0205E41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772,00</w:t>
            </w:r>
          </w:p>
        </w:tc>
        <w:tc>
          <w:tcPr>
            <w:tcW w:w="851" w:type="dxa"/>
            <w:tcBorders>
              <w:top w:val="nil"/>
              <w:left w:val="nil"/>
              <w:bottom w:val="single" w:sz="4" w:space="0" w:color="auto"/>
              <w:right w:val="single" w:sz="4" w:space="0" w:color="auto"/>
            </w:tcBorders>
            <w:shd w:val="clear" w:color="auto" w:fill="auto"/>
            <w:hideMark/>
          </w:tcPr>
          <w:p w14:paraId="370C3B8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674,76</w:t>
            </w:r>
          </w:p>
        </w:tc>
        <w:tc>
          <w:tcPr>
            <w:tcW w:w="992" w:type="dxa"/>
            <w:tcBorders>
              <w:top w:val="nil"/>
              <w:left w:val="nil"/>
              <w:bottom w:val="single" w:sz="4" w:space="0" w:color="auto"/>
              <w:right w:val="single" w:sz="4" w:space="0" w:color="auto"/>
            </w:tcBorders>
            <w:shd w:val="clear" w:color="auto" w:fill="auto"/>
            <w:noWrap/>
            <w:hideMark/>
          </w:tcPr>
          <w:p w14:paraId="6B5520A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798,90</w:t>
            </w:r>
          </w:p>
        </w:tc>
        <w:tc>
          <w:tcPr>
            <w:tcW w:w="709" w:type="dxa"/>
            <w:tcBorders>
              <w:top w:val="nil"/>
              <w:left w:val="nil"/>
              <w:bottom w:val="single" w:sz="4" w:space="0" w:color="auto"/>
              <w:right w:val="single" w:sz="4" w:space="0" w:color="auto"/>
            </w:tcBorders>
            <w:shd w:val="clear" w:color="auto" w:fill="auto"/>
            <w:noWrap/>
            <w:hideMark/>
          </w:tcPr>
          <w:p w14:paraId="3BD1CF3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0,50</w:t>
            </w:r>
          </w:p>
        </w:tc>
        <w:tc>
          <w:tcPr>
            <w:tcW w:w="850" w:type="dxa"/>
            <w:tcBorders>
              <w:top w:val="nil"/>
              <w:left w:val="nil"/>
              <w:bottom w:val="single" w:sz="4" w:space="0" w:color="auto"/>
              <w:right w:val="single" w:sz="4" w:space="0" w:color="auto"/>
            </w:tcBorders>
            <w:shd w:val="clear" w:color="auto" w:fill="auto"/>
            <w:hideMark/>
          </w:tcPr>
          <w:p w14:paraId="7B07BEF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90,19</w:t>
            </w:r>
          </w:p>
        </w:tc>
        <w:tc>
          <w:tcPr>
            <w:tcW w:w="851" w:type="dxa"/>
            <w:tcBorders>
              <w:top w:val="nil"/>
              <w:left w:val="nil"/>
              <w:bottom w:val="single" w:sz="4" w:space="0" w:color="auto"/>
              <w:right w:val="single" w:sz="4" w:space="0" w:color="auto"/>
            </w:tcBorders>
            <w:shd w:val="clear" w:color="auto" w:fill="auto"/>
            <w:hideMark/>
          </w:tcPr>
          <w:p w14:paraId="7335A38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91,90</w:t>
            </w:r>
          </w:p>
        </w:tc>
        <w:tc>
          <w:tcPr>
            <w:tcW w:w="850" w:type="dxa"/>
            <w:tcBorders>
              <w:top w:val="nil"/>
              <w:left w:val="nil"/>
              <w:bottom w:val="single" w:sz="4" w:space="0" w:color="auto"/>
              <w:right w:val="single" w:sz="4" w:space="0" w:color="auto"/>
            </w:tcBorders>
            <w:shd w:val="clear" w:color="auto" w:fill="auto"/>
            <w:hideMark/>
          </w:tcPr>
          <w:p w14:paraId="6BCE784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124,14</w:t>
            </w:r>
          </w:p>
        </w:tc>
        <w:tc>
          <w:tcPr>
            <w:tcW w:w="709" w:type="dxa"/>
            <w:tcBorders>
              <w:top w:val="nil"/>
              <w:left w:val="nil"/>
              <w:bottom w:val="single" w:sz="4" w:space="0" w:color="auto"/>
              <w:right w:val="single" w:sz="4" w:space="0" w:color="auto"/>
            </w:tcBorders>
            <w:shd w:val="clear" w:color="auto" w:fill="auto"/>
            <w:hideMark/>
          </w:tcPr>
          <w:p w14:paraId="6AE95C1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118,40</w:t>
            </w:r>
          </w:p>
        </w:tc>
        <w:tc>
          <w:tcPr>
            <w:tcW w:w="845" w:type="dxa"/>
            <w:tcBorders>
              <w:top w:val="nil"/>
              <w:left w:val="nil"/>
              <w:bottom w:val="single" w:sz="4" w:space="0" w:color="auto"/>
              <w:right w:val="single" w:sz="4" w:space="0" w:color="auto"/>
            </w:tcBorders>
            <w:shd w:val="clear" w:color="auto" w:fill="auto"/>
            <w:hideMark/>
          </w:tcPr>
          <w:p w14:paraId="157DC00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26,90</w:t>
            </w:r>
          </w:p>
        </w:tc>
        <w:tc>
          <w:tcPr>
            <w:tcW w:w="709" w:type="dxa"/>
            <w:tcBorders>
              <w:top w:val="nil"/>
              <w:left w:val="nil"/>
              <w:bottom w:val="single" w:sz="4" w:space="0" w:color="auto"/>
              <w:right w:val="single" w:sz="4" w:space="0" w:color="auto"/>
            </w:tcBorders>
            <w:shd w:val="clear" w:color="auto" w:fill="auto"/>
            <w:hideMark/>
          </w:tcPr>
          <w:p w14:paraId="143CD43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103,48</w:t>
            </w:r>
          </w:p>
        </w:tc>
      </w:tr>
      <w:tr w:rsidR="00B6135D" w:rsidRPr="00522104" w14:paraId="24AE0189"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2DBCAEE8"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Информационное общество</w:t>
            </w:r>
          </w:p>
        </w:tc>
        <w:tc>
          <w:tcPr>
            <w:tcW w:w="850" w:type="dxa"/>
            <w:tcBorders>
              <w:top w:val="nil"/>
              <w:left w:val="nil"/>
              <w:bottom w:val="single" w:sz="4" w:space="0" w:color="auto"/>
              <w:right w:val="single" w:sz="4" w:space="0" w:color="auto"/>
            </w:tcBorders>
            <w:shd w:val="clear" w:color="auto" w:fill="auto"/>
            <w:hideMark/>
          </w:tcPr>
          <w:p w14:paraId="3A8EC7A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2030,05</w:t>
            </w:r>
          </w:p>
        </w:tc>
        <w:tc>
          <w:tcPr>
            <w:tcW w:w="851" w:type="dxa"/>
            <w:tcBorders>
              <w:top w:val="nil"/>
              <w:left w:val="nil"/>
              <w:bottom w:val="single" w:sz="4" w:space="0" w:color="auto"/>
              <w:right w:val="single" w:sz="4" w:space="0" w:color="auto"/>
            </w:tcBorders>
            <w:shd w:val="clear" w:color="auto" w:fill="auto"/>
            <w:hideMark/>
          </w:tcPr>
          <w:p w14:paraId="128F506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1890,36</w:t>
            </w:r>
          </w:p>
        </w:tc>
        <w:tc>
          <w:tcPr>
            <w:tcW w:w="992" w:type="dxa"/>
            <w:tcBorders>
              <w:top w:val="nil"/>
              <w:left w:val="nil"/>
              <w:bottom w:val="single" w:sz="4" w:space="0" w:color="auto"/>
              <w:right w:val="single" w:sz="4" w:space="0" w:color="auto"/>
            </w:tcBorders>
            <w:shd w:val="clear" w:color="auto" w:fill="auto"/>
            <w:noWrap/>
            <w:hideMark/>
          </w:tcPr>
          <w:p w14:paraId="1F0C525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2502,68</w:t>
            </w:r>
          </w:p>
        </w:tc>
        <w:tc>
          <w:tcPr>
            <w:tcW w:w="709" w:type="dxa"/>
            <w:tcBorders>
              <w:top w:val="nil"/>
              <w:left w:val="nil"/>
              <w:bottom w:val="single" w:sz="4" w:space="0" w:color="auto"/>
              <w:right w:val="single" w:sz="4" w:space="0" w:color="auto"/>
            </w:tcBorders>
            <w:shd w:val="clear" w:color="auto" w:fill="auto"/>
            <w:noWrap/>
            <w:hideMark/>
          </w:tcPr>
          <w:p w14:paraId="36C0968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1,57</w:t>
            </w:r>
          </w:p>
        </w:tc>
        <w:tc>
          <w:tcPr>
            <w:tcW w:w="850" w:type="dxa"/>
            <w:tcBorders>
              <w:top w:val="nil"/>
              <w:left w:val="nil"/>
              <w:bottom w:val="single" w:sz="4" w:space="0" w:color="auto"/>
              <w:right w:val="single" w:sz="4" w:space="0" w:color="auto"/>
            </w:tcBorders>
            <w:shd w:val="clear" w:color="auto" w:fill="auto"/>
            <w:hideMark/>
          </w:tcPr>
          <w:p w14:paraId="155C4DC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2586,40</w:t>
            </w:r>
          </w:p>
        </w:tc>
        <w:tc>
          <w:tcPr>
            <w:tcW w:w="851" w:type="dxa"/>
            <w:tcBorders>
              <w:top w:val="nil"/>
              <w:left w:val="nil"/>
              <w:bottom w:val="single" w:sz="4" w:space="0" w:color="auto"/>
              <w:right w:val="single" w:sz="4" w:space="0" w:color="auto"/>
            </w:tcBorders>
            <w:shd w:val="clear" w:color="auto" w:fill="auto"/>
            <w:hideMark/>
          </w:tcPr>
          <w:p w14:paraId="111FB73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3336,41</w:t>
            </w:r>
          </w:p>
        </w:tc>
        <w:tc>
          <w:tcPr>
            <w:tcW w:w="850" w:type="dxa"/>
            <w:tcBorders>
              <w:top w:val="nil"/>
              <w:left w:val="nil"/>
              <w:bottom w:val="single" w:sz="4" w:space="0" w:color="auto"/>
              <w:right w:val="single" w:sz="4" w:space="0" w:color="auto"/>
            </w:tcBorders>
            <w:shd w:val="clear" w:color="auto" w:fill="auto"/>
            <w:hideMark/>
          </w:tcPr>
          <w:p w14:paraId="08C555A3"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612,32</w:t>
            </w:r>
          </w:p>
        </w:tc>
        <w:tc>
          <w:tcPr>
            <w:tcW w:w="709" w:type="dxa"/>
            <w:tcBorders>
              <w:top w:val="nil"/>
              <w:left w:val="nil"/>
              <w:bottom w:val="single" w:sz="4" w:space="0" w:color="auto"/>
              <w:right w:val="single" w:sz="4" w:space="0" w:color="auto"/>
            </w:tcBorders>
            <w:shd w:val="clear" w:color="auto" w:fill="auto"/>
            <w:hideMark/>
          </w:tcPr>
          <w:p w14:paraId="157303B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132,39</w:t>
            </w:r>
          </w:p>
        </w:tc>
        <w:tc>
          <w:tcPr>
            <w:tcW w:w="845" w:type="dxa"/>
            <w:tcBorders>
              <w:top w:val="nil"/>
              <w:left w:val="nil"/>
              <w:bottom w:val="single" w:sz="4" w:space="0" w:color="auto"/>
              <w:right w:val="single" w:sz="4" w:space="0" w:color="auto"/>
            </w:tcBorders>
            <w:shd w:val="clear" w:color="auto" w:fill="auto"/>
            <w:hideMark/>
          </w:tcPr>
          <w:p w14:paraId="7862517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472,63</w:t>
            </w:r>
          </w:p>
        </w:tc>
        <w:tc>
          <w:tcPr>
            <w:tcW w:w="709" w:type="dxa"/>
            <w:tcBorders>
              <w:top w:val="nil"/>
              <w:left w:val="nil"/>
              <w:bottom w:val="single" w:sz="4" w:space="0" w:color="auto"/>
              <w:right w:val="single" w:sz="4" w:space="0" w:color="auto"/>
            </w:tcBorders>
            <w:shd w:val="clear" w:color="auto" w:fill="auto"/>
            <w:hideMark/>
          </w:tcPr>
          <w:p w14:paraId="6EDCB8E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123,28</w:t>
            </w:r>
          </w:p>
        </w:tc>
      </w:tr>
      <w:tr w:rsidR="00B6135D" w:rsidRPr="00522104" w14:paraId="0F75FAD7"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427D9E3D"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Развитие транспортного комплекса </w:t>
            </w:r>
          </w:p>
        </w:tc>
        <w:tc>
          <w:tcPr>
            <w:tcW w:w="850" w:type="dxa"/>
            <w:tcBorders>
              <w:top w:val="nil"/>
              <w:left w:val="nil"/>
              <w:bottom w:val="single" w:sz="4" w:space="0" w:color="auto"/>
              <w:right w:val="single" w:sz="4" w:space="0" w:color="auto"/>
            </w:tcBorders>
            <w:shd w:val="clear" w:color="auto" w:fill="auto"/>
            <w:hideMark/>
          </w:tcPr>
          <w:p w14:paraId="682C703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23108,56</w:t>
            </w:r>
          </w:p>
        </w:tc>
        <w:tc>
          <w:tcPr>
            <w:tcW w:w="851" w:type="dxa"/>
            <w:tcBorders>
              <w:top w:val="nil"/>
              <w:left w:val="nil"/>
              <w:bottom w:val="single" w:sz="4" w:space="0" w:color="auto"/>
              <w:right w:val="single" w:sz="4" w:space="0" w:color="auto"/>
            </w:tcBorders>
            <w:shd w:val="clear" w:color="auto" w:fill="auto"/>
            <w:hideMark/>
          </w:tcPr>
          <w:p w14:paraId="0BD9B09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13867,22</w:t>
            </w:r>
          </w:p>
        </w:tc>
        <w:tc>
          <w:tcPr>
            <w:tcW w:w="992" w:type="dxa"/>
            <w:tcBorders>
              <w:top w:val="nil"/>
              <w:left w:val="nil"/>
              <w:bottom w:val="single" w:sz="4" w:space="0" w:color="auto"/>
              <w:right w:val="single" w:sz="4" w:space="0" w:color="auto"/>
            </w:tcBorders>
            <w:shd w:val="clear" w:color="auto" w:fill="auto"/>
            <w:noWrap/>
            <w:hideMark/>
          </w:tcPr>
          <w:p w14:paraId="39587D0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17253,99</w:t>
            </w:r>
          </w:p>
        </w:tc>
        <w:tc>
          <w:tcPr>
            <w:tcW w:w="709" w:type="dxa"/>
            <w:tcBorders>
              <w:top w:val="nil"/>
              <w:left w:val="nil"/>
              <w:bottom w:val="single" w:sz="4" w:space="0" w:color="auto"/>
              <w:right w:val="single" w:sz="4" w:space="0" w:color="auto"/>
            </w:tcBorders>
            <w:shd w:val="clear" w:color="auto" w:fill="auto"/>
            <w:noWrap/>
            <w:hideMark/>
          </w:tcPr>
          <w:p w14:paraId="12C240A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10,81</w:t>
            </w:r>
          </w:p>
        </w:tc>
        <w:tc>
          <w:tcPr>
            <w:tcW w:w="850" w:type="dxa"/>
            <w:tcBorders>
              <w:top w:val="nil"/>
              <w:left w:val="nil"/>
              <w:bottom w:val="single" w:sz="4" w:space="0" w:color="auto"/>
              <w:right w:val="single" w:sz="4" w:space="0" w:color="auto"/>
            </w:tcBorders>
            <w:shd w:val="clear" w:color="auto" w:fill="auto"/>
            <w:hideMark/>
          </w:tcPr>
          <w:p w14:paraId="413713D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14850,72</w:t>
            </w:r>
          </w:p>
        </w:tc>
        <w:tc>
          <w:tcPr>
            <w:tcW w:w="851" w:type="dxa"/>
            <w:tcBorders>
              <w:top w:val="nil"/>
              <w:left w:val="nil"/>
              <w:bottom w:val="single" w:sz="4" w:space="0" w:color="auto"/>
              <w:right w:val="single" w:sz="4" w:space="0" w:color="auto"/>
            </w:tcBorders>
            <w:shd w:val="clear" w:color="auto" w:fill="auto"/>
            <w:hideMark/>
          </w:tcPr>
          <w:p w14:paraId="790122C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14826,59</w:t>
            </w:r>
          </w:p>
        </w:tc>
        <w:tc>
          <w:tcPr>
            <w:tcW w:w="850" w:type="dxa"/>
            <w:tcBorders>
              <w:top w:val="nil"/>
              <w:left w:val="nil"/>
              <w:bottom w:val="single" w:sz="4" w:space="0" w:color="auto"/>
              <w:right w:val="single" w:sz="4" w:space="0" w:color="auto"/>
            </w:tcBorders>
            <w:shd w:val="clear" w:color="auto" w:fill="auto"/>
            <w:hideMark/>
          </w:tcPr>
          <w:p w14:paraId="3B9F256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3386,77</w:t>
            </w:r>
          </w:p>
        </w:tc>
        <w:tc>
          <w:tcPr>
            <w:tcW w:w="709" w:type="dxa"/>
            <w:tcBorders>
              <w:top w:val="nil"/>
              <w:left w:val="nil"/>
              <w:bottom w:val="single" w:sz="4" w:space="0" w:color="auto"/>
              <w:right w:val="single" w:sz="4" w:space="0" w:color="auto"/>
            </w:tcBorders>
            <w:shd w:val="clear" w:color="auto" w:fill="auto"/>
            <w:hideMark/>
          </w:tcPr>
          <w:p w14:paraId="636B7BD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124,42</w:t>
            </w:r>
          </w:p>
        </w:tc>
        <w:tc>
          <w:tcPr>
            <w:tcW w:w="845" w:type="dxa"/>
            <w:tcBorders>
              <w:top w:val="nil"/>
              <w:left w:val="nil"/>
              <w:bottom w:val="single" w:sz="4" w:space="0" w:color="auto"/>
              <w:right w:val="single" w:sz="4" w:space="0" w:color="auto"/>
            </w:tcBorders>
            <w:shd w:val="clear" w:color="auto" w:fill="auto"/>
            <w:hideMark/>
          </w:tcPr>
          <w:p w14:paraId="2D7BF97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-5854,57</w:t>
            </w:r>
          </w:p>
        </w:tc>
        <w:tc>
          <w:tcPr>
            <w:tcW w:w="709" w:type="dxa"/>
            <w:tcBorders>
              <w:top w:val="nil"/>
              <w:left w:val="nil"/>
              <w:bottom w:val="single" w:sz="4" w:space="0" w:color="auto"/>
              <w:right w:val="single" w:sz="4" w:space="0" w:color="auto"/>
            </w:tcBorders>
            <w:shd w:val="clear" w:color="auto" w:fill="auto"/>
            <w:hideMark/>
          </w:tcPr>
          <w:p w14:paraId="081E5A2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74,66</w:t>
            </w:r>
          </w:p>
        </w:tc>
      </w:tr>
      <w:tr w:rsidR="00B6135D" w:rsidRPr="00522104" w14:paraId="3565A05B"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3C24CE11"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Энергоэффективность, развитие газоснабжения и энергетики в </w:t>
            </w:r>
          </w:p>
        </w:tc>
        <w:tc>
          <w:tcPr>
            <w:tcW w:w="850" w:type="dxa"/>
            <w:tcBorders>
              <w:top w:val="nil"/>
              <w:left w:val="nil"/>
              <w:bottom w:val="single" w:sz="4" w:space="0" w:color="auto"/>
              <w:right w:val="single" w:sz="4" w:space="0" w:color="auto"/>
            </w:tcBorders>
            <w:shd w:val="clear" w:color="auto" w:fill="auto"/>
            <w:hideMark/>
          </w:tcPr>
          <w:p w14:paraId="6B02325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1890,33</w:t>
            </w:r>
          </w:p>
        </w:tc>
        <w:tc>
          <w:tcPr>
            <w:tcW w:w="851" w:type="dxa"/>
            <w:tcBorders>
              <w:top w:val="nil"/>
              <w:left w:val="nil"/>
              <w:bottom w:val="single" w:sz="4" w:space="0" w:color="auto"/>
              <w:right w:val="single" w:sz="4" w:space="0" w:color="auto"/>
            </w:tcBorders>
            <w:shd w:val="clear" w:color="auto" w:fill="auto"/>
            <w:hideMark/>
          </w:tcPr>
          <w:p w14:paraId="4E5267C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1044,56</w:t>
            </w:r>
          </w:p>
        </w:tc>
        <w:tc>
          <w:tcPr>
            <w:tcW w:w="992" w:type="dxa"/>
            <w:tcBorders>
              <w:top w:val="nil"/>
              <w:left w:val="nil"/>
              <w:bottom w:val="single" w:sz="4" w:space="0" w:color="auto"/>
              <w:right w:val="single" w:sz="4" w:space="0" w:color="auto"/>
            </w:tcBorders>
            <w:shd w:val="clear" w:color="auto" w:fill="auto"/>
            <w:noWrap/>
            <w:hideMark/>
          </w:tcPr>
          <w:p w14:paraId="4A65443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1757,10</w:t>
            </w:r>
          </w:p>
        </w:tc>
        <w:tc>
          <w:tcPr>
            <w:tcW w:w="709" w:type="dxa"/>
            <w:tcBorders>
              <w:top w:val="nil"/>
              <w:left w:val="nil"/>
              <w:bottom w:val="single" w:sz="4" w:space="0" w:color="auto"/>
              <w:right w:val="single" w:sz="4" w:space="0" w:color="auto"/>
            </w:tcBorders>
            <w:shd w:val="clear" w:color="auto" w:fill="auto"/>
            <w:noWrap/>
            <w:hideMark/>
          </w:tcPr>
          <w:p w14:paraId="29F5FD6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1,10</w:t>
            </w:r>
          </w:p>
        </w:tc>
        <w:tc>
          <w:tcPr>
            <w:tcW w:w="850" w:type="dxa"/>
            <w:tcBorders>
              <w:top w:val="nil"/>
              <w:left w:val="nil"/>
              <w:bottom w:val="single" w:sz="4" w:space="0" w:color="auto"/>
              <w:right w:val="single" w:sz="4" w:space="0" w:color="auto"/>
            </w:tcBorders>
            <w:shd w:val="clear" w:color="auto" w:fill="auto"/>
            <w:hideMark/>
          </w:tcPr>
          <w:p w14:paraId="5D06CD4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1215,78</w:t>
            </w:r>
          </w:p>
        </w:tc>
        <w:tc>
          <w:tcPr>
            <w:tcW w:w="851" w:type="dxa"/>
            <w:tcBorders>
              <w:top w:val="nil"/>
              <w:left w:val="nil"/>
              <w:bottom w:val="single" w:sz="4" w:space="0" w:color="auto"/>
              <w:right w:val="single" w:sz="4" w:space="0" w:color="auto"/>
            </w:tcBorders>
            <w:shd w:val="clear" w:color="auto" w:fill="auto"/>
            <w:hideMark/>
          </w:tcPr>
          <w:p w14:paraId="68FD0DF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515,84</w:t>
            </w:r>
          </w:p>
        </w:tc>
        <w:tc>
          <w:tcPr>
            <w:tcW w:w="850" w:type="dxa"/>
            <w:tcBorders>
              <w:top w:val="nil"/>
              <w:left w:val="nil"/>
              <w:bottom w:val="single" w:sz="4" w:space="0" w:color="auto"/>
              <w:right w:val="single" w:sz="4" w:space="0" w:color="auto"/>
            </w:tcBorders>
            <w:shd w:val="clear" w:color="auto" w:fill="auto"/>
            <w:hideMark/>
          </w:tcPr>
          <w:p w14:paraId="4F0E281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712,54</w:t>
            </w:r>
          </w:p>
        </w:tc>
        <w:tc>
          <w:tcPr>
            <w:tcW w:w="709" w:type="dxa"/>
            <w:tcBorders>
              <w:top w:val="nil"/>
              <w:left w:val="nil"/>
              <w:bottom w:val="single" w:sz="4" w:space="0" w:color="auto"/>
              <w:right w:val="single" w:sz="4" w:space="0" w:color="auto"/>
            </w:tcBorders>
            <w:shd w:val="clear" w:color="auto" w:fill="auto"/>
            <w:hideMark/>
          </w:tcPr>
          <w:p w14:paraId="6D24758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168,21</w:t>
            </w:r>
          </w:p>
        </w:tc>
        <w:tc>
          <w:tcPr>
            <w:tcW w:w="845" w:type="dxa"/>
            <w:tcBorders>
              <w:top w:val="nil"/>
              <w:left w:val="nil"/>
              <w:bottom w:val="single" w:sz="4" w:space="0" w:color="auto"/>
              <w:right w:val="single" w:sz="4" w:space="0" w:color="auto"/>
            </w:tcBorders>
            <w:shd w:val="clear" w:color="auto" w:fill="auto"/>
            <w:hideMark/>
          </w:tcPr>
          <w:p w14:paraId="2ABED72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-133,23</w:t>
            </w:r>
          </w:p>
        </w:tc>
        <w:tc>
          <w:tcPr>
            <w:tcW w:w="709" w:type="dxa"/>
            <w:tcBorders>
              <w:top w:val="nil"/>
              <w:left w:val="nil"/>
              <w:bottom w:val="single" w:sz="4" w:space="0" w:color="auto"/>
              <w:right w:val="single" w:sz="4" w:space="0" w:color="auto"/>
            </w:tcBorders>
            <w:shd w:val="clear" w:color="auto" w:fill="auto"/>
            <w:hideMark/>
          </w:tcPr>
          <w:p w14:paraId="7651A64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92,95</w:t>
            </w:r>
          </w:p>
        </w:tc>
      </w:tr>
      <w:tr w:rsidR="00B6135D" w:rsidRPr="00522104" w14:paraId="2B688C0A"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16C58885"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Развитие сельского хозяйства и регулирования рынков сельскохозяйственной продукции, сырья и продовольствия. населения …</w:t>
            </w:r>
          </w:p>
        </w:tc>
        <w:tc>
          <w:tcPr>
            <w:tcW w:w="850" w:type="dxa"/>
            <w:tcBorders>
              <w:top w:val="nil"/>
              <w:left w:val="nil"/>
              <w:bottom w:val="single" w:sz="4" w:space="0" w:color="auto"/>
              <w:right w:val="single" w:sz="4" w:space="0" w:color="auto"/>
            </w:tcBorders>
            <w:shd w:val="clear" w:color="auto" w:fill="auto"/>
            <w:hideMark/>
          </w:tcPr>
          <w:p w14:paraId="3313186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4268,15</w:t>
            </w:r>
          </w:p>
        </w:tc>
        <w:tc>
          <w:tcPr>
            <w:tcW w:w="851" w:type="dxa"/>
            <w:tcBorders>
              <w:top w:val="nil"/>
              <w:left w:val="nil"/>
              <w:bottom w:val="single" w:sz="4" w:space="0" w:color="auto"/>
              <w:right w:val="single" w:sz="4" w:space="0" w:color="auto"/>
            </w:tcBorders>
            <w:shd w:val="clear" w:color="auto" w:fill="auto"/>
            <w:hideMark/>
          </w:tcPr>
          <w:p w14:paraId="7E9C093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4291,84</w:t>
            </w:r>
          </w:p>
        </w:tc>
        <w:tc>
          <w:tcPr>
            <w:tcW w:w="992" w:type="dxa"/>
            <w:tcBorders>
              <w:top w:val="nil"/>
              <w:left w:val="nil"/>
              <w:bottom w:val="single" w:sz="4" w:space="0" w:color="auto"/>
              <w:right w:val="single" w:sz="4" w:space="0" w:color="auto"/>
            </w:tcBorders>
            <w:shd w:val="clear" w:color="auto" w:fill="auto"/>
            <w:noWrap/>
            <w:hideMark/>
          </w:tcPr>
          <w:p w14:paraId="4319C4F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5161,28</w:t>
            </w:r>
          </w:p>
        </w:tc>
        <w:tc>
          <w:tcPr>
            <w:tcW w:w="709" w:type="dxa"/>
            <w:tcBorders>
              <w:top w:val="nil"/>
              <w:left w:val="nil"/>
              <w:bottom w:val="single" w:sz="4" w:space="0" w:color="auto"/>
              <w:right w:val="single" w:sz="4" w:space="0" w:color="auto"/>
            </w:tcBorders>
            <w:shd w:val="clear" w:color="auto" w:fill="auto"/>
            <w:noWrap/>
            <w:hideMark/>
          </w:tcPr>
          <w:p w14:paraId="4EA51C1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3,23</w:t>
            </w:r>
          </w:p>
        </w:tc>
        <w:tc>
          <w:tcPr>
            <w:tcW w:w="850" w:type="dxa"/>
            <w:tcBorders>
              <w:top w:val="nil"/>
              <w:left w:val="nil"/>
              <w:bottom w:val="single" w:sz="4" w:space="0" w:color="auto"/>
              <w:right w:val="single" w:sz="4" w:space="0" w:color="auto"/>
            </w:tcBorders>
            <w:shd w:val="clear" w:color="auto" w:fill="auto"/>
            <w:hideMark/>
          </w:tcPr>
          <w:p w14:paraId="2F34076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4560,54</w:t>
            </w:r>
          </w:p>
        </w:tc>
        <w:tc>
          <w:tcPr>
            <w:tcW w:w="851" w:type="dxa"/>
            <w:tcBorders>
              <w:top w:val="nil"/>
              <w:left w:val="nil"/>
              <w:bottom w:val="single" w:sz="4" w:space="0" w:color="auto"/>
              <w:right w:val="single" w:sz="4" w:space="0" w:color="auto"/>
            </w:tcBorders>
            <w:shd w:val="clear" w:color="auto" w:fill="auto"/>
            <w:hideMark/>
          </w:tcPr>
          <w:p w14:paraId="7A0C10B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4185,51</w:t>
            </w:r>
          </w:p>
        </w:tc>
        <w:tc>
          <w:tcPr>
            <w:tcW w:w="850" w:type="dxa"/>
            <w:tcBorders>
              <w:top w:val="nil"/>
              <w:left w:val="nil"/>
              <w:bottom w:val="single" w:sz="4" w:space="0" w:color="auto"/>
              <w:right w:val="single" w:sz="4" w:space="0" w:color="auto"/>
            </w:tcBorders>
            <w:shd w:val="clear" w:color="auto" w:fill="auto"/>
            <w:hideMark/>
          </w:tcPr>
          <w:p w14:paraId="3BE94B3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869,44</w:t>
            </w:r>
          </w:p>
        </w:tc>
        <w:tc>
          <w:tcPr>
            <w:tcW w:w="709" w:type="dxa"/>
            <w:tcBorders>
              <w:top w:val="nil"/>
              <w:left w:val="nil"/>
              <w:bottom w:val="single" w:sz="4" w:space="0" w:color="auto"/>
              <w:right w:val="single" w:sz="4" w:space="0" w:color="auto"/>
            </w:tcBorders>
            <w:shd w:val="clear" w:color="auto" w:fill="auto"/>
            <w:hideMark/>
          </w:tcPr>
          <w:p w14:paraId="7FF6580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120,26</w:t>
            </w:r>
          </w:p>
        </w:tc>
        <w:tc>
          <w:tcPr>
            <w:tcW w:w="845" w:type="dxa"/>
            <w:tcBorders>
              <w:top w:val="nil"/>
              <w:left w:val="nil"/>
              <w:bottom w:val="single" w:sz="4" w:space="0" w:color="auto"/>
              <w:right w:val="single" w:sz="4" w:space="0" w:color="auto"/>
            </w:tcBorders>
            <w:shd w:val="clear" w:color="auto" w:fill="auto"/>
            <w:hideMark/>
          </w:tcPr>
          <w:p w14:paraId="289D3FA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893,13</w:t>
            </w:r>
          </w:p>
        </w:tc>
        <w:tc>
          <w:tcPr>
            <w:tcW w:w="709" w:type="dxa"/>
            <w:tcBorders>
              <w:top w:val="nil"/>
              <w:left w:val="nil"/>
              <w:bottom w:val="single" w:sz="4" w:space="0" w:color="auto"/>
              <w:right w:val="single" w:sz="4" w:space="0" w:color="auto"/>
            </w:tcBorders>
            <w:shd w:val="clear" w:color="auto" w:fill="auto"/>
            <w:hideMark/>
          </w:tcPr>
          <w:p w14:paraId="33A065A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120,93</w:t>
            </w:r>
          </w:p>
        </w:tc>
      </w:tr>
      <w:tr w:rsidR="00B6135D" w:rsidRPr="00522104" w14:paraId="3CC6CB47"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64D12356"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Развитие рыбохозяйственного комплекса</w:t>
            </w:r>
          </w:p>
        </w:tc>
        <w:tc>
          <w:tcPr>
            <w:tcW w:w="850" w:type="dxa"/>
            <w:tcBorders>
              <w:top w:val="nil"/>
              <w:left w:val="nil"/>
              <w:bottom w:val="single" w:sz="4" w:space="0" w:color="auto"/>
              <w:right w:val="single" w:sz="4" w:space="0" w:color="auto"/>
            </w:tcBorders>
            <w:shd w:val="clear" w:color="auto" w:fill="auto"/>
            <w:hideMark/>
          </w:tcPr>
          <w:p w14:paraId="464593E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59,45</w:t>
            </w:r>
          </w:p>
        </w:tc>
        <w:tc>
          <w:tcPr>
            <w:tcW w:w="851" w:type="dxa"/>
            <w:tcBorders>
              <w:top w:val="nil"/>
              <w:left w:val="nil"/>
              <w:bottom w:val="single" w:sz="4" w:space="0" w:color="auto"/>
              <w:right w:val="single" w:sz="4" w:space="0" w:color="auto"/>
            </w:tcBorders>
            <w:shd w:val="clear" w:color="auto" w:fill="auto"/>
            <w:hideMark/>
          </w:tcPr>
          <w:p w14:paraId="7648C45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63,26</w:t>
            </w:r>
          </w:p>
        </w:tc>
        <w:tc>
          <w:tcPr>
            <w:tcW w:w="992" w:type="dxa"/>
            <w:tcBorders>
              <w:top w:val="nil"/>
              <w:left w:val="nil"/>
              <w:bottom w:val="single" w:sz="4" w:space="0" w:color="auto"/>
              <w:right w:val="single" w:sz="4" w:space="0" w:color="auto"/>
            </w:tcBorders>
            <w:shd w:val="clear" w:color="auto" w:fill="auto"/>
            <w:noWrap/>
            <w:hideMark/>
          </w:tcPr>
          <w:p w14:paraId="60A0FDE4"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64,44</w:t>
            </w:r>
          </w:p>
        </w:tc>
        <w:tc>
          <w:tcPr>
            <w:tcW w:w="709" w:type="dxa"/>
            <w:tcBorders>
              <w:top w:val="nil"/>
              <w:left w:val="nil"/>
              <w:bottom w:val="single" w:sz="4" w:space="0" w:color="auto"/>
              <w:right w:val="single" w:sz="4" w:space="0" w:color="auto"/>
            </w:tcBorders>
            <w:shd w:val="clear" w:color="auto" w:fill="auto"/>
            <w:noWrap/>
            <w:hideMark/>
          </w:tcPr>
          <w:p w14:paraId="1B390E5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0,04</w:t>
            </w:r>
          </w:p>
        </w:tc>
        <w:tc>
          <w:tcPr>
            <w:tcW w:w="850" w:type="dxa"/>
            <w:tcBorders>
              <w:top w:val="nil"/>
              <w:left w:val="nil"/>
              <w:bottom w:val="single" w:sz="4" w:space="0" w:color="auto"/>
              <w:right w:val="single" w:sz="4" w:space="0" w:color="auto"/>
            </w:tcBorders>
            <w:shd w:val="clear" w:color="auto" w:fill="auto"/>
            <w:hideMark/>
          </w:tcPr>
          <w:p w14:paraId="76E7D26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64,28</w:t>
            </w:r>
          </w:p>
        </w:tc>
        <w:tc>
          <w:tcPr>
            <w:tcW w:w="851" w:type="dxa"/>
            <w:tcBorders>
              <w:top w:val="nil"/>
              <w:left w:val="nil"/>
              <w:bottom w:val="single" w:sz="4" w:space="0" w:color="auto"/>
              <w:right w:val="single" w:sz="4" w:space="0" w:color="auto"/>
            </w:tcBorders>
            <w:shd w:val="clear" w:color="auto" w:fill="auto"/>
            <w:hideMark/>
          </w:tcPr>
          <w:p w14:paraId="367FBF7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65,37</w:t>
            </w:r>
          </w:p>
        </w:tc>
        <w:tc>
          <w:tcPr>
            <w:tcW w:w="850" w:type="dxa"/>
            <w:tcBorders>
              <w:top w:val="nil"/>
              <w:left w:val="nil"/>
              <w:bottom w:val="single" w:sz="4" w:space="0" w:color="auto"/>
              <w:right w:val="single" w:sz="4" w:space="0" w:color="auto"/>
            </w:tcBorders>
            <w:shd w:val="clear" w:color="auto" w:fill="auto"/>
            <w:hideMark/>
          </w:tcPr>
          <w:p w14:paraId="5DE1106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1,18</w:t>
            </w:r>
          </w:p>
        </w:tc>
        <w:tc>
          <w:tcPr>
            <w:tcW w:w="709" w:type="dxa"/>
            <w:tcBorders>
              <w:top w:val="nil"/>
              <w:left w:val="nil"/>
              <w:bottom w:val="single" w:sz="4" w:space="0" w:color="auto"/>
              <w:right w:val="single" w:sz="4" w:space="0" w:color="auto"/>
            </w:tcBorders>
            <w:shd w:val="clear" w:color="auto" w:fill="auto"/>
            <w:hideMark/>
          </w:tcPr>
          <w:p w14:paraId="1E3FD10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101,86</w:t>
            </w:r>
          </w:p>
        </w:tc>
        <w:tc>
          <w:tcPr>
            <w:tcW w:w="845" w:type="dxa"/>
            <w:tcBorders>
              <w:top w:val="nil"/>
              <w:left w:val="nil"/>
              <w:bottom w:val="single" w:sz="4" w:space="0" w:color="auto"/>
              <w:right w:val="single" w:sz="4" w:space="0" w:color="auto"/>
            </w:tcBorders>
            <w:shd w:val="clear" w:color="auto" w:fill="auto"/>
            <w:hideMark/>
          </w:tcPr>
          <w:p w14:paraId="1143ED6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4,99</w:t>
            </w:r>
          </w:p>
        </w:tc>
        <w:tc>
          <w:tcPr>
            <w:tcW w:w="709" w:type="dxa"/>
            <w:tcBorders>
              <w:top w:val="nil"/>
              <w:left w:val="nil"/>
              <w:bottom w:val="single" w:sz="4" w:space="0" w:color="auto"/>
              <w:right w:val="single" w:sz="4" w:space="0" w:color="auto"/>
            </w:tcBorders>
            <w:shd w:val="clear" w:color="auto" w:fill="auto"/>
            <w:hideMark/>
          </w:tcPr>
          <w:p w14:paraId="75F7C17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108,40</w:t>
            </w:r>
          </w:p>
        </w:tc>
      </w:tr>
      <w:tr w:rsidR="00B6135D" w:rsidRPr="00522104" w14:paraId="5B2F4EF8"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317127CE"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Развитие лесного хозяйства в е</w:t>
            </w:r>
          </w:p>
        </w:tc>
        <w:tc>
          <w:tcPr>
            <w:tcW w:w="850" w:type="dxa"/>
            <w:tcBorders>
              <w:top w:val="nil"/>
              <w:left w:val="nil"/>
              <w:bottom w:val="single" w:sz="4" w:space="0" w:color="auto"/>
              <w:right w:val="single" w:sz="4" w:space="0" w:color="auto"/>
            </w:tcBorders>
            <w:shd w:val="clear" w:color="auto" w:fill="auto"/>
            <w:hideMark/>
          </w:tcPr>
          <w:p w14:paraId="5D10C87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911,48</w:t>
            </w:r>
          </w:p>
        </w:tc>
        <w:tc>
          <w:tcPr>
            <w:tcW w:w="851" w:type="dxa"/>
            <w:tcBorders>
              <w:top w:val="nil"/>
              <w:left w:val="nil"/>
              <w:bottom w:val="single" w:sz="4" w:space="0" w:color="auto"/>
              <w:right w:val="single" w:sz="4" w:space="0" w:color="auto"/>
            </w:tcBorders>
            <w:shd w:val="clear" w:color="auto" w:fill="auto"/>
            <w:hideMark/>
          </w:tcPr>
          <w:p w14:paraId="67E7C47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748,01</w:t>
            </w:r>
          </w:p>
        </w:tc>
        <w:tc>
          <w:tcPr>
            <w:tcW w:w="992" w:type="dxa"/>
            <w:tcBorders>
              <w:top w:val="nil"/>
              <w:left w:val="nil"/>
              <w:bottom w:val="single" w:sz="4" w:space="0" w:color="auto"/>
              <w:right w:val="single" w:sz="4" w:space="0" w:color="auto"/>
            </w:tcBorders>
            <w:shd w:val="clear" w:color="auto" w:fill="auto"/>
            <w:noWrap/>
            <w:hideMark/>
          </w:tcPr>
          <w:p w14:paraId="4168E26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885,03</w:t>
            </w:r>
          </w:p>
        </w:tc>
        <w:tc>
          <w:tcPr>
            <w:tcW w:w="709" w:type="dxa"/>
            <w:tcBorders>
              <w:top w:val="nil"/>
              <w:left w:val="nil"/>
              <w:bottom w:val="single" w:sz="4" w:space="0" w:color="auto"/>
              <w:right w:val="single" w:sz="4" w:space="0" w:color="auto"/>
            </w:tcBorders>
            <w:shd w:val="clear" w:color="auto" w:fill="auto"/>
            <w:noWrap/>
            <w:hideMark/>
          </w:tcPr>
          <w:p w14:paraId="6FC21C5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0,55</w:t>
            </w:r>
          </w:p>
        </w:tc>
        <w:tc>
          <w:tcPr>
            <w:tcW w:w="850" w:type="dxa"/>
            <w:tcBorders>
              <w:top w:val="nil"/>
              <w:left w:val="nil"/>
              <w:bottom w:val="single" w:sz="4" w:space="0" w:color="auto"/>
              <w:right w:val="single" w:sz="4" w:space="0" w:color="auto"/>
            </w:tcBorders>
            <w:shd w:val="clear" w:color="auto" w:fill="auto"/>
            <w:hideMark/>
          </w:tcPr>
          <w:p w14:paraId="04C766F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750,64</w:t>
            </w:r>
          </w:p>
        </w:tc>
        <w:tc>
          <w:tcPr>
            <w:tcW w:w="851" w:type="dxa"/>
            <w:tcBorders>
              <w:top w:val="nil"/>
              <w:left w:val="nil"/>
              <w:bottom w:val="single" w:sz="4" w:space="0" w:color="auto"/>
              <w:right w:val="single" w:sz="4" w:space="0" w:color="auto"/>
            </w:tcBorders>
            <w:shd w:val="clear" w:color="auto" w:fill="auto"/>
            <w:hideMark/>
          </w:tcPr>
          <w:p w14:paraId="70C6E92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781,18</w:t>
            </w:r>
          </w:p>
        </w:tc>
        <w:tc>
          <w:tcPr>
            <w:tcW w:w="850" w:type="dxa"/>
            <w:tcBorders>
              <w:top w:val="nil"/>
              <w:left w:val="nil"/>
              <w:bottom w:val="single" w:sz="4" w:space="0" w:color="auto"/>
              <w:right w:val="single" w:sz="4" w:space="0" w:color="auto"/>
            </w:tcBorders>
            <w:shd w:val="clear" w:color="auto" w:fill="auto"/>
            <w:hideMark/>
          </w:tcPr>
          <w:p w14:paraId="19EA5C13"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137,02</w:t>
            </w:r>
          </w:p>
        </w:tc>
        <w:tc>
          <w:tcPr>
            <w:tcW w:w="709" w:type="dxa"/>
            <w:tcBorders>
              <w:top w:val="nil"/>
              <w:left w:val="nil"/>
              <w:bottom w:val="single" w:sz="4" w:space="0" w:color="auto"/>
              <w:right w:val="single" w:sz="4" w:space="0" w:color="auto"/>
            </w:tcBorders>
            <w:shd w:val="clear" w:color="auto" w:fill="auto"/>
            <w:hideMark/>
          </w:tcPr>
          <w:p w14:paraId="4EDB0AA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118,32</w:t>
            </w:r>
          </w:p>
        </w:tc>
        <w:tc>
          <w:tcPr>
            <w:tcW w:w="845" w:type="dxa"/>
            <w:tcBorders>
              <w:top w:val="nil"/>
              <w:left w:val="nil"/>
              <w:bottom w:val="single" w:sz="4" w:space="0" w:color="auto"/>
              <w:right w:val="single" w:sz="4" w:space="0" w:color="auto"/>
            </w:tcBorders>
            <w:shd w:val="clear" w:color="auto" w:fill="auto"/>
            <w:hideMark/>
          </w:tcPr>
          <w:p w14:paraId="4434D35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-26,45</w:t>
            </w:r>
          </w:p>
        </w:tc>
        <w:tc>
          <w:tcPr>
            <w:tcW w:w="709" w:type="dxa"/>
            <w:tcBorders>
              <w:top w:val="nil"/>
              <w:left w:val="nil"/>
              <w:bottom w:val="single" w:sz="4" w:space="0" w:color="auto"/>
              <w:right w:val="single" w:sz="4" w:space="0" w:color="auto"/>
            </w:tcBorders>
            <w:shd w:val="clear" w:color="auto" w:fill="auto"/>
            <w:hideMark/>
          </w:tcPr>
          <w:p w14:paraId="399D1B5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97,10</w:t>
            </w:r>
          </w:p>
        </w:tc>
      </w:tr>
      <w:tr w:rsidR="00B6135D" w:rsidRPr="00522104" w14:paraId="13AC7535"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40F562ED"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Экономическое развитие и инновационная экономика </w:t>
            </w:r>
          </w:p>
        </w:tc>
        <w:tc>
          <w:tcPr>
            <w:tcW w:w="850" w:type="dxa"/>
            <w:tcBorders>
              <w:top w:val="nil"/>
              <w:left w:val="nil"/>
              <w:bottom w:val="single" w:sz="4" w:space="0" w:color="auto"/>
              <w:right w:val="single" w:sz="4" w:space="0" w:color="auto"/>
            </w:tcBorders>
            <w:shd w:val="clear" w:color="auto" w:fill="auto"/>
            <w:hideMark/>
          </w:tcPr>
          <w:p w14:paraId="20E0E7F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7876,64</w:t>
            </w:r>
          </w:p>
        </w:tc>
        <w:tc>
          <w:tcPr>
            <w:tcW w:w="851" w:type="dxa"/>
            <w:tcBorders>
              <w:top w:val="nil"/>
              <w:left w:val="nil"/>
              <w:bottom w:val="single" w:sz="4" w:space="0" w:color="auto"/>
              <w:right w:val="single" w:sz="4" w:space="0" w:color="auto"/>
            </w:tcBorders>
            <w:shd w:val="clear" w:color="auto" w:fill="auto"/>
            <w:hideMark/>
          </w:tcPr>
          <w:p w14:paraId="6F303F6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4295,38</w:t>
            </w:r>
          </w:p>
        </w:tc>
        <w:tc>
          <w:tcPr>
            <w:tcW w:w="992" w:type="dxa"/>
            <w:tcBorders>
              <w:top w:val="nil"/>
              <w:left w:val="nil"/>
              <w:bottom w:val="single" w:sz="4" w:space="0" w:color="auto"/>
              <w:right w:val="single" w:sz="4" w:space="0" w:color="auto"/>
            </w:tcBorders>
            <w:shd w:val="clear" w:color="auto" w:fill="auto"/>
            <w:noWrap/>
            <w:hideMark/>
          </w:tcPr>
          <w:p w14:paraId="28FD4D9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7706,545</w:t>
            </w:r>
          </w:p>
        </w:tc>
        <w:tc>
          <w:tcPr>
            <w:tcW w:w="709" w:type="dxa"/>
            <w:tcBorders>
              <w:top w:val="nil"/>
              <w:left w:val="nil"/>
              <w:bottom w:val="single" w:sz="4" w:space="0" w:color="auto"/>
              <w:right w:val="single" w:sz="4" w:space="0" w:color="auto"/>
            </w:tcBorders>
            <w:shd w:val="clear" w:color="auto" w:fill="auto"/>
            <w:noWrap/>
            <w:hideMark/>
          </w:tcPr>
          <w:p w14:paraId="1896D81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4,83</w:t>
            </w:r>
          </w:p>
        </w:tc>
        <w:tc>
          <w:tcPr>
            <w:tcW w:w="850" w:type="dxa"/>
            <w:tcBorders>
              <w:top w:val="nil"/>
              <w:left w:val="nil"/>
              <w:bottom w:val="single" w:sz="4" w:space="0" w:color="auto"/>
              <w:right w:val="single" w:sz="4" w:space="0" w:color="auto"/>
            </w:tcBorders>
            <w:shd w:val="clear" w:color="auto" w:fill="auto"/>
            <w:hideMark/>
          </w:tcPr>
          <w:p w14:paraId="6DED180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5205,04</w:t>
            </w:r>
          </w:p>
        </w:tc>
        <w:tc>
          <w:tcPr>
            <w:tcW w:w="851" w:type="dxa"/>
            <w:tcBorders>
              <w:top w:val="nil"/>
              <w:left w:val="nil"/>
              <w:bottom w:val="single" w:sz="4" w:space="0" w:color="auto"/>
              <w:right w:val="single" w:sz="4" w:space="0" w:color="auto"/>
            </w:tcBorders>
            <w:shd w:val="clear" w:color="auto" w:fill="auto"/>
            <w:hideMark/>
          </w:tcPr>
          <w:p w14:paraId="3BC0131F"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4849,73</w:t>
            </w:r>
          </w:p>
        </w:tc>
        <w:tc>
          <w:tcPr>
            <w:tcW w:w="850" w:type="dxa"/>
            <w:tcBorders>
              <w:top w:val="nil"/>
              <w:left w:val="nil"/>
              <w:bottom w:val="single" w:sz="4" w:space="0" w:color="auto"/>
              <w:right w:val="single" w:sz="4" w:space="0" w:color="auto"/>
            </w:tcBorders>
            <w:shd w:val="clear" w:color="auto" w:fill="auto"/>
            <w:hideMark/>
          </w:tcPr>
          <w:p w14:paraId="52AA5DD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3411,16</w:t>
            </w:r>
          </w:p>
        </w:tc>
        <w:tc>
          <w:tcPr>
            <w:tcW w:w="709" w:type="dxa"/>
            <w:tcBorders>
              <w:top w:val="nil"/>
              <w:left w:val="nil"/>
              <w:bottom w:val="single" w:sz="4" w:space="0" w:color="auto"/>
              <w:right w:val="single" w:sz="4" w:space="0" w:color="auto"/>
            </w:tcBorders>
            <w:shd w:val="clear" w:color="auto" w:fill="auto"/>
            <w:hideMark/>
          </w:tcPr>
          <w:p w14:paraId="6CDF935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179,41</w:t>
            </w:r>
          </w:p>
        </w:tc>
        <w:tc>
          <w:tcPr>
            <w:tcW w:w="845" w:type="dxa"/>
            <w:tcBorders>
              <w:top w:val="nil"/>
              <w:left w:val="nil"/>
              <w:bottom w:val="single" w:sz="4" w:space="0" w:color="auto"/>
              <w:right w:val="single" w:sz="4" w:space="0" w:color="auto"/>
            </w:tcBorders>
            <w:shd w:val="clear" w:color="auto" w:fill="auto"/>
            <w:hideMark/>
          </w:tcPr>
          <w:p w14:paraId="5824695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-170,09</w:t>
            </w:r>
          </w:p>
        </w:tc>
        <w:tc>
          <w:tcPr>
            <w:tcW w:w="709" w:type="dxa"/>
            <w:tcBorders>
              <w:top w:val="nil"/>
              <w:left w:val="nil"/>
              <w:bottom w:val="single" w:sz="4" w:space="0" w:color="auto"/>
              <w:right w:val="single" w:sz="4" w:space="0" w:color="auto"/>
            </w:tcBorders>
            <w:shd w:val="clear" w:color="auto" w:fill="auto"/>
            <w:hideMark/>
          </w:tcPr>
          <w:p w14:paraId="07E913E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97,84</w:t>
            </w:r>
          </w:p>
        </w:tc>
      </w:tr>
      <w:tr w:rsidR="00B6135D" w:rsidRPr="00522104" w14:paraId="7CF71625"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5A193D42"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Безопасный край</w:t>
            </w:r>
          </w:p>
        </w:tc>
        <w:tc>
          <w:tcPr>
            <w:tcW w:w="850" w:type="dxa"/>
            <w:tcBorders>
              <w:top w:val="nil"/>
              <w:left w:val="nil"/>
              <w:bottom w:val="single" w:sz="4" w:space="0" w:color="auto"/>
              <w:right w:val="single" w:sz="4" w:space="0" w:color="auto"/>
            </w:tcBorders>
            <w:shd w:val="clear" w:color="auto" w:fill="auto"/>
            <w:hideMark/>
          </w:tcPr>
          <w:p w14:paraId="154FE00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806,27</w:t>
            </w:r>
          </w:p>
        </w:tc>
        <w:tc>
          <w:tcPr>
            <w:tcW w:w="851" w:type="dxa"/>
            <w:tcBorders>
              <w:top w:val="nil"/>
              <w:left w:val="nil"/>
              <w:bottom w:val="single" w:sz="4" w:space="0" w:color="auto"/>
              <w:right w:val="single" w:sz="4" w:space="0" w:color="auto"/>
            </w:tcBorders>
            <w:shd w:val="clear" w:color="auto" w:fill="auto"/>
            <w:hideMark/>
          </w:tcPr>
          <w:p w14:paraId="34511D5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711,44</w:t>
            </w:r>
          </w:p>
        </w:tc>
        <w:tc>
          <w:tcPr>
            <w:tcW w:w="992" w:type="dxa"/>
            <w:tcBorders>
              <w:top w:val="nil"/>
              <w:left w:val="nil"/>
              <w:bottom w:val="single" w:sz="4" w:space="0" w:color="auto"/>
              <w:right w:val="single" w:sz="4" w:space="0" w:color="auto"/>
            </w:tcBorders>
            <w:shd w:val="clear" w:color="auto" w:fill="auto"/>
            <w:noWrap/>
            <w:hideMark/>
          </w:tcPr>
          <w:p w14:paraId="26E06FE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764,48</w:t>
            </w:r>
          </w:p>
        </w:tc>
        <w:tc>
          <w:tcPr>
            <w:tcW w:w="709" w:type="dxa"/>
            <w:tcBorders>
              <w:top w:val="nil"/>
              <w:left w:val="nil"/>
              <w:bottom w:val="single" w:sz="4" w:space="0" w:color="auto"/>
              <w:right w:val="single" w:sz="4" w:space="0" w:color="auto"/>
            </w:tcBorders>
            <w:shd w:val="clear" w:color="auto" w:fill="auto"/>
            <w:noWrap/>
            <w:hideMark/>
          </w:tcPr>
          <w:p w14:paraId="0B32833C"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0,48</w:t>
            </w:r>
          </w:p>
        </w:tc>
        <w:tc>
          <w:tcPr>
            <w:tcW w:w="850" w:type="dxa"/>
            <w:tcBorders>
              <w:top w:val="nil"/>
              <w:left w:val="nil"/>
              <w:bottom w:val="single" w:sz="4" w:space="0" w:color="auto"/>
              <w:right w:val="single" w:sz="4" w:space="0" w:color="auto"/>
            </w:tcBorders>
            <w:shd w:val="clear" w:color="auto" w:fill="auto"/>
            <w:hideMark/>
          </w:tcPr>
          <w:p w14:paraId="2BE147C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722,06</w:t>
            </w:r>
          </w:p>
        </w:tc>
        <w:tc>
          <w:tcPr>
            <w:tcW w:w="851" w:type="dxa"/>
            <w:tcBorders>
              <w:top w:val="nil"/>
              <w:left w:val="nil"/>
              <w:bottom w:val="single" w:sz="4" w:space="0" w:color="auto"/>
              <w:right w:val="single" w:sz="4" w:space="0" w:color="auto"/>
            </w:tcBorders>
            <w:shd w:val="clear" w:color="auto" w:fill="auto"/>
            <w:hideMark/>
          </w:tcPr>
          <w:p w14:paraId="7C8A580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736,82</w:t>
            </w:r>
          </w:p>
        </w:tc>
        <w:tc>
          <w:tcPr>
            <w:tcW w:w="850" w:type="dxa"/>
            <w:tcBorders>
              <w:top w:val="nil"/>
              <w:left w:val="nil"/>
              <w:bottom w:val="single" w:sz="4" w:space="0" w:color="auto"/>
              <w:right w:val="single" w:sz="4" w:space="0" w:color="auto"/>
            </w:tcBorders>
            <w:shd w:val="clear" w:color="auto" w:fill="auto"/>
            <w:hideMark/>
          </w:tcPr>
          <w:p w14:paraId="625F1499"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53,04</w:t>
            </w:r>
          </w:p>
        </w:tc>
        <w:tc>
          <w:tcPr>
            <w:tcW w:w="709" w:type="dxa"/>
            <w:tcBorders>
              <w:top w:val="nil"/>
              <w:left w:val="nil"/>
              <w:bottom w:val="single" w:sz="4" w:space="0" w:color="auto"/>
              <w:right w:val="single" w:sz="4" w:space="0" w:color="auto"/>
            </w:tcBorders>
            <w:shd w:val="clear" w:color="auto" w:fill="auto"/>
            <w:hideMark/>
          </w:tcPr>
          <w:p w14:paraId="74A623B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107,45</w:t>
            </w:r>
          </w:p>
        </w:tc>
        <w:tc>
          <w:tcPr>
            <w:tcW w:w="845" w:type="dxa"/>
            <w:tcBorders>
              <w:top w:val="nil"/>
              <w:left w:val="nil"/>
              <w:bottom w:val="single" w:sz="4" w:space="0" w:color="auto"/>
              <w:right w:val="single" w:sz="4" w:space="0" w:color="auto"/>
            </w:tcBorders>
            <w:shd w:val="clear" w:color="auto" w:fill="auto"/>
            <w:hideMark/>
          </w:tcPr>
          <w:p w14:paraId="24B4560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-41,79</w:t>
            </w:r>
          </w:p>
        </w:tc>
        <w:tc>
          <w:tcPr>
            <w:tcW w:w="709" w:type="dxa"/>
            <w:tcBorders>
              <w:top w:val="nil"/>
              <w:left w:val="nil"/>
              <w:bottom w:val="single" w:sz="4" w:space="0" w:color="auto"/>
              <w:right w:val="single" w:sz="4" w:space="0" w:color="auto"/>
            </w:tcBorders>
            <w:shd w:val="clear" w:color="auto" w:fill="auto"/>
            <w:hideMark/>
          </w:tcPr>
          <w:p w14:paraId="3554456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94,82</w:t>
            </w:r>
          </w:p>
        </w:tc>
      </w:tr>
      <w:tr w:rsidR="00B6135D" w:rsidRPr="00522104" w14:paraId="5809C589"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2E197D35"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Патриотическое воспитание граждан…</w:t>
            </w:r>
          </w:p>
        </w:tc>
        <w:tc>
          <w:tcPr>
            <w:tcW w:w="850" w:type="dxa"/>
            <w:tcBorders>
              <w:top w:val="nil"/>
              <w:left w:val="nil"/>
              <w:bottom w:val="single" w:sz="4" w:space="0" w:color="auto"/>
              <w:right w:val="single" w:sz="4" w:space="0" w:color="auto"/>
            </w:tcBorders>
            <w:shd w:val="clear" w:color="auto" w:fill="auto"/>
            <w:hideMark/>
          </w:tcPr>
          <w:p w14:paraId="22E52629" w14:textId="77777777" w:rsidR="00827437" w:rsidRPr="00522104" w:rsidRDefault="00827437" w:rsidP="00F43273">
            <w:pPr>
              <w:spacing w:before="40" w:after="40" w:line="240" w:lineRule="auto"/>
              <w:ind w:right="-117"/>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165,64</w:t>
            </w:r>
          </w:p>
        </w:tc>
        <w:tc>
          <w:tcPr>
            <w:tcW w:w="851" w:type="dxa"/>
            <w:tcBorders>
              <w:top w:val="nil"/>
              <w:left w:val="nil"/>
              <w:bottom w:val="single" w:sz="4" w:space="0" w:color="auto"/>
              <w:right w:val="single" w:sz="4" w:space="0" w:color="auto"/>
            </w:tcBorders>
            <w:shd w:val="clear" w:color="auto" w:fill="auto"/>
            <w:hideMark/>
          </w:tcPr>
          <w:p w14:paraId="4BF5A672"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112,12</w:t>
            </w:r>
          </w:p>
        </w:tc>
        <w:tc>
          <w:tcPr>
            <w:tcW w:w="992" w:type="dxa"/>
            <w:tcBorders>
              <w:top w:val="nil"/>
              <w:left w:val="nil"/>
              <w:bottom w:val="single" w:sz="4" w:space="0" w:color="auto"/>
              <w:right w:val="single" w:sz="4" w:space="0" w:color="auto"/>
            </w:tcBorders>
            <w:shd w:val="clear" w:color="auto" w:fill="auto"/>
            <w:noWrap/>
            <w:hideMark/>
          </w:tcPr>
          <w:p w14:paraId="29FF3C0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147,55</w:t>
            </w:r>
          </w:p>
        </w:tc>
        <w:tc>
          <w:tcPr>
            <w:tcW w:w="709" w:type="dxa"/>
            <w:tcBorders>
              <w:top w:val="nil"/>
              <w:left w:val="nil"/>
              <w:bottom w:val="single" w:sz="4" w:space="0" w:color="auto"/>
              <w:right w:val="single" w:sz="4" w:space="0" w:color="auto"/>
            </w:tcBorders>
            <w:shd w:val="clear" w:color="auto" w:fill="auto"/>
            <w:noWrap/>
            <w:hideMark/>
          </w:tcPr>
          <w:p w14:paraId="3FAFBA5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0,09</w:t>
            </w:r>
          </w:p>
        </w:tc>
        <w:tc>
          <w:tcPr>
            <w:tcW w:w="850" w:type="dxa"/>
            <w:tcBorders>
              <w:top w:val="nil"/>
              <w:left w:val="nil"/>
              <w:bottom w:val="single" w:sz="4" w:space="0" w:color="auto"/>
              <w:right w:val="single" w:sz="4" w:space="0" w:color="auto"/>
            </w:tcBorders>
            <w:shd w:val="clear" w:color="auto" w:fill="auto"/>
            <w:hideMark/>
          </w:tcPr>
          <w:p w14:paraId="538D03A8"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126,02</w:t>
            </w:r>
          </w:p>
        </w:tc>
        <w:tc>
          <w:tcPr>
            <w:tcW w:w="851" w:type="dxa"/>
            <w:tcBorders>
              <w:top w:val="nil"/>
              <w:left w:val="nil"/>
              <w:bottom w:val="single" w:sz="4" w:space="0" w:color="auto"/>
              <w:right w:val="single" w:sz="4" w:space="0" w:color="auto"/>
            </w:tcBorders>
            <w:shd w:val="clear" w:color="auto" w:fill="auto"/>
            <w:hideMark/>
          </w:tcPr>
          <w:p w14:paraId="63D232A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127,15</w:t>
            </w:r>
          </w:p>
        </w:tc>
        <w:tc>
          <w:tcPr>
            <w:tcW w:w="850" w:type="dxa"/>
            <w:tcBorders>
              <w:top w:val="nil"/>
              <w:left w:val="nil"/>
              <w:bottom w:val="single" w:sz="4" w:space="0" w:color="auto"/>
              <w:right w:val="single" w:sz="4" w:space="0" w:color="auto"/>
            </w:tcBorders>
            <w:shd w:val="clear" w:color="auto" w:fill="auto"/>
            <w:hideMark/>
          </w:tcPr>
          <w:p w14:paraId="11ED01D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35,43</w:t>
            </w:r>
          </w:p>
        </w:tc>
        <w:tc>
          <w:tcPr>
            <w:tcW w:w="709" w:type="dxa"/>
            <w:tcBorders>
              <w:top w:val="nil"/>
              <w:left w:val="nil"/>
              <w:bottom w:val="single" w:sz="4" w:space="0" w:color="auto"/>
              <w:right w:val="single" w:sz="4" w:space="0" w:color="auto"/>
            </w:tcBorders>
            <w:shd w:val="clear" w:color="auto" w:fill="auto"/>
            <w:hideMark/>
          </w:tcPr>
          <w:p w14:paraId="4C6D37A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131,60</w:t>
            </w:r>
          </w:p>
        </w:tc>
        <w:tc>
          <w:tcPr>
            <w:tcW w:w="845" w:type="dxa"/>
            <w:tcBorders>
              <w:top w:val="nil"/>
              <w:left w:val="nil"/>
              <w:bottom w:val="single" w:sz="4" w:space="0" w:color="auto"/>
              <w:right w:val="single" w:sz="4" w:space="0" w:color="auto"/>
            </w:tcBorders>
            <w:shd w:val="clear" w:color="auto" w:fill="auto"/>
            <w:hideMark/>
          </w:tcPr>
          <w:p w14:paraId="14FDD12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-18,09</w:t>
            </w:r>
          </w:p>
        </w:tc>
        <w:tc>
          <w:tcPr>
            <w:tcW w:w="709" w:type="dxa"/>
            <w:tcBorders>
              <w:top w:val="nil"/>
              <w:left w:val="nil"/>
              <w:bottom w:val="single" w:sz="4" w:space="0" w:color="auto"/>
              <w:right w:val="single" w:sz="4" w:space="0" w:color="auto"/>
            </w:tcBorders>
            <w:shd w:val="clear" w:color="auto" w:fill="auto"/>
            <w:hideMark/>
          </w:tcPr>
          <w:p w14:paraId="684C73F7"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89,08</w:t>
            </w:r>
          </w:p>
        </w:tc>
      </w:tr>
      <w:tr w:rsidR="00B6135D" w:rsidRPr="00522104" w14:paraId="3911C611"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09EC0DD0" w14:textId="77777777" w:rsidR="00827437" w:rsidRPr="00522104" w:rsidRDefault="00827437" w:rsidP="00F43273">
            <w:pPr>
              <w:spacing w:before="40" w:after="4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 xml:space="preserve">Формирование современной городской среды муниципальных образований </w:t>
            </w:r>
          </w:p>
        </w:tc>
        <w:tc>
          <w:tcPr>
            <w:tcW w:w="850" w:type="dxa"/>
            <w:tcBorders>
              <w:top w:val="nil"/>
              <w:left w:val="nil"/>
              <w:bottom w:val="single" w:sz="4" w:space="0" w:color="auto"/>
              <w:right w:val="single" w:sz="4" w:space="0" w:color="auto"/>
            </w:tcBorders>
            <w:shd w:val="clear" w:color="auto" w:fill="auto"/>
            <w:hideMark/>
          </w:tcPr>
          <w:p w14:paraId="3FDA8D6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1395,00</w:t>
            </w:r>
          </w:p>
        </w:tc>
        <w:tc>
          <w:tcPr>
            <w:tcW w:w="851" w:type="dxa"/>
            <w:tcBorders>
              <w:top w:val="nil"/>
              <w:left w:val="nil"/>
              <w:bottom w:val="single" w:sz="4" w:space="0" w:color="auto"/>
              <w:right w:val="single" w:sz="4" w:space="0" w:color="auto"/>
            </w:tcBorders>
            <w:shd w:val="clear" w:color="auto" w:fill="auto"/>
            <w:hideMark/>
          </w:tcPr>
          <w:p w14:paraId="3E6F5BAB"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1745,68</w:t>
            </w:r>
          </w:p>
        </w:tc>
        <w:tc>
          <w:tcPr>
            <w:tcW w:w="992" w:type="dxa"/>
            <w:tcBorders>
              <w:top w:val="nil"/>
              <w:left w:val="nil"/>
              <w:bottom w:val="single" w:sz="4" w:space="0" w:color="auto"/>
              <w:right w:val="single" w:sz="4" w:space="0" w:color="auto"/>
            </w:tcBorders>
            <w:shd w:val="clear" w:color="auto" w:fill="auto"/>
            <w:noWrap/>
            <w:hideMark/>
          </w:tcPr>
          <w:p w14:paraId="511C9240"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1313,55</w:t>
            </w:r>
          </w:p>
        </w:tc>
        <w:tc>
          <w:tcPr>
            <w:tcW w:w="709" w:type="dxa"/>
            <w:tcBorders>
              <w:top w:val="nil"/>
              <w:left w:val="nil"/>
              <w:bottom w:val="single" w:sz="4" w:space="0" w:color="auto"/>
              <w:right w:val="single" w:sz="4" w:space="0" w:color="auto"/>
            </w:tcBorders>
            <w:shd w:val="clear" w:color="auto" w:fill="auto"/>
            <w:noWrap/>
            <w:hideMark/>
          </w:tcPr>
          <w:p w14:paraId="50238701"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0,82</w:t>
            </w:r>
          </w:p>
        </w:tc>
        <w:tc>
          <w:tcPr>
            <w:tcW w:w="850" w:type="dxa"/>
            <w:tcBorders>
              <w:top w:val="nil"/>
              <w:left w:val="nil"/>
              <w:bottom w:val="single" w:sz="4" w:space="0" w:color="auto"/>
              <w:right w:val="single" w:sz="4" w:space="0" w:color="auto"/>
            </w:tcBorders>
            <w:shd w:val="clear" w:color="auto" w:fill="auto"/>
            <w:hideMark/>
          </w:tcPr>
          <w:p w14:paraId="7DFEFE7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1743,55</w:t>
            </w:r>
          </w:p>
        </w:tc>
        <w:tc>
          <w:tcPr>
            <w:tcW w:w="851" w:type="dxa"/>
            <w:tcBorders>
              <w:top w:val="nil"/>
              <w:left w:val="nil"/>
              <w:bottom w:val="single" w:sz="4" w:space="0" w:color="auto"/>
              <w:right w:val="single" w:sz="4" w:space="0" w:color="auto"/>
            </w:tcBorders>
            <w:shd w:val="clear" w:color="auto" w:fill="auto"/>
            <w:hideMark/>
          </w:tcPr>
          <w:p w14:paraId="3A74F18C" w14:textId="77777777" w:rsidR="00827437" w:rsidRPr="00522104" w:rsidRDefault="00827437" w:rsidP="00F43273">
            <w:pPr>
              <w:spacing w:before="40" w:after="40" w:line="240" w:lineRule="auto"/>
              <w:ind w:left="-20"/>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1803,95</w:t>
            </w:r>
          </w:p>
        </w:tc>
        <w:tc>
          <w:tcPr>
            <w:tcW w:w="850" w:type="dxa"/>
            <w:tcBorders>
              <w:top w:val="nil"/>
              <w:left w:val="nil"/>
              <w:bottom w:val="single" w:sz="4" w:space="0" w:color="auto"/>
              <w:right w:val="single" w:sz="4" w:space="0" w:color="auto"/>
            </w:tcBorders>
            <w:shd w:val="clear" w:color="auto" w:fill="auto"/>
            <w:hideMark/>
          </w:tcPr>
          <w:p w14:paraId="33636B4A"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-432,13</w:t>
            </w:r>
          </w:p>
        </w:tc>
        <w:tc>
          <w:tcPr>
            <w:tcW w:w="709" w:type="dxa"/>
            <w:tcBorders>
              <w:top w:val="nil"/>
              <w:left w:val="nil"/>
              <w:bottom w:val="single" w:sz="4" w:space="0" w:color="auto"/>
              <w:right w:val="single" w:sz="4" w:space="0" w:color="auto"/>
            </w:tcBorders>
            <w:shd w:val="clear" w:color="auto" w:fill="auto"/>
            <w:hideMark/>
          </w:tcPr>
          <w:p w14:paraId="0817D126"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75,25</w:t>
            </w:r>
          </w:p>
        </w:tc>
        <w:tc>
          <w:tcPr>
            <w:tcW w:w="845" w:type="dxa"/>
            <w:tcBorders>
              <w:top w:val="nil"/>
              <w:left w:val="nil"/>
              <w:bottom w:val="single" w:sz="4" w:space="0" w:color="auto"/>
              <w:right w:val="single" w:sz="4" w:space="0" w:color="auto"/>
            </w:tcBorders>
            <w:shd w:val="clear" w:color="auto" w:fill="auto"/>
            <w:hideMark/>
          </w:tcPr>
          <w:p w14:paraId="14BF5B6D"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-81,45</w:t>
            </w:r>
          </w:p>
        </w:tc>
        <w:tc>
          <w:tcPr>
            <w:tcW w:w="709" w:type="dxa"/>
            <w:tcBorders>
              <w:top w:val="nil"/>
              <w:left w:val="nil"/>
              <w:bottom w:val="single" w:sz="4" w:space="0" w:color="auto"/>
              <w:right w:val="single" w:sz="4" w:space="0" w:color="auto"/>
            </w:tcBorders>
            <w:shd w:val="clear" w:color="auto" w:fill="auto"/>
            <w:hideMark/>
          </w:tcPr>
          <w:p w14:paraId="0C23160E"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94,16</w:t>
            </w:r>
          </w:p>
        </w:tc>
      </w:tr>
      <w:tr w:rsidR="00B6135D" w:rsidRPr="00522104" w14:paraId="13D47863"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hideMark/>
          </w:tcPr>
          <w:p w14:paraId="79E84FBE" w14:textId="77777777" w:rsidR="00827437" w:rsidRPr="00522104" w:rsidRDefault="00827437" w:rsidP="00F43273">
            <w:pPr>
              <w:spacing w:before="40" w:after="40" w:line="240" w:lineRule="auto"/>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Непрограммные направления деятельности органов государственной власти</w:t>
            </w:r>
          </w:p>
        </w:tc>
        <w:tc>
          <w:tcPr>
            <w:tcW w:w="850" w:type="dxa"/>
            <w:tcBorders>
              <w:top w:val="nil"/>
              <w:left w:val="nil"/>
              <w:bottom w:val="single" w:sz="4" w:space="0" w:color="auto"/>
              <w:right w:val="single" w:sz="4" w:space="0" w:color="auto"/>
            </w:tcBorders>
            <w:shd w:val="clear" w:color="auto" w:fill="auto"/>
            <w:hideMark/>
          </w:tcPr>
          <w:p w14:paraId="6048167F"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4329,58</w:t>
            </w:r>
          </w:p>
        </w:tc>
        <w:tc>
          <w:tcPr>
            <w:tcW w:w="851" w:type="dxa"/>
            <w:tcBorders>
              <w:top w:val="nil"/>
              <w:left w:val="nil"/>
              <w:bottom w:val="single" w:sz="4" w:space="0" w:color="auto"/>
              <w:right w:val="single" w:sz="4" w:space="0" w:color="auto"/>
            </w:tcBorders>
            <w:shd w:val="clear" w:color="auto" w:fill="auto"/>
            <w:hideMark/>
          </w:tcPr>
          <w:p w14:paraId="4893E452"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3371,96</w:t>
            </w:r>
          </w:p>
        </w:tc>
        <w:tc>
          <w:tcPr>
            <w:tcW w:w="992" w:type="dxa"/>
            <w:tcBorders>
              <w:top w:val="nil"/>
              <w:left w:val="nil"/>
              <w:bottom w:val="single" w:sz="4" w:space="0" w:color="auto"/>
              <w:right w:val="single" w:sz="4" w:space="0" w:color="auto"/>
            </w:tcBorders>
            <w:shd w:val="clear" w:color="auto" w:fill="auto"/>
            <w:hideMark/>
          </w:tcPr>
          <w:p w14:paraId="6CAB03FD"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3380,58</w:t>
            </w:r>
          </w:p>
        </w:tc>
        <w:tc>
          <w:tcPr>
            <w:tcW w:w="709" w:type="dxa"/>
            <w:tcBorders>
              <w:top w:val="nil"/>
              <w:left w:val="nil"/>
              <w:bottom w:val="single" w:sz="4" w:space="0" w:color="auto"/>
              <w:right w:val="single" w:sz="4" w:space="0" w:color="auto"/>
            </w:tcBorders>
            <w:shd w:val="clear" w:color="auto" w:fill="auto"/>
            <w:noWrap/>
            <w:hideMark/>
          </w:tcPr>
          <w:p w14:paraId="77C4F7D1" w14:textId="77777777" w:rsidR="00827437" w:rsidRPr="00F042AC" w:rsidRDefault="00827437" w:rsidP="00F43273">
            <w:pPr>
              <w:spacing w:before="40" w:after="40" w:line="240" w:lineRule="auto"/>
              <w:jc w:val="right"/>
              <w:rPr>
                <w:rFonts w:ascii="Times New Roman" w:eastAsia="Times New Roman" w:hAnsi="Times New Roman" w:cs="Times New Roman"/>
                <w:b/>
                <w:sz w:val="16"/>
                <w:szCs w:val="16"/>
                <w:lang w:eastAsia="ru-RU"/>
              </w:rPr>
            </w:pPr>
            <w:r w:rsidRPr="00F042AC">
              <w:rPr>
                <w:rFonts w:ascii="Times New Roman" w:eastAsia="Times New Roman" w:hAnsi="Times New Roman" w:cs="Times New Roman"/>
                <w:b/>
                <w:sz w:val="16"/>
                <w:szCs w:val="16"/>
                <w:lang w:eastAsia="ru-RU"/>
              </w:rPr>
              <w:t>2,12</w:t>
            </w:r>
          </w:p>
        </w:tc>
        <w:tc>
          <w:tcPr>
            <w:tcW w:w="850" w:type="dxa"/>
            <w:tcBorders>
              <w:top w:val="nil"/>
              <w:left w:val="nil"/>
              <w:bottom w:val="single" w:sz="4" w:space="0" w:color="auto"/>
              <w:right w:val="single" w:sz="4" w:space="0" w:color="auto"/>
            </w:tcBorders>
            <w:shd w:val="clear" w:color="auto" w:fill="auto"/>
            <w:hideMark/>
          </w:tcPr>
          <w:p w14:paraId="5A641751" w14:textId="77777777" w:rsidR="00827437" w:rsidRPr="00F042AC"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F042AC">
              <w:rPr>
                <w:rFonts w:ascii="Times New Roman" w:eastAsia="Times New Roman" w:hAnsi="Times New Roman" w:cs="Times New Roman"/>
                <w:b/>
                <w:bCs/>
                <w:sz w:val="16"/>
                <w:szCs w:val="16"/>
                <w:lang w:eastAsia="ru-RU"/>
              </w:rPr>
              <w:t>3747,27</w:t>
            </w:r>
          </w:p>
        </w:tc>
        <w:tc>
          <w:tcPr>
            <w:tcW w:w="851" w:type="dxa"/>
            <w:tcBorders>
              <w:top w:val="nil"/>
              <w:left w:val="nil"/>
              <w:bottom w:val="single" w:sz="4" w:space="0" w:color="auto"/>
              <w:right w:val="single" w:sz="4" w:space="0" w:color="auto"/>
            </w:tcBorders>
            <w:shd w:val="clear" w:color="auto" w:fill="auto"/>
            <w:hideMark/>
          </w:tcPr>
          <w:p w14:paraId="4CDF6B25" w14:textId="77777777" w:rsidR="00827437" w:rsidRPr="00F042AC"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F042AC">
              <w:rPr>
                <w:rFonts w:ascii="Times New Roman" w:eastAsia="Times New Roman" w:hAnsi="Times New Roman" w:cs="Times New Roman"/>
                <w:b/>
                <w:bCs/>
                <w:sz w:val="16"/>
                <w:szCs w:val="16"/>
                <w:lang w:eastAsia="ru-RU"/>
              </w:rPr>
              <w:t>3874,46</w:t>
            </w:r>
          </w:p>
        </w:tc>
        <w:tc>
          <w:tcPr>
            <w:tcW w:w="850" w:type="dxa"/>
            <w:tcBorders>
              <w:top w:val="nil"/>
              <w:left w:val="nil"/>
              <w:bottom w:val="single" w:sz="4" w:space="0" w:color="auto"/>
              <w:right w:val="single" w:sz="4" w:space="0" w:color="auto"/>
            </w:tcBorders>
            <w:shd w:val="clear" w:color="auto" w:fill="auto"/>
            <w:hideMark/>
          </w:tcPr>
          <w:p w14:paraId="321E59C9" w14:textId="77777777" w:rsidR="00827437" w:rsidRPr="00F042AC" w:rsidRDefault="00827437" w:rsidP="00F43273">
            <w:pPr>
              <w:spacing w:before="40" w:after="40" w:line="240" w:lineRule="auto"/>
              <w:jc w:val="right"/>
              <w:rPr>
                <w:rFonts w:ascii="Times New Roman" w:eastAsia="Times New Roman" w:hAnsi="Times New Roman" w:cs="Times New Roman"/>
                <w:b/>
                <w:sz w:val="16"/>
                <w:szCs w:val="16"/>
                <w:lang w:eastAsia="ru-RU"/>
              </w:rPr>
            </w:pPr>
            <w:r w:rsidRPr="00F042AC">
              <w:rPr>
                <w:rFonts w:ascii="Times New Roman" w:eastAsia="Times New Roman" w:hAnsi="Times New Roman" w:cs="Times New Roman"/>
                <w:b/>
                <w:sz w:val="16"/>
                <w:szCs w:val="16"/>
                <w:lang w:eastAsia="ru-RU"/>
              </w:rPr>
              <w:t>8,62</w:t>
            </w:r>
          </w:p>
        </w:tc>
        <w:tc>
          <w:tcPr>
            <w:tcW w:w="709" w:type="dxa"/>
            <w:tcBorders>
              <w:top w:val="nil"/>
              <w:left w:val="nil"/>
              <w:bottom w:val="single" w:sz="4" w:space="0" w:color="auto"/>
              <w:right w:val="single" w:sz="4" w:space="0" w:color="auto"/>
            </w:tcBorders>
            <w:shd w:val="clear" w:color="auto" w:fill="auto"/>
            <w:hideMark/>
          </w:tcPr>
          <w:p w14:paraId="51674AB6" w14:textId="77777777" w:rsidR="00827437" w:rsidRPr="00F042AC" w:rsidRDefault="00827437" w:rsidP="00F43273">
            <w:pPr>
              <w:spacing w:before="40" w:after="40" w:line="240" w:lineRule="auto"/>
              <w:jc w:val="right"/>
              <w:rPr>
                <w:rFonts w:ascii="Times New Roman" w:eastAsia="Times New Roman" w:hAnsi="Times New Roman" w:cs="Times New Roman"/>
                <w:b/>
                <w:sz w:val="16"/>
                <w:szCs w:val="16"/>
                <w:lang w:eastAsia="ru-RU"/>
              </w:rPr>
            </w:pPr>
            <w:r w:rsidRPr="00F042AC">
              <w:rPr>
                <w:rFonts w:ascii="Times New Roman" w:eastAsia="Times New Roman" w:hAnsi="Times New Roman" w:cs="Times New Roman"/>
                <w:b/>
                <w:sz w:val="16"/>
                <w:szCs w:val="16"/>
                <w:lang w:eastAsia="ru-RU"/>
              </w:rPr>
              <w:t>100,26</w:t>
            </w:r>
          </w:p>
        </w:tc>
        <w:tc>
          <w:tcPr>
            <w:tcW w:w="845" w:type="dxa"/>
            <w:tcBorders>
              <w:top w:val="nil"/>
              <w:left w:val="nil"/>
              <w:bottom w:val="single" w:sz="4" w:space="0" w:color="auto"/>
              <w:right w:val="single" w:sz="4" w:space="0" w:color="auto"/>
            </w:tcBorders>
            <w:shd w:val="clear" w:color="auto" w:fill="auto"/>
            <w:hideMark/>
          </w:tcPr>
          <w:p w14:paraId="02AA0808" w14:textId="77777777" w:rsidR="00827437" w:rsidRPr="00F042AC" w:rsidRDefault="00827437" w:rsidP="00F43273">
            <w:pPr>
              <w:spacing w:before="40" w:after="40" w:line="240" w:lineRule="auto"/>
              <w:jc w:val="right"/>
              <w:rPr>
                <w:rFonts w:ascii="Times New Roman" w:eastAsia="Times New Roman" w:hAnsi="Times New Roman" w:cs="Times New Roman"/>
                <w:b/>
                <w:sz w:val="16"/>
                <w:szCs w:val="16"/>
                <w:lang w:eastAsia="ru-RU"/>
              </w:rPr>
            </w:pPr>
            <w:r w:rsidRPr="00F042AC">
              <w:rPr>
                <w:rFonts w:ascii="Times New Roman" w:eastAsia="Times New Roman" w:hAnsi="Times New Roman" w:cs="Times New Roman"/>
                <w:b/>
                <w:sz w:val="16"/>
                <w:szCs w:val="16"/>
                <w:lang w:eastAsia="ru-RU"/>
              </w:rPr>
              <w:t>-949,00</w:t>
            </w:r>
          </w:p>
        </w:tc>
        <w:tc>
          <w:tcPr>
            <w:tcW w:w="709" w:type="dxa"/>
            <w:tcBorders>
              <w:top w:val="nil"/>
              <w:left w:val="nil"/>
              <w:bottom w:val="single" w:sz="4" w:space="0" w:color="auto"/>
              <w:right w:val="single" w:sz="4" w:space="0" w:color="auto"/>
            </w:tcBorders>
            <w:shd w:val="clear" w:color="auto" w:fill="auto"/>
            <w:hideMark/>
          </w:tcPr>
          <w:p w14:paraId="5002BB33" w14:textId="77777777" w:rsidR="00827437" w:rsidRPr="00F042AC" w:rsidRDefault="00827437" w:rsidP="00F43273">
            <w:pPr>
              <w:spacing w:before="40" w:after="40" w:line="240" w:lineRule="auto"/>
              <w:jc w:val="right"/>
              <w:rPr>
                <w:rFonts w:ascii="Times New Roman" w:eastAsia="Times New Roman" w:hAnsi="Times New Roman" w:cs="Times New Roman"/>
                <w:b/>
                <w:sz w:val="16"/>
                <w:szCs w:val="16"/>
                <w:lang w:eastAsia="ru-RU"/>
              </w:rPr>
            </w:pPr>
            <w:r w:rsidRPr="00F042AC">
              <w:rPr>
                <w:rFonts w:ascii="Times New Roman" w:eastAsia="Times New Roman" w:hAnsi="Times New Roman" w:cs="Times New Roman"/>
                <w:b/>
                <w:sz w:val="16"/>
                <w:szCs w:val="16"/>
                <w:lang w:eastAsia="ru-RU"/>
              </w:rPr>
              <w:t>78,08</w:t>
            </w:r>
          </w:p>
        </w:tc>
      </w:tr>
      <w:tr w:rsidR="00B6135D" w:rsidRPr="00522104" w14:paraId="2E4EB791" w14:textId="77777777" w:rsidTr="00F042AC">
        <w:trPr>
          <w:trHeight w:val="20"/>
        </w:trPr>
        <w:tc>
          <w:tcPr>
            <w:tcW w:w="2274" w:type="dxa"/>
            <w:tcBorders>
              <w:top w:val="nil"/>
              <w:left w:val="single" w:sz="4" w:space="0" w:color="auto"/>
              <w:bottom w:val="nil"/>
              <w:right w:val="single" w:sz="4" w:space="0" w:color="auto"/>
            </w:tcBorders>
            <w:shd w:val="clear" w:color="000000" w:fill="FFFFFF"/>
            <w:hideMark/>
          </w:tcPr>
          <w:p w14:paraId="591B24D0" w14:textId="77777777" w:rsidR="00827437" w:rsidRPr="00522104" w:rsidRDefault="00827437" w:rsidP="00F43273">
            <w:pPr>
              <w:spacing w:before="40" w:after="40" w:line="240" w:lineRule="auto"/>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Условно-утвержденные расходы</w:t>
            </w:r>
          </w:p>
        </w:tc>
        <w:tc>
          <w:tcPr>
            <w:tcW w:w="850" w:type="dxa"/>
            <w:tcBorders>
              <w:top w:val="nil"/>
              <w:left w:val="nil"/>
              <w:bottom w:val="nil"/>
              <w:right w:val="single" w:sz="4" w:space="0" w:color="auto"/>
            </w:tcBorders>
            <w:shd w:val="clear" w:color="000000" w:fill="FFFFFF"/>
            <w:hideMark/>
          </w:tcPr>
          <w:p w14:paraId="016017E8"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 </w:t>
            </w:r>
          </w:p>
        </w:tc>
        <w:tc>
          <w:tcPr>
            <w:tcW w:w="851" w:type="dxa"/>
            <w:tcBorders>
              <w:top w:val="nil"/>
              <w:left w:val="nil"/>
              <w:bottom w:val="nil"/>
              <w:right w:val="single" w:sz="4" w:space="0" w:color="auto"/>
            </w:tcBorders>
            <w:shd w:val="clear" w:color="000000" w:fill="FFFFFF"/>
            <w:hideMark/>
          </w:tcPr>
          <w:p w14:paraId="5E81D8AD"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2736,20</w:t>
            </w:r>
          </w:p>
        </w:tc>
        <w:tc>
          <w:tcPr>
            <w:tcW w:w="992" w:type="dxa"/>
            <w:tcBorders>
              <w:top w:val="nil"/>
              <w:left w:val="nil"/>
              <w:bottom w:val="nil"/>
              <w:right w:val="single" w:sz="4" w:space="0" w:color="auto"/>
            </w:tcBorders>
            <w:shd w:val="clear" w:color="000000" w:fill="FFFFFF"/>
            <w:hideMark/>
          </w:tcPr>
          <w:p w14:paraId="366243EF"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0,00</w:t>
            </w:r>
          </w:p>
        </w:tc>
        <w:tc>
          <w:tcPr>
            <w:tcW w:w="709" w:type="dxa"/>
            <w:tcBorders>
              <w:top w:val="nil"/>
              <w:left w:val="nil"/>
              <w:bottom w:val="single" w:sz="4" w:space="0" w:color="auto"/>
              <w:right w:val="single" w:sz="4" w:space="0" w:color="auto"/>
            </w:tcBorders>
            <w:shd w:val="clear" w:color="auto" w:fill="auto"/>
            <w:noWrap/>
            <w:hideMark/>
          </w:tcPr>
          <w:p w14:paraId="72D4FA05" w14:textId="77777777" w:rsidR="00827437" w:rsidRPr="00522104" w:rsidRDefault="00827437" w:rsidP="00F43273">
            <w:pPr>
              <w:spacing w:before="40" w:after="40" w:line="240" w:lineRule="auto"/>
              <w:jc w:val="right"/>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0,00</w:t>
            </w:r>
          </w:p>
        </w:tc>
        <w:tc>
          <w:tcPr>
            <w:tcW w:w="850" w:type="dxa"/>
            <w:tcBorders>
              <w:top w:val="nil"/>
              <w:left w:val="nil"/>
              <w:bottom w:val="nil"/>
              <w:right w:val="single" w:sz="4" w:space="0" w:color="auto"/>
            </w:tcBorders>
            <w:shd w:val="clear" w:color="000000" w:fill="FFFFFF"/>
            <w:hideMark/>
          </w:tcPr>
          <w:p w14:paraId="6F88759E"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2921,53</w:t>
            </w:r>
          </w:p>
        </w:tc>
        <w:tc>
          <w:tcPr>
            <w:tcW w:w="851" w:type="dxa"/>
            <w:tcBorders>
              <w:top w:val="nil"/>
              <w:left w:val="nil"/>
              <w:bottom w:val="nil"/>
              <w:right w:val="single" w:sz="4" w:space="0" w:color="auto"/>
            </w:tcBorders>
            <w:shd w:val="clear" w:color="000000" w:fill="FFFFFF"/>
            <w:hideMark/>
          </w:tcPr>
          <w:p w14:paraId="61152C80"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5926,97</w:t>
            </w:r>
          </w:p>
        </w:tc>
        <w:tc>
          <w:tcPr>
            <w:tcW w:w="850" w:type="dxa"/>
            <w:tcBorders>
              <w:top w:val="nil"/>
              <w:left w:val="nil"/>
              <w:bottom w:val="nil"/>
              <w:right w:val="single" w:sz="4" w:space="0" w:color="auto"/>
            </w:tcBorders>
            <w:shd w:val="clear" w:color="000000" w:fill="FFFFFF"/>
          </w:tcPr>
          <w:p w14:paraId="04591F51"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p>
        </w:tc>
        <w:tc>
          <w:tcPr>
            <w:tcW w:w="709" w:type="dxa"/>
            <w:tcBorders>
              <w:top w:val="nil"/>
              <w:left w:val="nil"/>
              <w:bottom w:val="nil"/>
              <w:right w:val="single" w:sz="4" w:space="0" w:color="auto"/>
            </w:tcBorders>
            <w:shd w:val="clear" w:color="000000" w:fill="FFFFFF"/>
          </w:tcPr>
          <w:p w14:paraId="6A1320B8"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p>
        </w:tc>
        <w:tc>
          <w:tcPr>
            <w:tcW w:w="845" w:type="dxa"/>
            <w:tcBorders>
              <w:top w:val="nil"/>
              <w:left w:val="nil"/>
              <w:bottom w:val="nil"/>
              <w:right w:val="single" w:sz="4" w:space="0" w:color="auto"/>
            </w:tcBorders>
            <w:shd w:val="clear" w:color="000000" w:fill="FFFFFF"/>
          </w:tcPr>
          <w:p w14:paraId="7ADB18D1"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p>
        </w:tc>
        <w:tc>
          <w:tcPr>
            <w:tcW w:w="709" w:type="dxa"/>
            <w:tcBorders>
              <w:top w:val="nil"/>
              <w:left w:val="nil"/>
              <w:bottom w:val="nil"/>
              <w:right w:val="single" w:sz="4" w:space="0" w:color="auto"/>
            </w:tcBorders>
            <w:shd w:val="clear" w:color="000000" w:fill="FFFFFF"/>
          </w:tcPr>
          <w:p w14:paraId="4254124C" w14:textId="77777777" w:rsidR="00827437" w:rsidRPr="00522104" w:rsidRDefault="00827437" w:rsidP="00F43273">
            <w:pPr>
              <w:spacing w:before="40" w:after="40" w:line="240" w:lineRule="auto"/>
              <w:jc w:val="right"/>
              <w:rPr>
                <w:rFonts w:ascii="Times New Roman" w:eastAsia="Times New Roman" w:hAnsi="Times New Roman" w:cs="Times New Roman"/>
                <w:bCs/>
                <w:sz w:val="16"/>
                <w:szCs w:val="16"/>
                <w:lang w:eastAsia="ru-RU"/>
              </w:rPr>
            </w:pPr>
          </w:p>
        </w:tc>
      </w:tr>
      <w:tr w:rsidR="00B6135D" w:rsidRPr="00522104" w14:paraId="657A778F" w14:textId="77777777" w:rsidTr="00F042AC">
        <w:trPr>
          <w:trHeight w:val="20"/>
        </w:trPr>
        <w:tc>
          <w:tcPr>
            <w:tcW w:w="2274" w:type="dxa"/>
            <w:tcBorders>
              <w:top w:val="single" w:sz="4" w:space="0" w:color="auto"/>
              <w:left w:val="single" w:sz="4" w:space="0" w:color="auto"/>
              <w:bottom w:val="single" w:sz="4" w:space="0" w:color="auto"/>
              <w:right w:val="single" w:sz="4" w:space="0" w:color="auto"/>
            </w:tcBorders>
            <w:shd w:val="clear" w:color="000000" w:fill="FFFFFF"/>
            <w:hideMark/>
          </w:tcPr>
          <w:p w14:paraId="1CE4F3DE" w14:textId="77777777" w:rsidR="00827437" w:rsidRPr="00522104" w:rsidRDefault="00827437" w:rsidP="00F43273">
            <w:pPr>
              <w:spacing w:before="40" w:after="40" w:line="240" w:lineRule="auto"/>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Всего расходов без учета условно-утвержденных расходов</w:t>
            </w:r>
          </w:p>
        </w:tc>
        <w:tc>
          <w:tcPr>
            <w:tcW w:w="850" w:type="dxa"/>
            <w:tcBorders>
              <w:top w:val="single" w:sz="4" w:space="0" w:color="auto"/>
              <w:left w:val="nil"/>
              <w:bottom w:val="single" w:sz="4" w:space="0" w:color="auto"/>
              <w:right w:val="single" w:sz="4" w:space="0" w:color="auto"/>
            </w:tcBorders>
            <w:shd w:val="clear" w:color="000000" w:fill="FFFFFF"/>
            <w:hideMark/>
          </w:tcPr>
          <w:p w14:paraId="166C5C59"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851" w:type="dxa"/>
            <w:tcBorders>
              <w:top w:val="single" w:sz="4" w:space="0" w:color="auto"/>
              <w:left w:val="nil"/>
              <w:bottom w:val="single" w:sz="4" w:space="0" w:color="auto"/>
              <w:right w:val="single" w:sz="4" w:space="0" w:color="auto"/>
            </w:tcBorders>
            <w:shd w:val="clear" w:color="000000" w:fill="FFFFFF"/>
            <w:hideMark/>
          </w:tcPr>
          <w:p w14:paraId="561F8DDC"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134523,27</w:t>
            </w:r>
          </w:p>
        </w:tc>
        <w:tc>
          <w:tcPr>
            <w:tcW w:w="992" w:type="dxa"/>
            <w:tcBorders>
              <w:top w:val="single" w:sz="4" w:space="0" w:color="auto"/>
              <w:left w:val="nil"/>
              <w:bottom w:val="single" w:sz="4" w:space="0" w:color="auto"/>
              <w:right w:val="single" w:sz="4" w:space="0" w:color="auto"/>
            </w:tcBorders>
            <w:shd w:val="clear" w:color="000000" w:fill="FFFFFF"/>
            <w:hideMark/>
          </w:tcPr>
          <w:p w14:paraId="13920E5C"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159581,61</w:t>
            </w:r>
          </w:p>
        </w:tc>
        <w:tc>
          <w:tcPr>
            <w:tcW w:w="709" w:type="dxa"/>
            <w:tcBorders>
              <w:top w:val="nil"/>
              <w:left w:val="nil"/>
              <w:bottom w:val="single" w:sz="4" w:space="0" w:color="auto"/>
              <w:right w:val="single" w:sz="4" w:space="0" w:color="auto"/>
            </w:tcBorders>
            <w:shd w:val="clear" w:color="auto" w:fill="auto"/>
            <w:noWrap/>
            <w:hideMark/>
          </w:tcPr>
          <w:p w14:paraId="653DA64D" w14:textId="77777777" w:rsidR="00827437" w:rsidRPr="00F042AC" w:rsidRDefault="00827437" w:rsidP="00F43273">
            <w:pPr>
              <w:spacing w:before="40" w:after="40" w:line="240" w:lineRule="auto"/>
              <w:jc w:val="right"/>
              <w:rPr>
                <w:rFonts w:ascii="Times New Roman" w:eastAsia="Times New Roman" w:hAnsi="Times New Roman" w:cs="Times New Roman"/>
                <w:b/>
                <w:sz w:val="16"/>
                <w:szCs w:val="16"/>
                <w:lang w:eastAsia="ru-RU"/>
              </w:rPr>
            </w:pPr>
            <w:r w:rsidRPr="00F042AC">
              <w:rPr>
                <w:rFonts w:ascii="Times New Roman" w:eastAsia="Times New Roman" w:hAnsi="Times New Roman" w:cs="Times New Roman"/>
                <w:b/>
                <w:sz w:val="16"/>
                <w:szCs w:val="16"/>
                <w:lang w:eastAsia="ru-RU"/>
              </w:rPr>
              <w:t>100,00</w:t>
            </w:r>
          </w:p>
        </w:tc>
        <w:tc>
          <w:tcPr>
            <w:tcW w:w="850" w:type="dxa"/>
            <w:tcBorders>
              <w:top w:val="single" w:sz="4" w:space="0" w:color="auto"/>
              <w:left w:val="nil"/>
              <w:bottom w:val="single" w:sz="4" w:space="0" w:color="auto"/>
              <w:right w:val="single" w:sz="4" w:space="0" w:color="auto"/>
            </w:tcBorders>
            <w:shd w:val="clear" w:color="000000" w:fill="FFFFFF"/>
            <w:hideMark/>
          </w:tcPr>
          <w:p w14:paraId="0921D1BC" w14:textId="77777777" w:rsidR="00827437" w:rsidRPr="00F042AC"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F042AC">
              <w:rPr>
                <w:rFonts w:ascii="Times New Roman" w:eastAsia="Times New Roman" w:hAnsi="Times New Roman" w:cs="Times New Roman"/>
                <w:b/>
                <w:bCs/>
                <w:sz w:val="16"/>
                <w:szCs w:val="16"/>
                <w:lang w:eastAsia="ru-RU"/>
              </w:rPr>
              <w:t>145302,99</w:t>
            </w:r>
          </w:p>
        </w:tc>
        <w:tc>
          <w:tcPr>
            <w:tcW w:w="851" w:type="dxa"/>
            <w:tcBorders>
              <w:top w:val="single" w:sz="4" w:space="0" w:color="auto"/>
              <w:left w:val="nil"/>
              <w:bottom w:val="single" w:sz="4" w:space="0" w:color="auto"/>
              <w:right w:val="single" w:sz="4" w:space="0" w:color="auto"/>
            </w:tcBorders>
            <w:shd w:val="clear" w:color="000000" w:fill="FFFFFF"/>
            <w:hideMark/>
          </w:tcPr>
          <w:p w14:paraId="7177D324" w14:textId="77777777" w:rsidR="00827437" w:rsidRPr="00F042AC"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F042AC">
              <w:rPr>
                <w:rFonts w:ascii="Times New Roman" w:eastAsia="Times New Roman" w:hAnsi="Times New Roman" w:cs="Times New Roman"/>
                <w:b/>
                <w:bCs/>
                <w:sz w:val="16"/>
                <w:szCs w:val="16"/>
                <w:lang w:eastAsia="ru-RU"/>
              </w:rPr>
              <w:t>145074,72</w:t>
            </w:r>
          </w:p>
        </w:tc>
        <w:tc>
          <w:tcPr>
            <w:tcW w:w="850" w:type="dxa"/>
            <w:tcBorders>
              <w:top w:val="single" w:sz="4" w:space="0" w:color="auto"/>
              <w:left w:val="nil"/>
              <w:bottom w:val="single" w:sz="4" w:space="0" w:color="auto"/>
              <w:right w:val="single" w:sz="4" w:space="0" w:color="auto"/>
            </w:tcBorders>
            <w:shd w:val="clear" w:color="000000" w:fill="FFFFFF"/>
            <w:hideMark/>
          </w:tcPr>
          <w:p w14:paraId="1CEBEE9C" w14:textId="77777777" w:rsidR="00827437" w:rsidRPr="00F042AC"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F042AC">
              <w:rPr>
                <w:rFonts w:ascii="Times New Roman" w:eastAsia="Times New Roman" w:hAnsi="Times New Roman" w:cs="Times New Roman"/>
                <w:b/>
                <w:bCs/>
                <w:sz w:val="16"/>
                <w:szCs w:val="16"/>
                <w:lang w:eastAsia="ru-RU"/>
              </w:rPr>
              <w:t>25058,33</w:t>
            </w:r>
          </w:p>
        </w:tc>
        <w:tc>
          <w:tcPr>
            <w:tcW w:w="709" w:type="dxa"/>
            <w:tcBorders>
              <w:top w:val="single" w:sz="4" w:space="0" w:color="auto"/>
              <w:left w:val="nil"/>
              <w:bottom w:val="single" w:sz="4" w:space="0" w:color="auto"/>
              <w:right w:val="single" w:sz="4" w:space="0" w:color="auto"/>
            </w:tcBorders>
            <w:shd w:val="clear" w:color="000000" w:fill="FFFFFF"/>
            <w:hideMark/>
          </w:tcPr>
          <w:p w14:paraId="222DAB1E"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845" w:type="dxa"/>
            <w:tcBorders>
              <w:top w:val="single" w:sz="4" w:space="0" w:color="auto"/>
              <w:left w:val="nil"/>
              <w:bottom w:val="single" w:sz="4" w:space="0" w:color="auto"/>
              <w:right w:val="single" w:sz="4" w:space="0" w:color="auto"/>
            </w:tcBorders>
            <w:shd w:val="clear" w:color="000000" w:fill="FFFFFF"/>
            <w:hideMark/>
          </w:tcPr>
          <w:p w14:paraId="4D0A6C93"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hideMark/>
          </w:tcPr>
          <w:p w14:paraId="23F4129B"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 </w:t>
            </w:r>
          </w:p>
        </w:tc>
      </w:tr>
      <w:tr w:rsidR="00B6135D" w:rsidRPr="00522104" w14:paraId="7208106C" w14:textId="77777777" w:rsidTr="00F042AC">
        <w:trPr>
          <w:trHeight w:val="20"/>
        </w:trPr>
        <w:tc>
          <w:tcPr>
            <w:tcW w:w="2274" w:type="dxa"/>
            <w:tcBorders>
              <w:top w:val="nil"/>
              <w:left w:val="single" w:sz="4" w:space="0" w:color="auto"/>
              <w:bottom w:val="single" w:sz="4" w:space="0" w:color="auto"/>
              <w:right w:val="single" w:sz="4" w:space="0" w:color="auto"/>
            </w:tcBorders>
            <w:shd w:val="clear" w:color="000000" w:fill="FFFFFF"/>
            <w:noWrap/>
            <w:hideMark/>
          </w:tcPr>
          <w:p w14:paraId="26498C15" w14:textId="77777777" w:rsidR="00827437" w:rsidRPr="00522104" w:rsidRDefault="00827437" w:rsidP="00F43273">
            <w:pPr>
              <w:spacing w:before="40" w:after="40" w:line="240" w:lineRule="auto"/>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Всего расходов краевого бюджета</w:t>
            </w:r>
          </w:p>
        </w:tc>
        <w:tc>
          <w:tcPr>
            <w:tcW w:w="850" w:type="dxa"/>
            <w:tcBorders>
              <w:top w:val="nil"/>
              <w:left w:val="nil"/>
              <w:bottom w:val="single" w:sz="4" w:space="0" w:color="auto"/>
              <w:right w:val="single" w:sz="4" w:space="0" w:color="auto"/>
            </w:tcBorders>
            <w:shd w:val="clear" w:color="000000" w:fill="FFFFFF"/>
            <w:noWrap/>
            <w:hideMark/>
          </w:tcPr>
          <w:p w14:paraId="6E8FC104" w14:textId="77777777" w:rsidR="00827437" w:rsidRPr="00522104" w:rsidRDefault="00827437" w:rsidP="00F43273">
            <w:pPr>
              <w:spacing w:before="40" w:after="40" w:line="240" w:lineRule="auto"/>
              <w:ind w:left="-108" w:right="-108"/>
              <w:jc w:val="center"/>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166307,38</w:t>
            </w:r>
          </w:p>
        </w:tc>
        <w:tc>
          <w:tcPr>
            <w:tcW w:w="851" w:type="dxa"/>
            <w:tcBorders>
              <w:top w:val="nil"/>
              <w:left w:val="nil"/>
              <w:bottom w:val="single" w:sz="4" w:space="0" w:color="auto"/>
              <w:right w:val="single" w:sz="4" w:space="0" w:color="auto"/>
            </w:tcBorders>
            <w:shd w:val="clear" w:color="000000" w:fill="FFFFFF"/>
            <w:noWrap/>
            <w:hideMark/>
          </w:tcPr>
          <w:p w14:paraId="1BECA9EC"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137 259,47</w:t>
            </w:r>
          </w:p>
        </w:tc>
        <w:tc>
          <w:tcPr>
            <w:tcW w:w="992" w:type="dxa"/>
            <w:tcBorders>
              <w:top w:val="nil"/>
              <w:left w:val="nil"/>
              <w:bottom w:val="single" w:sz="4" w:space="0" w:color="auto"/>
              <w:right w:val="single" w:sz="4" w:space="0" w:color="auto"/>
            </w:tcBorders>
            <w:shd w:val="clear" w:color="000000" w:fill="FFFFFF"/>
            <w:noWrap/>
            <w:hideMark/>
          </w:tcPr>
          <w:p w14:paraId="613F72C3"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159 581,61</w:t>
            </w:r>
          </w:p>
        </w:tc>
        <w:tc>
          <w:tcPr>
            <w:tcW w:w="709" w:type="dxa"/>
            <w:tcBorders>
              <w:top w:val="nil"/>
              <w:left w:val="nil"/>
              <w:bottom w:val="single" w:sz="4" w:space="0" w:color="auto"/>
              <w:right w:val="single" w:sz="4" w:space="0" w:color="auto"/>
            </w:tcBorders>
            <w:shd w:val="clear" w:color="auto" w:fill="auto"/>
            <w:noWrap/>
            <w:hideMark/>
          </w:tcPr>
          <w:p w14:paraId="5A228D3D" w14:textId="77777777" w:rsidR="00827437" w:rsidRPr="00F042AC" w:rsidRDefault="00827437" w:rsidP="00F43273">
            <w:pPr>
              <w:spacing w:before="40" w:after="40" w:line="240" w:lineRule="auto"/>
              <w:jc w:val="right"/>
              <w:rPr>
                <w:rFonts w:ascii="Times New Roman" w:eastAsia="Times New Roman" w:hAnsi="Times New Roman" w:cs="Times New Roman"/>
                <w:b/>
                <w:sz w:val="16"/>
                <w:szCs w:val="16"/>
                <w:lang w:eastAsia="ru-RU"/>
              </w:rPr>
            </w:pPr>
            <w:r w:rsidRPr="00F042AC">
              <w:rPr>
                <w:rFonts w:ascii="Times New Roman" w:eastAsia="Times New Roman" w:hAnsi="Times New Roman" w:cs="Times New Roman"/>
                <w:b/>
                <w:sz w:val="16"/>
                <w:szCs w:val="16"/>
                <w:lang w:eastAsia="ru-RU"/>
              </w:rPr>
              <w:t>100,00</w:t>
            </w:r>
          </w:p>
        </w:tc>
        <w:tc>
          <w:tcPr>
            <w:tcW w:w="850" w:type="dxa"/>
            <w:tcBorders>
              <w:top w:val="nil"/>
              <w:left w:val="nil"/>
              <w:bottom w:val="single" w:sz="4" w:space="0" w:color="auto"/>
              <w:right w:val="single" w:sz="4" w:space="0" w:color="auto"/>
            </w:tcBorders>
            <w:shd w:val="clear" w:color="000000" w:fill="FFFFFF"/>
            <w:noWrap/>
            <w:hideMark/>
          </w:tcPr>
          <w:p w14:paraId="7A91344C"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148 224,52</w:t>
            </w:r>
          </w:p>
        </w:tc>
        <w:tc>
          <w:tcPr>
            <w:tcW w:w="851" w:type="dxa"/>
            <w:tcBorders>
              <w:top w:val="nil"/>
              <w:left w:val="nil"/>
              <w:bottom w:val="single" w:sz="4" w:space="0" w:color="auto"/>
              <w:right w:val="single" w:sz="4" w:space="0" w:color="auto"/>
            </w:tcBorders>
            <w:shd w:val="clear" w:color="000000" w:fill="FFFFFF"/>
            <w:noWrap/>
            <w:hideMark/>
          </w:tcPr>
          <w:p w14:paraId="2F905154"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151 001,69</w:t>
            </w:r>
          </w:p>
        </w:tc>
        <w:tc>
          <w:tcPr>
            <w:tcW w:w="850" w:type="dxa"/>
            <w:tcBorders>
              <w:top w:val="nil"/>
              <w:left w:val="nil"/>
              <w:bottom w:val="single" w:sz="4" w:space="0" w:color="auto"/>
              <w:right w:val="single" w:sz="4" w:space="0" w:color="auto"/>
            </w:tcBorders>
            <w:shd w:val="clear" w:color="000000" w:fill="FFFFFF"/>
            <w:noWrap/>
            <w:hideMark/>
          </w:tcPr>
          <w:p w14:paraId="4E8CD7F6" w14:textId="77777777" w:rsidR="00827437" w:rsidRPr="00522104" w:rsidRDefault="00827437" w:rsidP="00F43273">
            <w:pPr>
              <w:spacing w:before="40" w:after="40" w:line="240" w:lineRule="auto"/>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22 322,14</w:t>
            </w:r>
          </w:p>
        </w:tc>
        <w:tc>
          <w:tcPr>
            <w:tcW w:w="709" w:type="dxa"/>
            <w:tcBorders>
              <w:top w:val="nil"/>
              <w:left w:val="nil"/>
              <w:bottom w:val="single" w:sz="4" w:space="0" w:color="auto"/>
              <w:right w:val="single" w:sz="4" w:space="0" w:color="auto"/>
            </w:tcBorders>
            <w:shd w:val="clear" w:color="000000" w:fill="FFFFFF"/>
            <w:noWrap/>
            <w:hideMark/>
          </w:tcPr>
          <w:p w14:paraId="0C45C70C"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116,26</w:t>
            </w:r>
          </w:p>
        </w:tc>
        <w:tc>
          <w:tcPr>
            <w:tcW w:w="845" w:type="dxa"/>
            <w:tcBorders>
              <w:top w:val="nil"/>
              <w:left w:val="nil"/>
              <w:bottom w:val="single" w:sz="4" w:space="0" w:color="auto"/>
              <w:right w:val="single" w:sz="4" w:space="0" w:color="auto"/>
            </w:tcBorders>
            <w:shd w:val="clear" w:color="000000" w:fill="FFFFFF"/>
            <w:noWrap/>
            <w:hideMark/>
          </w:tcPr>
          <w:p w14:paraId="6BF1C031"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-6 725,77</w:t>
            </w:r>
          </w:p>
        </w:tc>
        <w:tc>
          <w:tcPr>
            <w:tcW w:w="709" w:type="dxa"/>
            <w:tcBorders>
              <w:top w:val="nil"/>
              <w:left w:val="nil"/>
              <w:bottom w:val="single" w:sz="4" w:space="0" w:color="auto"/>
              <w:right w:val="single" w:sz="4" w:space="0" w:color="auto"/>
            </w:tcBorders>
            <w:shd w:val="clear" w:color="000000" w:fill="FFFFFF"/>
            <w:noWrap/>
            <w:hideMark/>
          </w:tcPr>
          <w:p w14:paraId="346717C8" w14:textId="77777777" w:rsidR="00827437" w:rsidRPr="00522104" w:rsidRDefault="00827437" w:rsidP="00F43273">
            <w:pPr>
              <w:spacing w:before="40" w:after="40" w:line="240" w:lineRule="auto"/>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95,96</w:t>
            </w:r>
          </w:p>
        </w:tc>
      </w:tr>
    </w:tbl>
    <w:p w14:paraId="3A6AE4F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p>
    <w:p w14:paraId="31DF8B2A"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Планируемые на 2022 год расходы на реализацию ГП (156201,03 млн рублей) по сравнению с утвержденными назначениями:</w:t>
      </w:r>
    </w:p>
    <w:p w14:paraId="67EA8825" w14:textId="1C5DB7FB"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2022 год (131151,31 млн рублей) </w:t>
      </w:r>
      <w:r w:rsidR="00B372B3"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увеличены на 25049,72 млн рублей. </w:t>
      </w:r>
    </w:p>
    <w:p w14:paraId="2B75F4FE"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2021 год (161977,80 млн рублей) – снижены на 5776,78 млн рублей (в основном связано с сокращением межбюджетных трансфертов субъектам Российской Федерации из федерального бюджета).</w:t>
      </w:r>
    </w:p>
    <w:p w14:paraId="472DC426" w14:textId="77777777" w:rsidR="007F6271" w:rsidRDefault="007F6271" w:rsidP="007F6271">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диаграмме представлено сравнение расходов краевого бюджета в разрезе государственных программ Приморского края, представленных в законопроекте на 2022 год с утвержденными назначениями на 2021 год. </w:t>
      </w:r>
    </w:p>
    <w:p w14:paraId="7A48B143" w14:textId="77777777" w:rsidR="008F2116" w:rsidRDefault="008F2116" w:rsidP="007F6271">
      <w:pPr>
        <w:spacing w:after="0" w:line="240" w:lineRule="auto"/>
        <w:ind w:firstLine="709"/>
        <w:jc w:val="both"/>
        <w:rPr>
          <w:rFonts w:ascii="Times New Roman" w:eastAsia="Times New Roman" w:hAnsi="Times New Roman" w:cs="Times New Roman"/>
          <w:sz w:val="28"/>
          <w:szCs w:val="28"/>
          <w:lang w:eastAsia="ru-RU"/>
        </w:rPr>
      </w:pPr>
    </w:p>
    <w:p w14:paraId="51C55119" w14:textId="77777777" w:rsidR="008F2116" w:rsidRPr="00522104" w:rsidRDefault="008F2116" w:rsidP="007F6271">
      <w:pPr>
        <w:spacing w:after="0" w:line="240" w:lineRule="auto"/>
        <w:ind w:firstLine="709"/>
        <w:jc w:val="both"/>
        <w:rPr>
          <w:rFonts w:ascii="Times New Roman" w:eastAsia="Times New Roman" w:hAnsi="Times New Roman" w:cs="Times New Roman"/>
          <w:sz w:val="28"/>
          <w:szCs w:val="28"/>
          <w:lang w:eastAsia="ru-RU"/>
        </w:rPr>
      </w:pPr>
    </w:p>
    <w:p w14:paraId="41CACDCE" w14:textId="7AC87B67" w:rsidR="007F6271" w:rsidRDefault="007F6271" w:rsidP="00F43273">
      <w:pPr>
        <w:spacing w:after="0" w:line="240" w:lineRule="auto"/>
        <w:jc w:val="both"/>
        <w:rPr>
          <w:rFonts w:ascii="Times New Roman" w:eastAsia="Times New Roman" w:hAnsi="Times New Roman" w:cs="Times New Roman"/>
          <w:sz w:val="28"/>
          <w:szCs w:val="28"/>
          <w:lang w:eastAsia="ru-RU"/>
        </w:rPr>
      </w:pPr>
      <w:r w:rsidRPr="00522104">
        <w:rPr>
          <w:rFonts w:ascii="Times New Roman" w:hAnsi="Times New Roman" w:cs="Times New Roman"/>
          <w:noProof/>
          <w:sz w:val="18"/>
          <w:szCs w:val="18"/>
          <w:lang w:eastAsia="ru-RU"/>
        </w:rPr>
        <w:drawing>
          <wp:inline distT="0" distB="0" distL="0" distR="0" wp14:anchorId="78332AFB" wp14:editId="452C90DD">
            <wp:extent cx="5939790" cy="7668768"/>
            <wp:effectExtent l="0" t="0" r="3810" b="889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C46362C" w14:textId="77777777" w:rsidR="007F6271" w:rsidRDefault="007F6271" w:rsidP="00827437">
      <w:pPr>
        <w:spacing w:after="0" w:line="240" w:lineRule="auto"/>
        <w:ind w:firstLine="709"/>
        <w:jc w:val="both"/>
        <w:rPr>
          <w:rFonts w:ascii="Times New Roman" w:eastAsia="Times New Roman" w:hAnsi="Times New Roman" w:cs="Times New Roman"/>
          <w:sz w:val="28"/>
          <w:szCs w:val="28"/>
          <w:lang w:eastAsia="ru-RU"/>
        </w:rPr>
      </w:pPr>
    </w:p>
    <w:p w14:paraId="67449049" w14:textId="6E56C27A"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 18 из 20 ГП планируется увеличение расходов по отношению с утвержденным</w:t>
      </w:r>
      <w:r w:rsidR="00997D83" w:rsidRPr="00522104">
        <w:rPr>
          <w:rFonts w:ascii="Times New Roman" w:eastAsia="Times New Roman" w:hAnsi="Times New Roman" w:cs="Times New Roman"/>
          <w:sz w:val="28"/>
          <w:szCs w:val="28"/>
          <w:lang w:eastAsia="ru-RU"/>
        </w:rPr>
        <w:t>и</w:t>
      </w:r>
      <w:r w:rsidRPr="00522104">
        <w:rPr>
          <w:rFonts w:ascii="Times New Roman" w:eastAsia="Times New Roman" w:hAnsi="Times New Roman" w:cs="Times New Roman"/>
          <w:sz w:val="28"/>
          <w:szCs w:val="28"/>
          <w:lang w:eastAsia="ru-RU"/>
        </w:rPr>
        <w:t xml:space="preserve"> назначениям</w:t>
      </w:r>
      <w:r w:rsidR="00997D83" w:rsidRPr="00522104">
        <w:rPr>
          <w:rFonts w:ascii="Times New Roman" w:eastAsia="Times New Roman" w:hAnsi="Times New Roman" w:cs="Times New Roman"/>
          <w:sz w:val="28"/>
          <w:szCs w:val="28"/>
          <w:lang w:eastAsia="ru-RU"/>
        </w:rPr>
        <w:t>и</w:t>
      </w:r>
      <w:r w:rsidRPr="00522104">
        <w:rPr>
          <w:rFonts w:ascii="Times New Roman" w:eastAsia="Times New Roman" w:hAnsi="Times New Roman" w:cs="Times New Roman"/>
          <w:sz w:val="28"/>
          <w:szCs w:val="28"/>
          <w:lang w:eastAsia="ru-RU"/>
        </w:rPr>
        <w:t>, из которых наибольшее увеличение расходов в 2022 году ожидается по следующим программам.</w:t>
      </w:r>
    </w:p>
    <w:p w14:paraId="4C601C7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ГП "Обеспечение доступным жильем и качественными услугами жилищно-коммунального хозяйства населения Приморского края" – на 5416,26 млн рублей, или на 43,15 % (утверждено на 2022 год – 12552,53 млн рублей, в законопроекте – 17968,79 млн рублей). Основной причиной увеличения является </w:t>
      </w:r>
      <w:r w:rsidRPr="00522104">
        <w:rPr>
          <w:rFonts w:ascii="Times New Roman" w:eastAsia="Calibri" w:hAnsi="Times New Roman" w:cs="Times New Roman"/>
          <w:sz w:val="28"/>
          <w:szCs w:val="28"/>
        </w:rPr>
        <w:t>включение расходов</w:t>
      </w:r>
      <w:r w:rsidRPr="00522104">
        <w:rPr>
          <w:rFonts w:ascii="Times New Roman" w:hAnsi="Times New Roman" w:cs="Times New Roman"/>
          <w:sz w:val="28"/>
          <w:szCs w:val="28"/>
        </w:rPr>
        <w:t xml:space="preserve"> на п</w:t>
      </w:r>
      <w:r w:rsidRPr="00522104">
        <w:rPr>
          <w:rFonts w:ascii="Times New Roman" w:eastAsia="Calibri" w:hAnsi="Times New Roman" w:cs="Times New Roman"/>
          <w:sz w:val="28"/>
          <w:szCs w:val="28"/>
        </w:rPr>
        <w:t xml:space="preserve">редоставление бюджетных инвестиций акционерному обществу "Корпорация развития жилищного строительства" для формирования рынка доступного жилья в сумме 3000,00 млн рублей; </w:t>
      </w:r>
      <w:r w:rsidRPr="00522104">
        <w:rPr>
          <w:rFonts w:ascii="Times New Roman" w:hAnsi="Times New Roman" w:cs="Times New Roman"/>
          <w:sz w:val="28"/>
          <w:szCs w:val="28"/>
        </w:rPr>
        <w:t xml:space="preserve">увеличение финансовой поддержки теплоснабжающим организациям на финансовое обеспечение затрат, связанных с приобретением топлива на общую сумму 2471,23 млн рублей; </w:t>
      </w:r>
    </w:p>
    <w:p w14:paraId="1E30897A" w14:textId="5267E0DD"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ГП "Экономическое развитие и инновационная экономика Приморского края" – на 3411,16 млн рублей, или на 79,41 % (с 4295,38 млн рублей до 7706,54 млн рублей)</w:t>
      </w:r>
      <w:r w:rsidR="00B372B3"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w:t>
      </w:r>
      <w:r w:rsidRPr="00522104">
        <w:rPr>
          <w:rFonts w:ascii="Times New Roman" w:hAnsi="Times New Roman" w:cs="Times New Roman"/>
          <w:sz w:val="28"/>
          <w:szCs w:val="28"/>
        </w:rPr>
        <w:t>в связи с увеличением объема дотаций  на поддержку мер по обеспечению сбалансированности бюджетов муниципальных образований,  на выравнивание бюджетной обеспеченности муниципальных районов (муниципальных округов, городских округов), а также в связи с дополнительной финансовой поддержкой местных бюджетов: в целях  поощрения муниципальных округов в связи их образованием, для финансового обеспечения осуществления городом Владивостоком функций административного центра Приморского края, в целях поощрения достижения наилучших показателей социально-экономического развития муниципальных образований;</w:t>
      </w:r>
    </w:p>
    <w:p w14:paraId="3CE6703D" w14:textId="77777777" w:rsidR="002E19EA" w:rsidRPr="00522104" w:rsidRDefault="002E19EA" w:rsidP="002E19EA">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ГП "Развитие транспортного комплекса Приморского края" на 3386,77 млн рублей, или на 24,42 % (с 13867,22 млн рублей до 17253,99 млн рублей) в основном по расходам на р</w:t>
      </w:r>
      <w:r w:rsidRPr="00522104">
        <w:rPr>
          <w:rFonts w:ascii="Times New Roman" w:hAnsi="Times New Roman" w:cs="Times New Roman"/>
          <w:sz w:val="28"/>
          <w:szCs w:val="28"/>
        </w:rPr>
        <w:t xml:space="preserve">емонт автомобильных дорог регионального или межмуниципального значения на территории Приморского края – на 1626,04 млн рублей; капитальный ремонт и ремонт автомобильных дорог общего пользования населенных пунктов за счет дорожного фонда Приморского края – в сумме 1520,00 млн рублей;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 – на 53,40 млн рублей; проектирование, строительство (реконструкция) автомобильных дорог общего пользования населенных пунктов за счет дорожного фонда Приморского края – на 810,88 млн рублей; </w:t>
      </w:r>
    </w:p>
    <w:p w14:paraId="4ED26513" w14:textId="31223DA8" w:rsidR="00827437" w:rsidRPr="00522104" w:rsidRDefault="00827437" w:rsidP="00827437">
      <w:pPr>
        <w:spacing w:after="0" w:line="240" w:lineRule="auto"/>
        <w:ind w:firstLine="709"/>
        <w:jc w:val="both"/>
        <w:rPr>
          <w:rFonts w:ascii="Times New Roman" w:eastAsia="Times New Roman" w:hAnsi="Times New Roman" w:cs="Times New Roman"/>
          <w:color w:val="000000"/>
          <w:sz w:val="28"/>
          <w:szCs w:val="28"/>
          <w:lang w:eastAsia="ru-RU"/>
        </w:rPr>
      </w:pPr>
      <w:r w:rsidRPr="00522104">
        <w:rPr>
          <w:rFonts w:ascii="Times New Roman" w:eastAsia="Times New Roman" w:hAnsi="Times New Roman" w:cs="Times New Roman"/>
          <w:sz w:val="28"/>
          <w:szCs w:val="28"/>
          <w:lang w:eastAsia="ru-RU"/>
        </w:rPr>
        <w:t xml:space="preserve">ГП "Развитие образования Приморского края" – на 3146,95 млн рублей, или на 10,97 % (с 28682,61 млн рублей до 31829,56 млн рублей). </w:t>
      </w:r>
      <w:r w:rsidRPr="00522104">
        <w:rPr>
          <w:rFonts w:ascii="Times New Roman" w:eastAsia="Times New Roman" w:hAnsi="Times New Roman" w:cs="Times New Roman"/>
          <w:color w:val="000000"/>
          <w:sz w:val="28"/>
          <w:szCs w:val="28"/>
          <w:lang w:eastAsia="ru-RU"/>
        </w:rPr>
        <w:t>Для сохранения заработной платы педагогических работников на уровне средней по экономике края, на приобретение в школы и детские сады учебников, мебели, компьютерного оборудования, игрушек, различных средств обучения,  с учетом индексации у</w:t>
      </w:r>
      <w:r w:rsidRPr="00522104">
        <w:rPr>
          <w:rFonts w:ascii="Times New Roman" w:hAnsi="Times New Roman" w:cs="Times New Roman"/>
          <w:sz w:val="28"/>
          <w:szCs w:val="28"/>
        </w:rPr>
        <w:t>величены расходы на о</w:t>
      </w:r>
      <w:r w:rsidRPr="00522104">
        <w:rPr>
          <w:rFonts w:ascii="Times New Roman" w:eastAsia="Times New Roman" w:hAnsi="Times New Roman" w:cs="Times New Roman"/>
          <w:sz w:val="28"/>
          <w:szCs w:val="28"/>
          <w:lang w:eastAsia="ru-RU"/>
        </w:rPr>
        <w:t xml:space="preserve">беспечение государственных гарантий реализации прав на получение общедоступного и бесплатного образования в муниципальных образовательных организациях Приморского края – дошкольных на 417,22 млн рублей, общего образования – на 523,71 млн рублей; на субсидии из краевого бюджета частным дошкольным и общеобразовательным организациям на возмещение затрат, связанных с предоставлением образования – на </w:t>
      </w:r>
      <w:r w:rsidR="00697CAA" w:rsidRPr="00522104">
        <w:rPr>
          <w:rFonts w:ascii="Times New Roman" w:eastAsia="Times New Roman" w:hAnsi="Times New Roman" w:cs="Times New Roman"/>
          <w:sz w:val="28"/>
          <w:szCs w:val="28"/>
          <w:lang w:eastAsia="ru-RU"/>
        </w:rPr>
        <w:t>67,74</w:t>
      </w:r>
      <w:r w:rsidRPr="00522104">
        <w:rPr>
          <w:rFonts w:ascii="Times New Roman" w:eastAsia="Times New Roman" w:hAnsi="Times New Roman" w:cs="Times New Roman"/>
          <w:sz w:val="28"/>
          <w:szCs w:val="28"/>
          <w:lang w:eastAsia="ru-RU"/>
        </w:rPr>
        <w:t xml:space="preserve"> млн рублей; на </w:t>
      </w:r>
      <w:r w:rsidRPr="00522104">
        <w:rPr>
          <w:rFonts w:ascii="Times New Roman" w:hAnsi="Times New Roman" w:cs="Times New Roman"/>
          <w:color w:val="000000"/>
          <w:sz w:val="28"/>
          <w:szCs w:val="28"/>
          <w:lang w:eastAsia="x-none"/>
        </w:rPr>
        <w:t xml:space="preserve">выполнение государственного задания краевыми государственными учреждениями – на 230,43 млн рублей.  </w:t>
      </w:r>
      <w:r w:rsidRPr="00522104">
        <w:rPr>
          <w:rFonts w:ascii="Times New Roman" w:eastAsia="Times New Roman" w:hAnsi="Times New Roman" w:cs="Times New Roman"/>
          <w:color w:val="000000"/>
          <w:sz w:val="28"/>
          <w:szCs w:val="28"/>
          <w:lang w:eastAsia="ru-RU"/>
        </w:rPr>
        <w:t>Кроме того, в 2022 году увеличены бюджетные назначения на строительство, реконструкци</w:t>
      </w:r>
      <w:r w:rsidR="00B372B3" w:rsidRPr="00522104">
        <w:rPr>
          <w:rFonts w:ascii="Times New Roman" w:eastAsia="Times New Roman" w:hAnsi="Times New Roman" w:cs="Times New Roman"/>
          <w:color w:val="000000"/>
          <w:sz w:val="28"/>
          <w:szCs w:val="28"/>
          <w:lang w:eastAsia="ru-RU"/>
        </w:rPr>
        <w:t>ю</w:t>
      </w:r>
      <w:r w:rsidRPr="00522104">
        <w:rPr>
          <w:rFonts w:ascii="Times New Roman" w:eastAsia="Times New Roman" w:hAnsi="Times New Roman" w:cs="Times New Roman"/>
          <w:color w:val="000000"/>
          <w:sz w:val="28"/>
          <w:szCs w:val="28"/>
          <w:lang w:eastAsia="ru-RU"/>
        </w:rPr>
        <w:t xml:space="preserve"> и приобретение зданий муниципальных общеобразовательных организаций – на 235,76 млн рублей;</w:t>
      </w:r>
    </w:p>
    <w:p w14:paraId="787C6623"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ГП "Развитие здравоохранения Приморского края" – на 2808,78 млн рублей, или на 11,35 % (с 24753,36 млн рублей до 27562,14 млн рублей). </w:t>
      </w:r>
      <w:r w:rsidRPr="00522104">
        <w:rPr>
          <w:rFonts w:ascii="Times New Roman" w:eastAsia="Times New Roman" w:hAnsi="Times New Roman" w:cs="Times New Roman"/>
          <w:sz w:val="28"/>
          <w:szCs w:val="28"/>
        </w:rPr>
        <w:t>Основной объем увеличений (67,94 %) приходится по министерству здравоохранения Приморского края на субсидии краевым государственным бюджетным и автономным учреждениям на иные цели – 1408,74 млн рублей.</w:t>
      </w:r>
    </w:p>
    <w:p w14:paraId="57673D8E" w14:textId="116FC333"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Сокращение расходов в 2022 году к утвержденным назначениям имеется по двум программам:</w:t>
      </w:r>
    </w:p>
    <w:p w14:paraId="2EB15FB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ГП "Содействие занятости населения Приморского края" – на 90,82 млн рублей, или на 5,31 % (с 1711,86 млн рублей до 1621,04 млн рублей), </w:t>
      </w:r>
      <w:r w:rsidRPr="00522104">
        <w:rPr>
          <w:rFonts w:ascii="Times New Roman" w:hAnsi="Times New Roman" w:cs="Times New Roman"/>
          <w:sz w:val="28"/>
          <w:szCs w:val="28"/>
        </w:rPr>
        <w:t>в том числе за счет уменьшения ассигнований на активную политику занятости населения и социальную поддержку безработных граждан (за счет средств федерального бюджета) в сумме 91,49 млн рублей и расходов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 в сумме 1,58 млн рублей;</w:t>
      </w:r>
    </w:p>
    <w:p w14:paraId="65B1648A"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ГП "Формирование современной городской среды муниципальных образований Приморского края" – на 432,13 млн рублей, или на 24,75 % (с 1745,68 млн рублей до 1313,55 млн рублей), в основном за счет сокращения расходов на поддержку муниципальных программ по благоустройству территорий муниципальных образований</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в сумме 500,00 млн рублей</w:t>
      </w:r>
      <w:r w:rsidRPr="00522104">
        <w:rPr>
          <w:rFonts w:ascii="Times New Roman" w:hAnsi="Times New Roman" w:cs="Times New Roman"/>
          <w:sz w:val="28"/>
          <w:szCs w:val="28"/>
          <w:lang w:eastAsia="x-none"/>
        </w:rPr>
        <w:t xml:space="preserve"> с учетом прогнозируемой потребности </w:t>
      </w:r>
      <w:r w:rsidRPr="00522104">
        <w:rPr>
          <w:rFonts w:ascii="Times New Roman" w:eastAsia="Calibri" w:hAnsi="Times New Roman" w:cs="Times New Roman"/>
          <w:sz w:val="28"/>
          <w:szCs w:val="28"/>
        </w:rPr>
        <w:t>субсидий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r w:rsidRPr="00522104">
        <w:rPr>
          <w:rFonts w:ascii="Times New Roman" w:hAnsi="Times New Roman" w:cs="Times New Roman"/>
          <w:sz w:val="28"/>
          <w:szCs w:val="28"/>
          <w:lang w:eastAsia="zh-TW"/>
        </w:rPr>
        <w:t>.</w:t>
      </w:r>
    </w:p>
    <w:p w14:paraId="5EAE2158" w14:textId="0E125660" w:rsidR="00827437" w:rsidRPr="00522104" w:rsidRDefault="00334FD2"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В ходе экспертизы </w:t>
      </w:r>
      <w:r w:rsidR="00827437" w:rsidRPr="00522104">
        <w:rPr>
          <w:rFonts w:ascii="Times New Roman" w:eastAsia="Calibri" w:hAnsi="Times New Roman" w:cs="Times New Roman"/>
          <w:sz w:val="28"/>
          <w:szCs w:val="28"/>
        </w:rPr>
        <w:t xml:space="preserve">соответствия планируемых назначений на реализацию ГП на 2022 год и плановый период 2023-2024 годов, представленных в законопроекте, ресурсному обеспечению за счет средств краевого бюджета и прогнозной оценки привлекаемых средств из федерального бюджета в утвержденных соответствующими постановлениями Администрации Приморского края паспортах ГП (в действующих редакциях на период составления заключения) и представленных одновременно с законопроектом проектами изменений в указанные паспорта, установлено следующее: </w:t>
      </w:r>
    </w:p>
    <w:p w14:paraId="594208C1"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ресурсное обеспечение проектов изменений в паспорта соответствует законопроекту по 19 ГП. По одной программе (ГП "Развитие рыбохозяйственного комплекса в Приморском крае на 2020-2027 годы") в связи с отсутствием в проекте паспорта разбивки по годам прогнозной оценки привлекаемых средств из федерального бюджета сделать вывод о соответствии законопроекта не представляется возможным;</w:t>
      </w:r>
    </w:p>
    <w:p w14:paraId="5556C182"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ресурсное обеспечение, отраженное в паспортах ГП в действующей редакции, не соответствует проектам изменений в паспорта по всем 20 ГП.</w:t>
      </w:r>
    </w:p>
    <w:p w14:paraId="7C4A798E" w14:textId="5F7610EB"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Анализ соответствия ресурсного обеспечения ГП на текущий год и на 2022-2024 годы в паспортах ГП и законопроекте представлен в приложении </w:t>
      </w:r>
      <w:r w:rsidR="00FD0920" w:rsidRPr="00522104">
        <w:rPr>
          <w:rFonts w:ascii="Times New Roman" w:eastAsia="Calibri" w:hAnsi="Times New Roman" w:cs="Times New Roman"/>
          <w:sz w:val="28"/>
          <w:szCs w:val="28"/>
        </w:rPr>
        <w:t xml:space="preserve">6 </w:t>
      </w:r>
      <w:r w:rsidRPr="00522104">
        <w:rPr>
          <w:rFonts w:ascii="Times New Roman" w:eastAsia="Calibri" w:hAnsi="Times New Roman" w:cs="Times New Roman"/>
          <w:sz w:val="28"/>
          <w:szCs w:val="28"/>
        </w:rPr>
        <w:t>к заключению.</w:t>
      </w:r>
    </w:p>
    <w:p w14:paraId="50263AEA" w14:textId="17166655" w:rsidR="00827437" w:rsidRPr="00522104" w:rsidRDefault="00827437" w:rsidP="00827437">
      <w:pPr>
        <w:spacing w:after="0" w:line="240" w:lineRule="auto"/>
        <w:ind w:firstLine="709"/>
        <w:jc w:val="both"/>
        <w:rPr>
          <w:rFonts w:ascii="Times New Roman" w:eastAsia="Calibri" w:hAnsi="Times New Roman" w:cs="Times New Roman"/>
          <w:sz w:val="28"/>
          <w:szCs w:val="20"/>
        </w:rPr>
      </w:pPr>
      <w:r w:rsidRPr="00522104">
        <w:rPr>
          <w:rFonts w:ascii="Times New Roman" w:eastAsia="Calibri" w:hAnsi="Times New Roman" w:cs="Times New Roman"/>
          <w:sz w:val="28"/>
          <w:szCs w:val="20"/>
        </w:rPr>
        <w:t>В материалах к законопроекту имеется Перечень законодательных актов и иных нормативных правовых актов Приморского края, подлежащих признанию</w:t>
      </w:r>
      <w:r w:rsidR="00334FD2" w:rsidRPr="00522104">
        <w:rPr>
          <w:rFonts w:ascii="Times New Roman" w:eastAsia="Calibri" w:hAnsi="Times New Roman" w:cs="Times New Roman"/>
          <w:sz w:val="28"/>
          <w:szCs w:val="20"/>
        </w:rPr>
        <w:t>,</w:t>
      </w:r>
      <w:r w:rsidRPr="00522104">
        <w:rPr>
          <w:rFonts w:ascii="Times New Roman" w:eastAsia="Calibri" w:hAnsi="Times New Roman" w:cs="Times New Roman"/>
          <w:sz w:val="28"/>
          <w:szCs w:val="20"/>
        </w:rPr>
        <w:t xml:space="preserve"> утратившими силу, изменению, приостановлению или принятию в связи с принятием проекта закона Приморского края "О внесении изменений в Закон Приморского края "О краевом бюджете на 2022 год и плановый период 2023 и 2024 годов" (далее – Перечень), в котором указаны шесть утвержденных соответствующими постановлениями Администрации Приморского края государственных программ, требующих внесения соответствующих изменений: "Социальная поддержка населения Приморского края"</w:t>
      </w:r>
      <w:r w:rsidR="00A054D7" w:rsidRPr="00522104">
        <w:rPr>
          <w:rFonts w:ascii="Times New Roman" w:eastAsia="Calibri" w:hAnsi="Times New Roman" w:cs="Times New Roman"/>
          <w:sz w:val="28"/>
          <w:szCs w:val="20"/>
        </w:rPr>
        <w:t>,</w:t>
      </w:r>
      <w:r w:rsidRPr="00522104">
        <w:rPr>
          <w:rFonts w:ascii="Times New Roman" w:eastAsia="Calibri" w:hAnsi="Times New Roman" w:cs="Times New Roman"/>
          <w:sz w:val="28"/>
          <w:szCs w:val="20"/>
        </w:rPr>
        <w:t xml:space="preserve"> "Развитие физической культуры и спорта Приморского края"</w:t>
      </w:r>
      <w:r w:rsidR="00A054D7" w:rsidRPr="00522104">
        <w:rPr>
          <w:rFonts w:ascii="Times New Roman" w:eastAsia="Calibri" w:hAnsi="Times New Roman" w:cs="Times New Roman"/>
          <w:sz w:val="28"/>
          <w:szCs w:val="20"/>
        </w:rPr>
        <w:t>,</w:t>
      </w:r>
      <w:r w:rsidRPr="00522104">
        <w:rPr>
          <w:rFonts w:ascii="Times New Roman" w:eastAsia="Calibri" w:hAnsi="Times New Roman" w:cs="Times New Roman"/>
          <w:sz w:val="28"/>
          <w:szCs w:val="20"/>
        </w:rPr>
        <w:t xml:space="preserve">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r w:rsidR="00A054D7" w:rsidRPr="00522104">
        <w:rPr>
          <w:rFonts w:ascii="Times New Roman" w:eastAsia="Calibri" w:hAnsi="Times New Roman" w:cs="Times New Roman"/>
          <w:sz w:val="28"/>
          <w:szCs w:val="20"/>
        </w:rPr>
        <w:t>,</w:t>
      </w:r>
      <w:r w:rsidRPr="00522104">
        <w:rPr>
          <w:rFonts w:ascii="Times New Roman" w:eastAsia="Calibri" w:hAnsi="Times New Roman" w:cs="Times New Roman"/>
          <w:sz w:val="28"/>
          <w:szCs w:val="20"/>
        </w:rPr>
        <w:t xml:space="preserve"> "Развитие культуры Приморского края"</w:t>
      </w:r>
      <w:r w:rsidR="00A054D7" w:rsidRPr="00522104">
        <w:rPr>
          <w:rFonts w:ascii="Times New Roman" w:eastAsia="Calibri" w:hAnsi="Times New Roman" w:cs="Times New Roman"/>
          <w:sz w:val="28"/>
          <w:szCs w:val="20"/>
        </w:rPr>
        <w:t>,</w:t>
      </w:r>
      <w:r w:rsidRPr="00522104">
        <w:rPr>
          <w:rFonts w:ascii="Times New Roman" w:eastAsia="Calibri" w:hAnsi="Times New Roman" w:cs="Times New Roman"/>
          <w:sz w:val="28"/>
          <w:szCs w:val="20"/>
        </w:rPr>
        <w:t xml:space="preserve"> "Развитие здравоохранения Приморского края"</w:t>
      </w:r>
      <w:r w:rsidR="00A054D7" w:rsidRPr="00522104">
        <w:rPr>
          <w:rFonts w:ascii="Times New Roman" w:eastAsia="Calibri" w:hAnsi="Times New Roman" w:cs="Times New Roman"/>
          <w:sz w:val="28"/>
          <w:szCs w:val="20"/>
        </w:rPr>
        <w:t>,</w:t>
      </w:r>
      <w:r w:rsidRPr="00522104">
        <w:rPr>
          <w:rFonts w:ascii="Times New Roman" w:eastAsia="Calibri" w:hAnsi="Times New Roman" w:cs="Times New Roman"/>
          <w:sz w:val="28"/>
          <w:szCs w:val="20"/>
        </w:rPr>
        <w:t xml:space="preserve"> "Развитие образования Приморского края".</w:t>
      </w:r>
    </w:p>
    <w:p w14:paraId="65AF0670"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0"/>
        </w:rPr>
      </w:pPr>
      <w:r w:rsidRPr="00522104">
        <w:rPr>
          <w:rFonts w:ascii="Times New Roman" w:eastAsia="Calibri" w:hAnsi="Times New Roman" w:cs="Times New Roman"/>
          <w:sz w:val="28"/>
          <w:szCs w:val="20"/>
        </w:rPr>
        <w:t>Контрольно-счетная палата предлагает дополнить Перечень постановлениями Администрации Приморского края, утверждающими оставшиеся 14 государственных программ Приморского края.</w:t>
      </w:r>
    </w:p>
    <w:p w14:paraId="0696D1F4"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Анализ изменений по программным расходам с указанием причин изложен далее по тексту в разрезе отдельных государственных программ Приморского края, имеющих наибольшие объемы и множественные изменения в структуре по сравнению с утвержденными назначениями на 2022 год и предыдущим финансовым годом. </w:t>
      </w:r>
    </w:p>
    <w:p w14:paraId="63013A41" w14:textId="77777777" w:rsidR="00827437" w:rsidRPr="00522104" w:rsidRDefault="00827437" w:rsidP="00827437">
      <w:pPr>
        <w:spacing w:after="0" w:line="240" w:lineRule="auto"/>
        <w:ind w:firstLine="720"/>
        <w:rPr>
          <w:rFonts w:ascii="Times New Roman" w:eastAsia="Times New Roman" w:hAnsi="Times New Roman" w:cs="Times New Roman"/>
          <w:b/>
          <w:sz w:val="28"/>
          <w:szCs w:val="28"/>
          <w:lang w:eastAsia="ru-RU"/>
        </w:rPr>
      </w:pPr>
    </w:p>
    <w:p w14:paraId="4124CDCB"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15584" behindDoc="0" locked="0" layoutInCell="1" allowOverlap="1" wp14:anchorId="5E286340" wp14:editId="4E746923">
            <wp:simplePos x="0" y="0"/>
            <wp:positionH relativeFrom="column">
              <wp:posOffset>-39370</wp:posOffset>
            </wp:positionH>
            <wp:positionV relativeFrom="paragraph">
              <wp:posOffset>59055</wp:posOffset>
            </wp:positionV>
            <wp:extent cx="1439545" cy="1011555"/>
            <wp:effectExtent l="0" t="0" r="0" b="0"/>
            <wp:wrapSquare wrapText="bothSides"/>
            <wp:docPr id="76" name="Рисунок 76" descr="C:\Users\zavzyataya_sv\Desktop\Картинки\deputaty-obldumy-nazvali-ostrye-problemy-zdravookhraneniya-novgorodskoj-oblasti.jpg"/>
            <wp:cNvGraphicFramePr/>
            <a:graphic xmlns:a="http://schemas.openxmlformats.org/drawingml/2006/main">
              <a:graphicData uri="http://schemas.openxmlformats.org/drawingml/2006/picture">
                <pic:pic xmlns:pic="http://schemas.openxmlformats.org/drawingml/2006/picture">
                  <pic:nvPicPr>
                    <pic:cNvPr id="4" name="Рисунок 4" descr="C:\Users\zavzyataya_sv\Desktop\Картинки\deputaty-obldumy-nazvali-ostrye-problemy-zdravookhraneniya-novgorodskoj-oblasti.jpg"/>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39545" cy="1011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"Развитие здравоохранения Приморского края"</w:t>
      </w:r>
    </w:p>
    <w:p w14:paraId="3BF7BA17" w14:textId="7308D652" w:rsidR="00827437" w:rsidRPr="00522104" w:rsidRDefault="00827437" w:rsidP="00827437">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Законопроектом бюджетные ассигнования на реализацию ГП на 2022 год предусмотрены в объеме 27562,14 млн рублей, из них за счет средств федерального бюджета – 3150,85 млн рублей, краевого бюджета – 24411,29 млн рублей. Планируемый объем расходов выше уровня 2022 года, установленного законом № 969-КЗ на 2808,78 млн рублей (24753,36 млн рублей) и уровня 2021 года на 105,52 млн рублей (утверждено 27456,62 млн рублей)</w:t>
      </w:r>
      <w:r w:rsidR="00A054D7" w:rsidRPr="00522104">
        <w:rPr>
          <w:rFonts w:ascii="Times New Roman" w:eastAsia="Calibri" w:hAnsi="Times New Roman" w:cs="Times New Roman"/>
          <w:sz w:val="28"/>
          <w:szCs w:val="28"/>
        </w:rPr>
        <w:t>.</w:t>
      </w:r>
    </w:p>
    <w:p w14:paraId="29AAD9ED" w14:textId="77777777" w:rsidR="00827437" w:rsidRPr="00522104" w:rsidRDefault="00827437" w:rsidP="00827437">
      <w:pPr>
        <w:spacing w:after="0" w:line="240" w:lineRule="auto"/>
        <w:ind w:firstLine="720"/>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Ответственным исполнителем ГП является министерство здравоохранения Приморского края (запланированный объем средств на 2022 год 26329,77 млн рублей), соисполнитель – министерство строительства Приморского края (1232,37 млн рублей). </w:t>
      </w:r>
    </w:p>
    <w:p w14:paraId="1A771D36"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В рамках ГП в 2022 году предусмотрено исполнение мероприятий двух НП:</w:t>
      </w:r>
    </w:p>
    <w:p w14:paraId="66A8585D" w14:textId="77777777" w:rsidR="00827437" w:rsidRPr="00522104" w:rsidRDefault="00827437" w:rsidP="00827437">
      <w:pPr>
        <w:spacing w:after="0" w:line="240" w:lineRule="auto"/>
        <w:ind w:firstLine="720"/>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"Здравоохранение" – 1819,14 млн рублей, или 11,04 %, в общем объеме ГП. Запланирована реализация следующих ФП: "Развитие системы оказания первичной медико-санитарной помощи", "Борьба с сердечно-сосудистыми заболеваниями", "Борьба с онкологическими заболеваниями", "Развитие детского здравоохранения, включая создание современной инфраструктуры оказания медицинской помощи детям", "Обеспечение медицинских организаций системы здравоохранения квалифицированными кадрами", "Создание единого цифрового контура в здравоохранении на основе единой государственной информационной системы здравоохранения (ЕГИСЗ)";</w:t>
      </w:r>
    </w:p>
    <w:p w14:paraId="6352C704" w14:textId="685468B0" w:rsidR="00827437" w:rsidRPr="00522104" w:rsidRDefault="00827437" w:rsidP="00827437">
      <w:pPr>
        <w:spacing w:after="0" w:line="240" w:lineRule="auto"/>
        <w:ind w:firstLine="709"/>
        <w:jc w:val="both"/>
        <w:rPr>
          <w:rFonts w:ascii="Times New Roman" w:eastAsia="Calibri" w:hAnsi="Times New Roman" w:cs="Times New Roman"/>
          <w:sz w:val="20"/>
          <w:szCs w:val="20"/>
        </w:rPr>
      </w:pPr>
      <w:r w:rsidRPr="00522104">
        <w:rPr>
          <w:rFonts w:ascii="Times New Roman" w:eastAsia="Calibri" w:hAnsi="Times New Roman" w:cs="Times New Roman"/>
          <w:sz w:val="28"/>
          <w:szCs w:val="28"/>
        </w:rPr>
        <w:t>"Демография" – 18,03 млн рублей</w:t>
      </w:r>
      <w:r w:rsidR="002E22B1"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или 0,07 %</w:t>
      </w:r>
      <w:r w:rsidR="002E22B1"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в общем объеме ГП, реализуется через ФП "Старшее поколение" и "Укрепление общественного здоровья".</w:t>
      </w:r>
    </w:p>
    <w:p w14:paraId="79A9DF7B"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Распределение бюджетных ассигнований на финансовое обеспечение ГП в разрезе подпрограмм с указанием ФП приведено в таблице.</w:t>
      </w:r>
    </w:p>
    <w:tbl>
      <w:tblPr>
        <w:tblW w:w="10304" w:type="dxa"/>
        <w:tblInd w:w="-851" w:type="dxa"/>
        <w:tblLayout w:type="fixed"/>
        <w:tblLook w:val="04A0" w:firstRow="1" w:lastRow="0" w:firstColumn="1" w:lastColumn="0" w:noHBand="0" w:noVBand="1"/>
      </w:tblPr>
      <w:tblGrid>
        <w:gridCol w:w="1848"/>
        <w:gridCol w:w="993"/>
        <w:gridCol w:w="850"/>
        <w:gridCol w:w="850"/>
        <w:gridCol w:w="851"/>
        <w:gridCol w:w="851"/>
        <w:gridCol w:w="851"/>
        <w:gridCol w:w="850"/>
        <w:gridCol w:w="801"/>
        <w:gridCol w:w="790"/>
        <w:gridCol w:w="769"/>
      </w:tblGrid>
      <w:tr w:rsidR="00827437" w:rsidRPr="0058218D" w14:paraId="557C4C31" w14:textId="77777777" w:rsidTr="00F12260">
        <w:trPr>
          <w:trHeight w:val="20"/>
          <w:tblHeader/>
        </w:trPr>
        <w:tc>
          <w:tcPr>
            <w:tcW w:w="1848" w:type="dxa"/>
            <w:tcBorders>
              <w:bottom w:val="single" w:sz="4" w:space="0" w:color="auto"/>
            </w:tcBorders>
            <w:shd w:val="clear" w:color="auto" w:fill="auto"/>
            <w:vAlign w:val="center"/>
          </w:tcPr>
          <w:p w14:paraId="04EF7BA1"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p>
        </w:tc>
        <w:tc>
          <w:tcPr>
            <w:tcW w:w="2693" w:type="dxa"/>
            <w:gridSpan w:val="3"/>
            <w:tcBorders>
              <w:bottom w:val="single" w:sz="4" w:space="0" w:color="auto"/>
            </w:tcBorders>
            <w:shd w:val="clear" w:color="auto" w:fill="auto"/>
            <w:vAlign w:val="center"/>
          </w:tcPr>
          <w:p w14:paraId="72669266"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p>
        </w:tc>
        <w:tc>
          <w:tcPr>
            <w:tcW w:w="2553" w:type="dxa"/>
            <w:gridSpan w:val="3"/>
            <w:tcBorders>
              <w:bottom w:val="single" w:sz="4" w:space="0" w:color="auto"/>
            </w:tcBorders>
            <w:shd w:val="clear" w:color="auto" w:fill="auto"/>
            <w:vAlign w:val="center"/>
          </w:tcPr>
          <w:p w14:paraId="640B34C2"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p>
        </w:tc>
        <w:tc>
          <w:tcPr>
            <w:tcW w:w="3210" w:type="dxa"/>
            <w:gridSpan w:val="4"/>
            <w:tcBorders>
              <w:bottom w:val="single" w:sz="4" w:space="0" w:color="auto"/>
            </w:tcBorders>
            <w:shd w:val="clear" w:color="auto" w:fill="auto"/>
            <w:vAlign w:val="center"/>
          </w:tcPr>
          <w:p w14:paraId="1CF3F149" w14:textId="77777777" w:rsidR="00827437" w:rsidRPr="0058218D" w:rsidRDefault="00827437" w:rsidP="00E40BEE">
            <w:pPr>
              <w:spacing w:after="0" w:line="240" w:lineRule="auto"/>
              <w:ind w:firstLine="709"/>
              <w:jc w:val="right"/>
              <w:rPr>
                <w:rFonts w:ascii="Times New Roman" w:eastAsia="Calibri" w:hAnsi="Times New Roman" w:cs="Times New Roman"/>
                <w:sz w:val="20"/>
                <w:szCs w:val="20"/>
              </w:rPr>
            </w:pPr>
            <w:r w:rsidRPr="0058218D">
              <w:rPr>
                <w:rFonts w:ascii="Times New Roman" w:eastAsia="Calibri" w:hAnsi="Times New Roman" w:cs="Times New Roman"/>
                <w:sz w:val="20"/>
                <w:szCs w:val="20"/>
              </w:rPr>
              <w:t>(млн рублей)</w:t>
            </w:r>
          </w:p>
        </w:tc>
      </w:tr>
      <w:tr w:rsidR="00827437" w:rsidRPr="00522104" w14:paraId="6AA3741D" w14:textId="77777777" w:rsidTr="00F12260">
        <w:trPr>
          <w:trHeight w:val="20"/>
          <w:tblHeader/>
        </w:trPr>
        <w:tc>
          <w:tcPr>
            <w:tcW w:w="18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C83E95E"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Наименование</w:t>
            </w:r>
          </w:p>
        </w:tc>
        <w:tc>
          <w:tcPr>
            <w:tcW w:w="2693" w:type="dxa"/>
            <w:gridSpan w:val="3"/>
            <w:tcBorders>
              <w:top w:val="single" w:sz="4" w:space="0" w:color="auto"/>
              <w:left w:val="nil"/>
              <w:bottom w:val="single" w:sz="4" w:space="0" w:color="auto"/>
              <w:right w:val="single" w:sz="4" w:space="0" w:color="000000"/>
            </w:tcBorders>
            <w:shd w:val="clear" w:color="auto" w:fill="auto"/>
            <w:vAlign w:val="center"/>
            <w:hideMark/>
          </w:tcPr>
          <w:p w14:paraId="0B9C6E67"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 № 969-КЗ</w:t>
            </w:r>
          </w:p>
        </w:tc>
        <w:tc>
          <w:tcPr>
            <w:tcW w:w="2553" w:type="dxa"/>
            <w:gridSpan w:val="3"/>
            <w:tcBorders>
              <w:top w:val="single" w:sz="4" w:space="0" w:color="auto"/>
              <w:left w:val="nil"/>
              <w:bottom w:val="single" w:sz="4" w:space="0" w:color="auto"/>
              <w:right w:val="single" w:sz="4" w:space="0" w:color="000000"/>
            </w:tcBorders>
            <w:shd w:val="clear" w:color="auto" w:fill="auto"/>
            <w:vAlign w:val="center"/>
            <w:hideMark/>
          </w:tcPr>
          <w:p w14:paraId="0B442230"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Законопроект на</w:t>
            </w:r>
          </w:p>
        </w:tc>
        <w:tc>
          <w:tcPr>
            <w:tcW w:w="3210" w:type="dxa"/>
            <w:gridSpan w:val="4"/>
            <w:tcBorders>
              <w:top w:val="single" w:sz="4" w:space="0" w:color="auto"/>
              <w:left w:val="nil"/>
              <w:bottom w:val="single" w:sz="4" w:space="0" w:color="auto"/>
              <w:right w:val="single" w:sz="4" w:space="0" w:color="000000"/>
            </w:tcBorders>
            <w:shd w:val="clear" w:color="auto" w:fill="auto"/>
            <w:vAlign w:val="center"/>
            <w:hideMark/>
          </w:tcPr>
          <w:p w14:paraId="4FE04AD4"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Отклонения по законопроекту к утвержденным назначениям</w:t>
            </w:r>
          </w:p>
        </w:tc>
      </w:tr>
      <w:tr w:rsidR="001363AF" w:rsidRPr="00522104" w14:paraId="0C96DBFA" w14:textId="77777777" w:rsidTr="00F12260">
        <w:trPr>
          <w:trHeight w:val="20"/>
          <w:tblHeader/>
        </w:trPr>
        <w:tc>
          <w:tcPr>
            <w:tcW w:w="1848" w:type="dxa"/>
            <w:vMerge/>
            <w:tcBorders>
              <w:top w:val="single" w:sz="4" w:space="0" w:color="auto"/>
              <w:left w:val="single" w:sz="4" w:space="0" w:color="auto"/>
              <w:bottom w:val="single" w:sz="4" w:space="0" w:color="000000"/>
              <w:right w:val="single" w:sz="4" w:space="0" w:color="auto"/>
            </w:tcBorders>
            <w:vAlign w:val="center"/>
            <w:hideMark/>
          </w:tcPr>
          <w:p w14:paraId="1BAA7938" w14:textId="77777777" w:rsidR="001363AF" w:rsidRPr="00522104" w:rsidRDefault="001363AF" w:rsidP="00E40BEE">
            <w:pPr>
              <w:spacing w:after="0" w:line="240" w:lineRule="auto"/>
              <w:rPr>
                <w:rFonts w:ascii="Times New Roman" w:eastAsia="Times New Roman" w:hAnsi="Times New Roman" w:cs="Times New Roman"/>
                <w:bCs/>
                <w:sz w:val="20"/>
                <w:szCs w:val="20"/>
                <w:lang w:eastAsia="ru-RU"/>
              </w:rPr>
            </w:pPr>
          </w:p>
        </w:tc>
        <w:tc>
          <w:tcPr>
            <w:tcW w:w="993" w:type="dxa"/>
            <w:vMerge w:val="restart"/>
            <w:tcBorders>
              <w:top w:val="nil"/>
              <w:left w:val="nil"/>
              <w:right w:val="single" w:sz="4" w:space="0" w:color="auto"/>
            </w:tcBorders>
            <w:shd w:val="clear" w:color="auto" w:fill="auto"/>
            <w:vAlign w:val="center"/>
            <w:hideMark/>
          </w:tcPr>
          <w:p w14:paraId="5700D3DF" w14:textId="2D34224E" w:rsidR="001363AF" w:rsidRPr="00522104" w:rsidRDefault="001363AF" w:rsidP="00F12260">
            <w:pPr>
              <w:spacing w:after="0" w:line="240" w:lineRule="auto"/>
              <w:ind w:left="-112"/>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первоначальная редакция</w:t>
            </w:r>
          </w:p>
          <w:p w14:paraId="75F91668" w14:textId="55CD004E" w:rsidR="001363AF" w:rsidRPr="00522104" w:rsidRDefault="001363AF" w:rsidP="00F12260">
            <w:pPr>
              <w:spacing w:after="0" w:line="240" w:lineRule="auto"/>
              <w:ind w:left="-112"/>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w:t>
            </w:r>
          </w:p>
        </w:tc>
        <w:tc>
          <w:tcPr>
            <w:tcW w:w="1700"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FDD9568"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8 редакция</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B999EA"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526579"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2023</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0BA708"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2024</w:t>
            </w:r>
          </w:p>
        </w:tc>
        <w:tc>
          <w:tcPr>
            <w:tcW w:w="165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B1389BE"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2022/2021</w:t>
            </w:r>
          </w:p>
        </w:tc>
        <w:tc>
          <w:tcPr>
            <w:tcW w:w="15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797FB77"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2022/2022</w:t>
            </w:r>
          </w:p>
        </w:tc>
      </w:tr>
      <w:tr w:rsidR="001363AF" w:rsidRPr="00522104" w14:paraId="1AE252CB" w14:textId="77777777" w:rsidTr="00F12260">
        <w:trPr>
          <w:trHeight w:val="20"/>
          <w:tblHeader/>
        </w:trPr>
        <w:tc>
          <w:tcPr>
            <w:tcW w:w="1848" w:type="dxa"/>
            <w:vMerge/>
            <w:tcBorders>
              <w:top w:val="single" w:sz="4" w:space="0" w:color="auto"/>
              <w:left w:val="single" w:sz="4" w:space="0" w:color="auto"/>
              <w:bottom w:val="single" w:sz="4" w:space="0" w:color="000000"/>
              <w:right w:val="single" w:sz="4" w:space="0" w:color="auto"/>
            </w:tcBorders>
            <w:vAlign w:val="center"/>
            <w:hideMark/>
          </w:tcPr>
          <w:p w14:paraId="1281ADD6" w14:textId="77777777" w:rsidR="001363AF" w:rsidRPr="00522104" w:rsidRDefault="001363AF" w:rsidP="00E40BEE">
            <w:pPr>
              <w:spacing w:after="0" w:line="240" w:lineRule="auto"/>
              <w:rPr>
                <w:rFonts w:ascii="Times New Roman" w:eastAsia="Times New Roman" w:hAnsi="Times New Roman" w:cs="Times New Roman"/>
                <w:bCs/>
                <w:sz w:val="20"/>
                <w:szCs w:val="20"/>
                <w:lang w:eastAsia="ru-RU"/>
              </w:rPr>
            </w:pPr>
          </w:p>
        </w:tc>
        <w:tc>
          <w:tcPr>
            <w:tcW w:w="993" w:type="dxa"/>
            <w:vMerge/>
            <w:tcBorders>
              <w:left w:val="nil"/>
              <w:bottom w:val="single" w:sz="4" w:space="0" w:color="auto"/>
              <w:right w:val="single" w:sz="4" w:space="0" w:color="auto"/>
            </w:tcBorders>
            <w:shd w:val="clear" w:color="auto" w:fill="auto"/>
            <w:vAlign w:val="center"/>
            <w:hideMark/>
          </w:tcPr>
          <w:p w14:paraId="13F69E12" w14:textId="4CE3B76E"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771ADC45"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w:t>
            </w:r>
          </w:p>
        </w:tc>
        <w:tc>
          <w:tcPr>
            <w:tcW w:w="850" w:type="dxa"/>
            <w:tcBorders>
              <w:top w:val="nil"/>
              <w:left w:val="nil"/>
              <w:bottom w:val="single" w:sz="4" w:space="0" w:color="auto"/>
              <w:right w:val="nil"/>
            </w:tcBorders>
            <w:shd w:val="clear" w:color="auto" w:fill="auto"/>
            <w:noWrap/>
            <w:vAlign w:val="center"/>
            <w:hideMark/>
          </w:tcPr>
          <w:p w14:paraId="5C814B0F"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w:t>
            </w:r>
          </w:p>
        </w:tc>
        <w:tc>
          <w:tcPr>
            <w:tcW w:w="851" w:type="dxa"/>
            <w:vMerge/>
            <w:tcBorders>
              <w:top w:val="nil"/>
              <w:left w:val="single" w:sz="4" w:space="0" w:color="auto"/>
              <w:bottom w:val="single" w:sz="4" w:space="0" w:color="000000"/>
              <w:right w:val="single" w:sz="4" w:space="0" w:color="auto"/>
            </w:tcBorders>
            <w:vAlign w:val="center"/>
            <w:hideMark/>
          </w:tcPr>
          <w:p w14:paraId="6729725C" w14:textId="77777777" w:rsidR="001363AF" w:rsidRPr="00522104" w:rsidRDefault="001363AF" w:rsidP="00E40BEE">
            <w:pPr>
              <w:spacing w:after="0" w:line="240" w:lineRule="auto"/>
              <w:rPr>
                <w:rFonts w:ascii="Times New Roman" w:eastAsia="Times New Roman" w:hAnsi="Times New Roman" w:cs="Times New Roman"/>
                <w:bCs/>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14:paraId="3C15338D" w14:textId="77777777" w:rsidR="001363AF" w:rsidRPr="00522104" w:rsidRDefault="001363AF" w:rsidP="00E40BEE">
            <w:pPr>
              <w:spacing w:after="0" w:line="240" w:lineRule="auto"/>
              <w:rPr>
                <w:rFonts w:ascii="Times New Roman" w:eastAsia="Times New Roman" w:hAnsi="Times New Roman" w:cs="Times New Roman"/>
                <w:bCs/>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14:paraId="146772EE" w14:textId="77777777" w:rsidR="001363AF" w:rsidRPr="00522104" w:rsidRDefault="001363AF" w:rsidP="00E40BEE">
            <w:pPr>
              <w:spacing w:after="0" w:line="240" w:lineRule="auto"/>
              <w:rPr>
                <w:rFonts w:ascii="Times New Roman" w:eastAsia="Times New Roman" w:hAnsi="Times New Roman" w:cs="Times New Roman"/>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5FB0CB9B"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сумма</w:t>
            </w:r>
          </w:p>
        </w:tc>
        <w:tc>
          <w:tcPr>
            <w:tcW w:w="801" w:type="dxa"/>
            <w:tcBorders>
              <w:top w:val="nil"/>
              <w:left w:val="nil"/>
              <w:bottom w:val="single" w:sz="4" w:space="0" w:color="auto"/>
              <w:right w:val="single" w:sz="4" w:space="0" w:color="auto"/>
            </w:tcBorders>
            <w:shd w:val="clear" w:color="auto" w:fill="auto"/>
            <w:noWrap/>
            <w:vAlign w:val="center"/>
            <w:hideMark/>
          </w:tcPr>
          <w:p w14:paraId="1C7FED86"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w:t>
            </w:r>
          </w:p>
        </w:tc>
        <w:tc>
          <w:tcPr>
            <w:tcW w:w="790" w:type="dxa"/>
            <w:tcBorders>
              <w:top w:val="nil"/>
              <w:left w:val="nil"/>
              <w:bottom w:val="single" w:sz="4" w:space="0" w:color="auto"/>
              <w:right w:val="single" w:sz="4" w:space="0" w:color="auto"/>
            </w:tcBorders>
            <w:shd w:val="clear" w:color="auto" w:fill="auto"/>
            <w:noWrap/>
            <w:vAlign w:val="center"/>
            <w:hideMark/>
          </w:tcPr>
          <w:p w14:paraId="72C7FCF3"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сумма</w:t>
            </w:r>
          </w:p>
        </w:tc>
        <w:tc>
          <w:tcPr>
            <w:tcW w:w="769" w:type="dxa"/>
            <w:tcBorders>
              <w:top w:val="nil"/>
              <w:left w:val="nil"/>
              <w:bottom w:val="single" w:sz="4" w:space="0" w:color="auto"/>
              <w:right w:val="single" w:sz="4" w:space="0" w:color="auto"/>
            </w:tcBorders>
            <w:shd w:val="clear" w:color="auto" w:fill="auto"/>
            <w:noWrap/>
            <w:vAlign w:val="center"/>
            <w:hideMark/>
          </w:tcPr>
          <w:p w14:paraId="7D3FFD38" w14:textId="77777777" w:rsidR="001363AF" w:rsidRPr="00522104" w:rsidRDefault="001363AF"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w:t>
            </w:r>
          </w:p>
        </w:tc>
      </w:tr>
      <w:tr w:rsidR="00827437" w:rsidRPr="00522104" w14:paraId="0AD928DE" w14:textId="77777777" w:rsidTr="00F12260">
        <w:trPr>
          <w:trHeight w:val="20"/>
          <w:tblHeader/>
        </w:trPr>
        <w:tc>
          <w:tcPr>
            <w:tcW w:w="1848" w:type="dxa"/>
            <w:tcBorders>
              <w:top w:val="nil"/>
              <w:left w:val="single" w:sz="4" w:space="0" w:color="auto"/>
              <w:bottom w:val="single" w:sz="4" w:space="0" w:color="auto"/>
              <w:right w:val="single" w:sz="4" w:space="0" w:color="auto"/>
            </w:tcBorders>
            <w:shd w:val="clear" w:color="DDEBF7" w:fill="FFFFFF"/>
            <w:vAlign w:val="center"/>
            <w:hideMark/>
          </w:tcPr>
          <w:p w14:paraId="778EFC8D"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1</w:t>
            </w:r>
          </w:p>
        </w:tc>
        <w:tc>
          <w:tcPr>
            <w:tcW w:w="993" w:type="dxa"/>
            <w:tcBorders>
              <w:top w:val="nil"/>
              <w:left w:val="nil"/>
              <w:bottom w:val="single" w:sz="4" w:space="0" w:color="auto"/>
              <w:right w:val="single" w:sz="4" w:space="0" w:color="auto"/>
            </w:tcBorders>
            <w:shd w:val="clear" w:color="auto" w:fill="auto"/>
            <w:vAlign w:val="center"/>
          </w:tcPr>
          <w:p w14:paraId="437BA003"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2</w:t>
            </w:r>
          </w:p>
        </w:tc>
        <w:tc>
          <w:tcPr>
            <w:tcW w:w="850" w:type="dxa"/>
            <w:tcBorders>
              <w:top w:val="nil"/>
              <w:left w:val="nil"/>
              <w:bottom w:val="single" w:sz="4" w:space="0" w:color="auto"/>
              <w:right w:val="single" w:sz="4" w:space="0" w:color="auto"/>
            </w:tcBorders>
            <w:shd w:val="clear" w:color="auto" w:fill="auto"/>
            <w:vAlign w:val="center"/>
          </w:tcPr>
          <w:p w14:paraId="78B6776A"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3</w:t>
            </w:r>
          </w:p>
        </w:tc>
        <w:tc>
          <w:tcPr>
            <w:tcW w:w="850" w:type="dxa"/>
            <w:tcBorders>
              <w:top w:val="nil"/>
              <w:left w:val="nil"/>
              <w:bottom w:val="single" w:sz="4" w:space="0" w:color="auto"/>
              <w:right w:val="single" w:sz="4" w:space="0" w:color="auto"/>
            </w:tcBorders>
            <w:shd w:val="clear" w:color="auto" w:fill="auto"/>
            <w:vAlign w:val="center"/>
          </w:tcPr>
          <w:p w14:paraId="0B102608"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4</w:t>
            </w:r>
          </w:p>
        </w:tc>
        <w:tc>
          <w:tcPr>
            <w:tcW w:w="851" w:type="dxa"/>
            <w:tcBorders>
              <w:top w:val="nil"/>
              <w:left w:val="nil"/>
              <w:bottom w:val="single" w:sz="4" w:space="0" w:color="auto"/>
              <w:right w:val="single" w:sz="4" w:space="0" w:color="auto"/>
            </w:tcBorders>
            <w:shd w:val="clear" w:color="auto" w:fill="auto"/>
            <w:vAlign w:val="center"/>
          </w:tcPr>
          <w:p w14:paraId="058FB296"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5</w:t>
            </w:r>
          </w:p>
        </w:tc>
        <w:tc>
          <w:tcPr>
            <w:tcW w:w="851" w:type="dxa"/>
            <w:tcBorders>
              <w:top w:val="nil"/>
              <w:left w:val="nil"/>
              <w:bottom w:val="single" w:sz="4" w:space="0" w:color="auto"/>
              <w:right w:val="single" w:sz="4" w:space="0" w:color="auto"/>
            </w:tcBorders>
            <w:shd w:val="clear" w:color="auto" w:fill="auto"/>
            <w:vAlign w:val="center"/>
          </w:tcPr>
          <w:p w14:paraId="74C2E860"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6</w:t>
            </w:r>
          </w:p>
        </w:tc>
        <w:tc>
          <w:tcPr>
            <w:tcW w:w="851" w:type="dxa"/>
            <w:tcBorders>
              <w:top w:val="nil"/>
              <w:left w:val="nil"/>
              <w:bottom w:val="single" w:sz="4" w:space="0" w:color="auto"/>
              <w:right w:val="single" w:sz="4" w:space="0" w:color="auto"/>
            </w:tcBorders>
            <w:shd w:val="clear" w:color="auto" w:fill="auto"/>
            <w:vAlign w:val="center"/>
          </w:tcPr>
          <w:p w14:paraId="74599A71"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7</w:t>
            </w:r>
          </w:p>
        </w:tc>
        <w:tc>
          <w:tcPr>
            <w:tcW w:w="850" w:type="dxa"/>
            <w:tcBorders>
              <w:top w:val="nil"/>
              <w:left w:val="nil"/>
              <w:bottom w:val="single" w:sz="4" w:space="0" w:color="auto"/>
              <w:right w:val="single" w:sz="4" w:space="0" w:color="auto"/>
            </w:tcBorders>
            <w:shd w:val="clear" w:color="auto" w:fill="auto"/>
            <w:vAlign w:val="center"/>
            <w:hideMark/>
          </w:tcPr>
          <w:p w14:paraId="2C86CCB9"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8=5-3</w:t>
            </w:r>
          </w:p>
        </w:tc>
        <w:tc>
          <w:tcPr>
            <w:tcW w:w="801" w:type="dxa"/>
            <w:tcBorders>
              <w:top w:val="nil"/>
              <w:left w:val="nil"/>
              <w:bottom w:val="single" w:sz="4" w:space="0" w:color="auto"/>
              <w:right w:val="single" w:sz="4" w:space="0" w:color="auto"/>
            </w:tcBorders>
            <w:shd w:val="clear" w:color="auto" w:fill="auto"/>
            <w:vAlign w:val="center"/>
            <w:hideMark/>
          </w:tcPr>
          <w:p w14:paraId="4A68AFCC"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9=5/3</w:t>
            </w:r>
          </w:p>
        </w:tc>
        <w:tc>
          <w:tcPr>
            <w:tcW w:w="790" w:type="dxa"/>
            <w:tcBorders>
              <w:top w:val="nil"/>
              <w:left w:val="nil"/>
              <w:bottom w:val="single" w:sz="4" w:space="0" w:color="auto"/>
              <w:right w:val="single" w:sz="4" w:space="0" w:color="auto"/>
            </w:tcBorders>
            <w:shd w:val="clear" w:color="auto" w:fill="auto"/>
            <w:vAlign w:val="center"/>
            <w:hideMark/>
          </w:tcPr>
          <w:p w14:paraId="2D2CEFBD"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10=5-4</w:t>
            </w:r>
          </w:p>
        </w:tc>
        <w:tc>
          <w:tcPr>
            <w:tcW w:w="769" w:type="dxa"/>
            <w:tcBorders>
              <w:top w:val="nil"/>
              <w:left w:val="nil"/>
              <w:bottom w:val="single" w:sz="4" w:space="0" w:color="auto"/>
              <w:right w:val="single" w:sz="4" w:space="0" w:color="auto"/>
            </w:tcBorders>
            <w:shd w:val="clear" w:color="auto" w:fill="auto"/>
            <w:vAlign w:val="center"/>
            <w:hideMark/>
          </w:tcPr>
          <w:p w14:paraId="2FF5FC34" w14:textId="77777777" w:rsidR="00827437" w:rsidRPr="006B5361" w:rsidRDefault="00827437" w:rsidP="00E40BEE">
            <w:pPr>
              <w:spacing w:after="0" w:line="240" w:lineRule="auto"/>
              <w:jc w:val="center"/>
              <w:rPr>
                <w:rFonts w:ascii="Times New Roman" w:eastAsia="Times New Roman" w:hAnsi="Times New Roman" w:cs="Times New Roman"/>
                <w:bCs/>
                <w:sz w:val="16"/>
                <w:szCs w:val="16"/>
                <w:lang w:eastAsia="ru-RU"/>
              </w:rPr>
            </w:pPr>
            <w:r w:rsidRPr="006B5361">
              <w:rPr>
                <w:rFonts w:ascii="Times New Roman" w:eastAsia="Times New Roman" w:hAnsi="Times New Roman" w:cs="Times New Roman"/>
                <w:bCs/>
                <w:sz w:val="16"/>
                <w:szCs w:val="16"/>
                <w:lang w:eastAsia="ru-RU"/>
              </w:rPr>
              <w:t>11=5/4</w:t>
            </w:r>
          </w:p>
        </w:tc>
      </w:tr>
      <w:tr w:rsidR="00827437" w:rsidRPr="00F042AC" w14:paraId="6472BD73"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4801752F" w14:textId="77777777" w:rsidR="00827437" w:rsidRPr="00F12260" w:rsidRDefault="00827437" w:rsidP="00E40BEE">
            <w:pPr>
              <w:spacing w:after="0" w:line="240" w:lineRule="auto"/>
              <w:rPr>
                <w:rFonts w:ascii="Times New Roman" w:eastAsia="Times New Roman" w:hAnsi="Times New Roman" w:cs="Times New Roman"/>
                <w:b/>
                <w:bCs/>
                <w:sz w:val="19"/>
                <w:szCs w:val="19"/>
                <w:lang w:eastAsia="ru-RU"/>
              </w:rPr>
            </w:pPr>
            <w:r w:rsidRPr="00F12260">
              <w:rPr>
                <w:rFonts w:ascii="Times New Roman" w:eastAsia="Times New Roman" w:hAnsi="Times New Roman" w:cs="Times New Roman"/>
                <w:b/>
                <w:bCs/>
                <w:sz w:val="19"/>
                <w:szCs w:val="19"/>
                <w:lang w:eastAsia="ru-RU"/>
              </w:rPr>
              <w:t>ГП "Развитие здравоохранения Приморского края" на 2020-2027 годы</w:t>
            </w:r>
          </w:p>
        </w:tc>
        <w:tc>
          <w:tcPr>
            <w:tcW w:w="993" w:type="dxa"/>
            <w:tcBorders>
              <w:top w:val="nil"/>
              <w:left w:val="nil"/>
              <w:bottom w:val="single" w:sz="4" w:space="0" w:color="auto"/>
              <w:right w:val="single" w:sz="4" w:space="0" w:color="auto"/>
            </w:tcBorders>
            <w:shd w:val="clear" w:color="auto" w:fill="auto"/>
            <w:noWrap/>
            <w:vAlign w:val="bottom"/>
            <w:hideMark/>
          </w:tcPr>
          <w:p w14:paraId="7AF9702D" w14:textId="77777777" w:rsidR="00827437" w:rsidRPr="00F042AC" w:rsidRDefault="00827437" w:rsidP="00E40BEE">
            <w:pPr>
              <w:spacing w:after="0" w:line="240" w:lineRule="auto"/>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24593,81</w:t>
            </w:r>
          </w:p>
        </w:tc>
        <w:tc>
          <w:tcPr>
            <w:tcW w:w="850" w:type="dxa"/>
            <w:tcBorders>
              <w:top w:val="nil"/>
              <w:left w:val="nil"/>
              <w:bottom w:val="single" w:sz="4" w:space="0" w:color="auto"/>
              <w:right w:val="single" w:sz="4" w:space="0" w:color="auto"/>
            </w:tcBorders>
            <w:shd w:val="clear" w:color="auto" w:fill="auto"/>
            <w:noWrap/>
            <w:vAlign w:val="bottom"/>
            <w:hideMark/>
          </w:tcPr>
          <w:p w14:paraId="4E5161F6" w14:textId="77777777" w:rsidR="00827437" w:rsidRPr="00F042AC" w:rsidRDefault="00827437" w:rsidP="006B5361">
            <w:pPr>
              <w:spacing w:after="0" w:line="240" w:lineRule="auto"/>
              <w:ind w:left="-108"/>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27456,62</w:t>
            </w:r>
          </w:p>
        </w:tc>
        <w:tc>
          <w:tcPr>
            <w:tcW w:w="850" w:type="dxa"/>
            <w:tcBorders>
              <w:top w:val="nil"/>
              <w:left w:val="nil"/>
              <w:bottom w:val="single" w:sz="4" w:space="0" w:color="auto"/>
              <w:right w:val="single" w:sz="4" w:space="0" w:color="auto"/>
            </w:tcBorders>
            <w:shd w:val="clear" w:color="auto" w:fill="auto"/>
            <w:noWrap/>
            <w:vAlign w:val="bottom"/>
            <w:hideMark/>
          </w:tcPr>
          <w:p w14:paraId="2327FEB3" w14:textId="77777777" w:rsidR="00827437" w:rsidRPr="00F042AC" w:rsidRDefault="00827437" w:rsidP="006B5361">
            <w:pPr>
              <w:spacing w:after="0" w:line="240" w:lineRule="auto"/>
              <w:ind w:left="-108"/>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24753,36</w:t>
            </w:r>
          </w:p>
        </w:tc>
        <w:tc>
          <w:tcPr>
            <w:tcW w:w="851" w:type="dxa"/>
            <w:tcBorders>
              <w:top w:val="nil"/>
              <w:left w:val="nil"/>
              <w:bottom w:val="single" w:sz="4" w:space="0" w:color="auto"/>
              <w:right w:val="single" w:sz="4" w:space="0" w:color="auto"/>
            </w:tcBorders>
            <w:shd w:val="clear" w:color="auto" w:fill="auto"/>
            <w:noWrap/>
            <w:vAlign w:val="bottom"/>
            <w:hideMark/>
          </w:tcPr>
          <w:p w14:paraId="5062D4D2" w14:textId="77777777" w:rsidR="00827437" w:rsidRPr="00F042AC" w:rsidRDefault="00827437" w:rsidP="006B5361">
            <w:pPr>
              <w:spacing w:after="0" w:line="240" w:lineRule="auto"/>
              <w:ind w:left="-250"/>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27562,14</w:t>
            </w:r>
          </w:p>
        </w:tc>
        <w:tc>
          <w:tcPr>
            <w:tcW w:w="851" w:type="dxa"/>
            <w:tcBorders>
              <w:top w:val="nil"/>
              <w:left w:val="nil"/>
              <w:bottom w:val="single" w:sz="4" w:space="0" w:color="auto"/>
              <w:right w:val="single" w:sz="4" w:space="0" w:color="auto"/>
            </w:tcBorders>
            <w:shd w:val="clear" w:color="auto" w:fill="auto"/>
            <w:noWrap/>
            <w:vAlign w:val="bottom"/>
            <w:hideMark/>
          </w:tcPr>
          <w:p w14:paraId="7A8B542D" w14:textId="77777777" w:rsidR="00827437" w:rsidRPr="00F042AC" w:rsidRDefault="00827437" w:rsidP="006B5361">
            <w:pPr>
              <w:spacing w:after="0" w:line="240" w:lineRule="auto"/>
              <w:ind w:left="-249"/>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25415,77</w:t>
            </w:r>
          </w:p>
        </w:tc>
        <w:tc>
          <w:tcPr>
            <w:tcW w:w="851" w:type="dxa"/>
            <w:tcBorders>
              <w:top w:val="nil"/>
              <w:left w:val="nil"/>
              <w:bottom w:val="single" w:sz="4" w:space="0" w:color="auto"/>
              <w:right w:val="single" w:sz="4" w:space="0" w:color="auto"/>
            </w:tcBorders>
            <w:shd w:val="clear" w:color="auto" w:fill="auto"/>
            <w:noWrap/>
            <w:vAlign w:val="bottom"/>
            <w:hideMark/>
          </w:tcPr>
          <w:p w14:paraId="4E294506" w14:textId="77777777" w:rsidR="00827437" w:rsidRPr="00F042AC" w:rsidRDefault="00827437" w:rsidP="00F042AC">
            <w:pPr>
              <w:spacing w:after="0" w:line="240" w:lineRule="auto"/>
              <w:ind w:left="-108"/>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26357,17</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2049C8A1" w14:textId="77777777" w:rsidR="00827437" w:rsidRPr="00F042AC" w:rsidRDefault="00827437" w:rsidP="00E40BEE">
            <w:pPr>
              <w:spacing w:after="0" w:line="240" w:lineRule="auto"/>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105,52</w:t>
            </w:r>
          </w:p>
        </w:tc>
        <w:tc>
          <w:tcPr>
            <w:tcW w:w="801" w:type="dxa"/>
            <w:tcBorders>
              <w:top w:val="single" w:sz="4" w:space="0" w:color="auto"/>
              <w:left w:val="nil"/>
              <w:bottom w:val="single" w:sz="4" w:space="0" w:color="auto"/>
              <w:right w:val="single" w:sz="4" w:space="0" w:color="auto"/>
            </w:tcBorders>
            <w:shd w:val="clear" w:color="auto" w:fill="auto"/>
            <w:noWrap/>
            <w:vAlign w:val="bottom"/>
            <w:hideMark/>
          </w:tcPr>
          <w:p w14:paraId="49A28CF9" w14:textId="77777777" w:rsidR="00827437" w:rsidRPr="00F042AC" w:rsidRDefault="00827437" w:rsidP="00E40BEE">
            <w:pPr>
              <w:spacing w:after="0" w:line="240" w:lineRule="auto"/>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100,38</w:t>
            </w:r>
          </w:p>
        </w:tc>
        <w:tc>
          <w:tcPr>
            <w:tcW w:w="790" w:type="dxa"/>
            <w:tcBorders>
              <w:top w:val="single" w:sz="4" w:space="0" w:color="auto"/>
              <w:left w:val="nil"/>
              <w:bottom w:val="single" w:sz="4" w:space="0" w:color="auto"/>
              <w:right w:val="single" w:sz="4" w:space="0" w:color="auto"/>
            </w:tcBorders>
            <w:shd w:val="clear" w:color="auto" w:fill="auto"/>
            <w:noWrap/>
            <w:vAlign w:val="bottom"/>
            <w:hideMark/>
          </w:tcPr>
          <w:p w14:paraId="7C07070B" w14:textId="77777777" w:rsidR="00827437" w:rsidRPr="00F042AC" w:rsidRDefault="00827437" w:rsidP="006B5361">
            <w:pPr>
              <w:spacing w:after="0" w:line="240" w:lineRule="auto"/>
              <w:ind w:left="-108"/>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2808,78</w:t>
            </w:r>
          </w:p>
        </w:tc>
        <w:tc>
          <w:tcPr>
            <w:tcW w:w="769" w:type="dxa"/>
            <w:tcBorders>
              <w:top w:val="single" w:sz="4" w:space="0" w:color="auto"/>
              <w:left w:val="nil"/>
              <w:bottom w:val="single" w:sz="4" w:space="0" w:color="auto"/>
              <w:right w:val="single" w:sz="4" w:space="0" w:color="auto"/>
            </w:tcBorders>
            <w:shd w:val="clear" w:color="auto" w:fill="auto"/>
            <w:noWrap/>
            <w:vAlign w:val="bottom"/>
            <w:hideMark/>
          </w:tcPr>
          <w:p w14:paraId="34A621FD" w14:textId="77777777" w:rsidR="00827437" w:rsidRPr="00F042AC" w:rsidRDefault="00827437" w:rsidP="00E40BEE">
            <w:pPr>
              <w:spacing w:after="0" w:line="240" w:lineRule="auto"/>
              <w:jc w:val="right"/>
              <w:rPr>
                <w:rFonts w:ascii="Times New Roman" w:eastAsia="Times New Roman" w:hAnsi="Times New Roman" w:cs="Times New Roman"/>
                <w:b/>
                <w:bCs/>
                <w:sz w:val="18"/>
                <w:szCs w:val="18"/>
                <w:lang w:eastAsia="ru-RU"/>
              </w:rPr>
            </w:pPr>
            <w:r w:rsidRPr="00F042AC">
              <w:rPr>
                <w:rFonts w:ascii="Times New Roman" w:eastAsia="Times New Roman" w:hAnsi="Times New Roman" w:cs="Times New Roman"/>
                <w:b/>
                <w:bCs/>
                <w:sz w:val="18"/>
                <w:szCs w:val="18"/>
                <w:lang w:eastAsia="ru-RU"/>
              </w:rPr>
              <w:t>111,35</w:t>
            </w:r>
          </w:p>
        </w:tc>
      </w:tr>
      <w:tr w:rsidR="00827437" w:rsidRPr="00F042AC" w14:paraId="281EEF43"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20DADD1D" w14:textId="77777777" w:rsidR="00827437" w:rsidRPr="0058218D" w:rsidRDefault="00827437" w:rsidP="00E40BEE">
            <w:pPr>
              <w:spacing w:after="0" w:line="240" w:lineRule="auto"/>
              <w:rPr>
                <w:rFonts w:ascii="Times New Roman" w:eastAsia="Times New Roman" w:hAnsi="Times New Roman" w:cs="Times New Roman"/>
                <w:bCs/>
                <w:sz w:val="19"/>
                <w:szCs w:val="19"/>
                <w:lang w:eastAsia="ru-RU"/>
              </w:rPr>
            </w:pPr>
            <w:r w:rsidRPr="0058218D">
              <w:rPr>
                <w:rFonts w:ascii="Times New Roman" w:eastAsia="Times New Roman" w:hAnsi="Times New Roman" w:cs="Times New Roman"/>
                <w:bCs/>
                <w:sz w:val="19"/>
                <w:szCs w:val="19"/>
                <w:lang w:eastAsia="ru-RU"/>
              </w:rPr>
              <w:t>Подпрограмма "Формирование эффективной системы организации медицинской помощи"</w:t>
            </w:r>
          </w:p>
        </w:tc>
        <w:tc>
          <w:tcPr>
            <w:tcW w:w="993" w:type="dxa"/>
            <w:tcBorders>
              <w:top w:val="nil"/>
              <w:left w:val="nil"/>
              <w:bottom w:val="single" w:sz="4" w:space="0" w:color="auto"/>
              <w:right w:val="single" w:sz="4" w:space="0" w:color="auto"/>
            </w:tcBorders>
            <w:shd w:val="clear" w:color="auto" w:fill="auto"/>
            <w:noWrap/>
            <w:vAlign w:val="bottom"/>
            <w:hideMark/>
          </w:tcPr>
          <w:p w14:paraId="07617070"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8949,17</w:t>
            </w:r>
          </w:p>
        </w:tc>
        <w:tc>
          <w:tcPr>
            <w:tcW w:w="850" w:type="dxa"/>
            <w:tcBorders>
              <w:top w:val="nil"/>
              <w:left w:val="nil"/>
              <w:bottom w:val="single" w:sz="4" w:space="0" w:color="auto"/>
              <w:right w:val="single" w:sz="4" w:space="0" w:color="auto"/>
            </w:tcBorders>
            <w:shd w:val="clear" w:color="auto" w:fill="auto"/>
            <w:noWrap/>
            <w:vAlign w:val="bottom"/>
            <w:hideMark/>
          </w:tcPr>
          <w:p w14:paraId="4023366E"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9898,97</w:t>
            </w:r>
          </w:p>
        </w:tc>
        <w:tc>
          <w:tcPr>
            <w:tcW w:w="850" w:type="dxa"/>
            <w:tcBorders>
              <w:top w:val="nil"/>
              <w:left w:val="nil"/>
              <w:bottom w:val="single" w:sz="4" w:space="0" w:color="auto"/>
              <w:right w:val="single" w:sz="4" w:space="0" w:color="auto"/>
            </w:tcBorders>
            <w:shd w:val="clear" w:color="auto" w:fill="auto"/>
            <w:noWrap/>
            <w:vAlign w:val="bottom"/>
            <w:hideMark/>
          </w:tcPr>
          <w:p w14:paraId="21EBE737"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8586,24</w:t>
            </w:r>
          </w:p>
        </w:tc>
        <w:tc>
          <w:tcPr>
            <w:tcW w:w="851" w:type="dxa"/>
            <w:tcBorders>
              <w:top w:val="nil"/>
              <w:left w:val="nil"/>
              <w:bottom w:val="single" w:sz="4" w:space="0" w:color="auto"/>
              <w:right w:val="single" w:sz="4" w:space="0" w:color="auto"/>
            </w:tcBorders>
            <w:shd w:val="clear" w:color="auto" w:fill="auto"/>
            <w:noWrap/>
            <w:vAlign w:val="bottom"/>
            <w:hideMark/>
          </w:tcPr>
          <w:p w14:paraId="7211E6DE" w14:textId="77777777" w:rsidR="00827437" w:rsidRPr="0058218D" w:rsidRDefault="00827437" w:rsidP="006B5361">
            <w:pPr>
              <w:spacing w:after="0" w:line="240" w:lineRule="auto"/>
              <w:ind w:left="-250"/>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10659,88</w:t>
            </w:r>
          </w:p>
        </w:tc>
        <w:tc>
          <w:tcPr>
            <w:tcW w:w="851" w:type="dxa"/>
            <w:tcBorders>
              <w:top w:val="nil"/>
              <w:left w:val="nil"/>
              <w:bottom w:val="single" w:sz="4" w:space="0" w:color="auto"/>
              <w:right w:val="single" w:sz="4" w:space="0" w:color="auto"/>
            </w:tcBorders>
            <w:shd w:val="clear" w:color="auto" w:fill="auto"/>
            <w:noWrap/>
            <w:vAlign w:val="bottom"/>
            <w:hideMark/>
          </w:tcPr>
          <w:p w14:paraId="33D2D433"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8911,33</w:t>
            </w:r>
          </w:p>
        </w:tc>
        <w:tc>
          <w:tcPr>
            <w:tcW w:w="851" w:type="dxa"/>
            <w:tcBorders>
              <w:top w:val="nil"/>
              <w:left w:val="nil"/>
              <w:bottom w:val="single" w:sz="4" w:space="0" w:color="auto"/>
              <w:right w:val="single" w:sz="4" w:space="0" w:color="auto"/>
            </w:tcBorders>
            <w:shd w:val="clear" w:color="auto" w:fill="auto"/>
            <w:noWrap/>
            <w:vAlign w:val="bottom"/>
            <w:hideMark/>
          </w:tcPr>
          <w:p w14:paraId="3A23849D"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9121,77</w:t>
            </w:r>
          </w:p>
        </w:tc>
        <w:tc>
          <w:tcPr>
            <w:tcW w:w="850" w:type="dxa"/>
            <w:tcBorders>
              <w:top w:val="nil"/>
              <w:left w:val="nil"/>
              <w:bottom w:val="single" w:sz="4" w:space="0" w:color="auto"/>
              <w:right w:val="single" w:sz="4" w:space="0" w:color="auto"/>
            </w:tcBorders>
            <w:shd w:val="clear" w:color="auto" w:fill="auto"/>
            <w:noWrap/>
            <w:vAlign w:val="bottom"/>
            <w:hideMark/>
          </w:tcPr>
          <w:p w14:paraId="7FA35DF0"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760,91</w:t>
            </w:r>
          </w:p>
        </w:tc>
        <w:tc>
          <w:tcPr>
            <w:tcW w:w="801" w:type="dxa"/>
            <w:tcBorders>
              <w:top w:val="nil"/>
              <w:left w:val="nil"/>
              <w:bottom w:val="single" w:sz="4" w:space="0" w:color="auto"/>
              <w:right w:val="single" w:sz="4" w:space="0" w:color="auto"/>
            </w:tcBorders>
            <w:shd w:val="clear" w:color="auto" w:fill="auto"/>
            <w:noWrap/>
            <w:vAlign w:val="bottom"/>
            <w:hideMark/>
          </w:tcPr>
          <w:p w14:paraId="3957B766"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107,69</w:t>
            </w:r>
          </w:p>
        </w:tc>
        <w:tc>
          <w:tcPr>
            <w:tcW w:w="790" w:type="dxa"/>
            <w:tcBorders>
              <w:top w:val="nil"/>
              <w:left w:val="nil"/>
              <w:bottom w:val="single" w:sz="4" w:space="0" w:color="auto"/>
              <w:right w:val="single" w:sz="4" w:space="0" w:color="auto"/>
            </w:tcBorders>
            <w:shd w:val="clear" w:color="auto" w:fill="auto"/>
            <w:noWrap/>
            <w:vAlign w:val="bottom"/>
            <w:hideMark/>
          </w:tcPr>
          <w:p w14:paraId="75239D97"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2073,64</w:t>
            </w:r>
          </w:p>
        </w:tc>
        <w:tc>
          <w:tcPr>
            <w:tcW w:w="769" w:type="dxa"/>
            <w:tcBorders>
              <w:top w:val="nil"/>
              <w:left w:val="nil"/>
              <w:bottom w:val="single" w:sz="4" w:space="0" w:color="auto"/>
              <w:right w:val="single" w:sz="4" w:space="0" w:color="auto"/>
            </w:tcBorders>
            <w:shd w:val="clear" w:color="auto" w:fill="auto"/>
            <w:noWrap/>
            <w:vAlign w:val="bottom"/>
            <w:hideMark/>
          </w:tcPr>
          <w:p w14:paraId="7261AC61"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124,15</w:t>
            </w:r>
          </w:p>
        </w:tc>
      </w:tr>
      <w:tr w:rsidR="00827437" w:rsidRPr="00F042AC" w14:paraId="7253F68E"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45CDB814"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"Развитие системы оказания первичной медико-санитарной помощи"</w:t>
            </w:r>
          </w:p>
        </w:tc>
        <w:tc>
          <w:tcPr>
            <w:tcW w:w="993" w:type="dxa"/>
            <w:tcBorders>
              <w:top w:val="nil"/>
              <w:left w:val="nil"/>
              <w:bottom w:val="single" w:sz="4" w:space="0" w:color="auto"/>
              <w:right w:val="single" w:sz="4" w:space="0" w:color="auto"/>
            </w:tcBorders>
            <w:shd w:val="clear" w:color="auto" w:fill="auto"/>
            <w:noWrap/>
            <w:vAlign w:val="bottom"/>
            <w:hideMark/>
          </w:tcPr>
          <w:p w14:paraId="001BAFD6"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333,49</w:t>
            </w:r>
          </w:p>
        </w:tc>
        <w:tc>
          <w:tcPr>
            <w:tcW w:w="850" w:type="dxa"/>
            <w:tcBorders>
              <w:top w:val="nil"/>
              <w:left w:val="nil"/>
              <w:bottom w:val="single" w:sz="4" w:space="0" w:color="auto"/>
              <w:right w:val="single" w:sz="4" w:space="0" w:color="auto"/>
            </w:tcBorders>
            <w:shd w:val="clear" w:color="auto" w:fill="auto"/>
            <w:noWrap/>
            <w:vAlign w:val="bottom"/>
            <w:hideMark/>
          </w:tcPr>
          <w:p w14:paraId="41354CAE"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394,84</w:t>
            </w:r>
          </w:p>
        </w:tc>
        <w:tc>
          <w:tcPr>
            <w:tcW w:w="850" w:type="dxa"/>
            <w:tcBorders>
              <w:top w:val="nil"/>
              <w:left w:val="nil"/>
              <w:bottom w:val="single" w:sz="4" w:space="0" w:color="auto"/>
              <w:right w:val="single" w:sz="4" w:space="0" w:color="auto"/>
            </w:tcBorders>
            <w:shd w:val="clear" w:color="auto" w:fill="auto"/>
            <w:noWrap/>
            <w:vAlign w:val="bottom"/>
            <w:hideMark/>
          </w:tcPr>
          <w:p w14:paraId="34CB81E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105,00</w:t>
            </w:r>
          </w:p>
        </w:tc>
        <w:tc>
          <w:tcPr>
            <w:tcW w:w="851" w:type="dxa"/>
            <w:tcBorders>
              <w:top w:val="nil"/>
              <w:left w:val="nil"/>
              <w:bottom w:val="single" w:sz="4" w:space="0" w:color="auto"/>
              <w:right w:val="single" w:sz="4" w:space="0" w:color="auto"/>
            </w:tcBorders>
            <w:shd w:val="clear" w:color="auto" w:fill="auto"/>
            <w:noWrap/>
            <w:vAlign w:val="bottom"/>
            <w:hideMark/>
          </w:tcPr>
          <w:p w14:paraId="7E448410"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143,99</w:t>
            </w:r>
          </w:p>
        </w:tc>
        <w:tc>
          <w:tcPr>
            <w:tcW w:w="851" w:type="dxa"/>
            <w:tcBorders>
              <w:top w:val="nil"/>
              <w:left w:val="nil"/>
              <w:bottom w:val="single" w:sz="4" w:space="0" w:color="auto"/>
              <w:right w:val="single" w:sz="4" w:space="0" w:color="auto"/>
            </w:tcBorders>
            <w:shd w:val="clear" w:color="auto" w:fill="auto"/>
            <w:noWrap/>
            <w:vAlign w:val="bottom"/>
            <w:hideMark/>
          </w:tcPr>
          <w:p w14:paraId="258B5CA4"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105,00</w:t>
            </w:r>
          </w:p>
        </w:tc>
        <w:tc>
          <w:tcPr>
            <w:tcW w:w="851" w:type="dxa"/>
            <w:tcBorders>
              <w:top w:val="nil"/>
              <w:left w:val="nil"/>
              <w:bottom w:val="single" w:sz="4" w:space="0" w:color="auto"/>
              <w:right w:val="single" w:sz="4" w:space="0" w:color="auto"/>
            </w:tcBorders>
            <w:shd w:val="clear" w:color="auto" w:fill="auto"/>
            <w:noWrap/>
            <w:vAlign w:val="bottom"/>
            <w:hideMark/>
          </w:tcPr>
          <w:p w14:paraId="6E6DB8B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105,00</w:t>
            </w:r>
          </w:p>
        </w:tc>
        <w:tc>
          <w:tcPr>
            <w:tcW w:w="850" w:type="dxa"/>
            <w:tcBorders>
              <w:top w:val="nil"/>
              <w:left w:val="nil"/>
              <w:bottom w:val="single" w:sz="4" w:space="0" w:color="auto"/>
              <w:right w:val="single" w:sz="4" w:space="0" w:color="auto"/>
            </w:tcBorders>
            <w:shd w:val="clear" w:color="auto" w:fill="auto"/>
            <w:noWrap/>
            <w:vAlign w:val="bottom"/>
            <w:hideMark/>
          </w:tcPr>
          <w:p w14:paraId="025567EF"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-250,85</w:t>
            </w:r>
          </w:p>
        </w:tc>
        <w:tc>
          <w:tcPr>
            <w:tcW w:w="801" w:type="dxa"/>
            <w:tcBorders>
              <w:top w:val="nil"/>
              <w:left w:val="nil"/>
              <w:bottom w:val="single" w:sz="4" w:space="0" w:color="auto"/>
              <w:right w:val="single" w:sz="4" w:space="0" w:color="auto"/>
            </w:tcBorders>
            <w:shd w:val="clear" w:color="auto" w:fill="auto"/>
            <w:noWrap/>
            <w:vAlign w:val="bottom"/>
            <w:hideMark/>
          </w:tcPr>
          <w:p w14:paraId="2180E8B5"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36,47</w:t>
            </w:r>
          </w:p>
        </w:tc>
        <w:tc>
          <w:tcPr>
            <w:tcW w:w="790" w:type="dxa"/>
            <w:tcBorders>
              <w:top w:val="nil"/>
              <w:left w:val="nil"/>
              <w:bottom w:val="single" w:sz="4" w:space="0" w:color="auto"/>
              <w:right w:val="single" w:sz="4" w:space="0" w:color="auto"/>
            </w:tcBorders>
            <w:shd w:val="clear" w:color="auto" w:fill="auto"/>
            <w:noWrap/>
            <w:vAlign w:val="bottom"/>
            <w:hideMark/>
          </w:tcPr>
          <w:p w14:paraId="696C3A06"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38,99</w:t>
            </w:r>
          </w:p>
        </w:tc>
        <w:tc>
          <w:tcPr>
            <w:tcW w:w="769" w:type="dxa"/>
            <w:tcBorders>
              <w:top w:val="nil"/>
              <w:left w:val="nil"/>
              <w:bottom w:val="single" w:sz="4" w:space="0" w:color="auto"/>
              <w:right w:val="single" w:sz="4" w:space="0" w:color="auto"/>
            </w:tcBorders>
            <w:shd w:val="clear" w:color="auto" w:fill="auto"/>
            <w:noWrap/>
            <w:vAlign w:val="bottom"/>
            <w:hideMark/>
          </w:tcPr>
          <w:p w14:paraId="77FAF9F4"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137,13</w:t>
            </w:r>
          </w:p>
        </w:tc>
      </w:tr>
      <w:tr w:rsidR="00827437" w:rsidRPr="00F042AC" w14:paraId="20A7B192"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1A269B9A"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"Борьба с онкологическими заболеваниями"</w:t>
            </w:r>
          </w:p>
        </w:tc>
        <w:tc>
          <w:tcPr>
            <w:tcW w:w="993" w:type="dxa"/>
            <w:tcBorders>
              <w:top w:val="nil"/>
              <w:left w:val="nil"/>
              <w:bottom w:val="single" w:sz="4" w:space="0" w:color="auto"/>
              <w:right w:val="single" w:sz="4" w:space="0" w:color="auto"/>
            </w:tcBorders>
            <w:shd w:val="clear" w:color="auto" w:fill="auto"/>
            <w:noWrap/>
            <w:vAlign w:val="bottom"/>
            <w:hideMark/>
          </w:tcPr>
          <w:p w14:paraId="562C19B8"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273,81</w:t>
            </w:r>
          </w:p>
        </w:tc>
        <w:tc>
          <w:tcPr>
            <w:tcW w:w="850" w:type="dxa"/>
            <w:tcBorders>
              <w:top w:val="nil"/>
              <w:left w:val="nil"/>
              <w:bottom w:val="single" w:sz="4" w:space="0" w:color="auto"/>
              <w:right w:val="single" w:sz="4" w:space="0" w:color="auto"/>
            </w:tcBorders>
            <w:shd w:val="clear" w:color="auto" w:fill="auto"/>
            <w:noWrap/>
            <w:vAlign w:val="bottom"/>
            <w:hideMark/>
          </w:tcPr>
          <w:p w14:paraId="74E37937"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273,81</w:t>
            </w:r>
          </w:p>
        </w:tc>
        <w:tc>
          <w:tcPr>
            <w:tcW w:w="850" w:type="dxa"/>
            <w:tcBorders>
              <w:top w:val="nil"/>
              <w:left w:val="nil"/>
              <w:bottom w:val="single" w:sz="4" w:space="0" w:color="auto"/>
              <w:right w:val="single" w:sz="4" w:space="0" w:color="auto"/>
            </w:tcBorders>
            <w:shd w:val="clear" w:color="auto" w:fill="auto"/>
            <w:noWrap/>
            <w:vAlign w:val="bottom"/>
            <w:hideMark/>
          </w:tcPr>
          <w:p w14:paraId="55AE16DC"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327,59</w:t>
            </w:r>
          </w:p>
        </w:tc>
        <w:tc>
          <w:tcPr>
            <w:tcW w:w="851" w:type="dxa"/>
            <w:tcBorders>
              <w:top w:val="nil"/>
              <w:left w:val="nil"/>
              <w:bottom w:val="single" w:sz="4" w:space="0" w:color="auto"/>
              <w:right w:val="single" w:sz="4" w:space="0" w:color="auto"/>
            </w:tcBorders>
            <w:shd w:val="clear" w:color="auto" w:fill="auto"/>
            <w:noWrap/>
            <w:vAlign w:val="bottom"/>
            <w:hideMark/>
          </w:tcPr>
          <w:p w14:paraId="12AFD4B6"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301,23</w:t>
            </w:r>
          </w:p>
        </w:tc>
        <w:tc>
          <w:tcPr>
            <w:tcW w:w="851" w:type="dxa"/>
            <w:tcBorders>
              <w:top w:val="nil"/>
              <w:left w:val="nil"/>
              <w:bottom w:val="single" w:sz="4" w:space="0" w:color="auto"/>
              <w:right w:val="single" w:sz="4" w:space="0" w:color="auto"/>
            </w:tcBorders>
            <w:shd w:val="clear" w:color="auto" w:fill="auto"/>
            <w:noWrap/>
            <w:vAlign w:val="bottom"/>
            <w:hideMark/>
          </w:tcPr>
          <w:p w14:paraId="7E7FF4F9"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78,26</w:t>
            </w:r>
          </w:p>
        </w:tc>
        <w:tc>
          <w:tcPr>
            <w:tcW w:w="851" w:type="dxa"/>
            <w:tcBorders>
              <w:top w:val="nil"/>
              <w:left w:val="nil"/>
              <w:bottom w:val="single" w:sz="4" w:space="0" w:color="auto"/>
              <w:right w:val="single" w:sz="4" w:space="0" w:color="auto"/>
            </w:tcBorders>
            <w:shd w:val="clear" w:color="auto" w:fill="auto"/>
            <w:noWrap/>
            <w:vAlign w:val="bottom"/>
            <w:hideMark/>
          </w:tcPr>
          <w:p w14:paraId="0DE5F0C4"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63,91</w:t>
            </w:r>
          </w:p>
        </w:tc>
        <w:tc>
          <w:tcPr>
            <w:tcW w:w="850" w:type="dxa"/>
            <w:tcBorders>
              <w:top w:val="nil"/>
              <w:left w:val="nil"/>
              <w:bottom w:val="single" w:sz="4" w:space="0" w:color="auto"/>
              <w:right w:val="single" w:sz="4" w:space="0" w:color="auto"/>
            </w:tcBorders>
            <w:shd w:val="clear" w:color="auto" w:fill="auto"/>
            <w:noWrap/>
            <w:vAlign w:val="bottom"/>
            <w:hideMark/>
          </w:tcPr>
          <w:p w14:paraId="49524FDE"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27,42</w:t>
            </w:r>
          </w:p>
        </w:tc>
        <w:tc>
          <w:tcPr>
            <w:tcW w:w="801" w:type="dxa"/>
            <w:tcBorders>
              <w:top w:val="nil"/>
              <w:left w:val="nil"/>
              <w:bottom w:val="single" w:sz="4" w:space="0" w:color="auto"/>
              <w:right w:val="single" w:sz="4" w:space="0" w:color="auto"/>
            </w:tcBorders>
            <w:shd w:val="clear" w:color="auto" w:fill="auto"/>
            <w:noWrap/>
            <w:vAlign w:val="bottom"/>
            <w:hideMark/>
          </w:tcPr>
          <w:p w14:paraId="75CEC81E"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110,01</w:t>
            </w:r>
          </w:p>
        </w:tc>
        <w:tc>
          <w:tcPr>
            <w:tcW w:w="790" w:type="dxa"/>
            <w:tcBorders>
              <w:top w:val="nil"/>
              <w:left w:val="nil"/>
              <w:bottom w:val="single" w:sz="4" w:space="0" w:color="auto"/>
              <w:right w:val="single" w:sz="4" w:space="0" w:color="auto"/>
            </w:tcBorders>
            <w:shd w:val="clear" w:color="auto" w:fill="auto"/>
            <w:noWrap/>
            <w:vAlign w:val="bottom"/>
            <w:hideMark/>
          </w:tcPr>
          <w:p w14:paraId="18E02A40"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-26,36</w:t>
            </w:r>
          </w:p>
        </w:tc>
        <w:tc>
          <w:tcPr>
            <w:tcW w:w="769" w:type="dxa"/>
            <w:tcBorders>
              <w:top w:val="nil"/>
              <w:left w:val="nil"/>
              <w:bottom w:val="single" w:sz="4" w:space="0" w:color="auto"/>
              <w:right w:val="single" w:sz="4" w:space="0" w:color="auto"/>
            </w:tcBorders>
            <w:shd w:val="clear" w:color="auto" w:fill="auto"/>
            <w:noWrap/>
            <w:vAlign w:val="bottom"/>
            <w:hideMark/>
          </w:tcPr>
          <w:p w14:paraId="6AC19CC2"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91,95</w:t>
            </w:r>
          </w:p>
        </w:tc>
      </w:tr>
      <w:tr w:rsidR="00827437" w:rsidRPr="00F042AC" w14:paraId="3906F76E"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5C53E183"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"Развитие детского здравоохранения, включая создание современной инфраструктуры оказания медицинской помощи детям"</w:t>
            </w:r>
          </w:p>
        </w:tc>
        <w:tc>
          <w:tcPr>
            <w:tcW w:w="993" w:type="dxa"/>
            <w:tcBorders>
              <w:top w:val="nil"/>
              <w:left w:val="nil"/>
              <w:bottom w:val="single" w:sz="4" w:space="0" w:color="auto"/>
              <w:right w:val="single" w:sz="4" w:space="0" w:color="auto"/>
            </w:tcBorders>
            <w:shd w:val="clear" w:color="auto" w:fill="auto"/>
            <w:noWrap/>
            <w:vAlign w:val="bottom"/>
            <w:hideMark/>
          </w:tcPr>
          <w:p w14:paraId="18FF56A1"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26,30</w:t>
            </w:r>
          </w:p>
        </w:tc>
        <w:tc>
          <w:tcPr>
            <w:tcW w:w="850" w:type="dxa"/>
            <w:tcBorders>
              <w:top w:val="nil"/>
              <w:left w:val="nil"/>
              <w:bottom w:val="single" w:sz="4" w:space="0" w:color="auto"/>
              <w:right w:val="single" w:sz="4" w:space="0" w:color="auto"/>
            </w:tcBorders>
            <w:shd w:val="clear" w:color="auto" w:fill="auto"/>
            <w:noWrap/>
            <w:vAlign w:val="bottom"/>
            <w:hideMark/>
          </w:tcPr>
          <w:p w14:paraId="16AB1184"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26,30</w:t>
            </w:r>
          </w:p>
        </w:tc>
        <w:tc>
          <w:tcPr>
            <w:tcW w:w="850" w:type="dxa"/>
            <w:tcBorders>
              <w:top w:val="nil"/>
              <w:left w:val="nil"/>
              <w:bottom w:val="single" w:sz="4" w:space="0" w:color="auto"/>
              <w:right w:val="single" w:sz="4" w:space="0" w:color="auto"/>
            </w:tcBorders>
            <w:shd w:val="clear" w:color="auto" w:fill="auto"/>
            <w:noWrap/>
            <w:vAlign w:val="bottom"/>
            <w:hideMark/>
          </w:tcPr>
          <w:p w14:paraId="3BCBC32E"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31,30</w:t>
            </w:r>
          </w:p>
        </w:tc>
        <w:tc>
          <w:tcPr>
            <w:tcW w:w="851" w:type="dxa"/>
            <w:tcBorders>
              <w:top w:val="nil"/>
              <w:left w:val="nil"/>
              <w:bottom w:val="single" w:sz="4" w:space="0" w:color="auto"/>
              <w:right w:val="single" w:sz="4" w:space="0" w:color="auto"/>
            </w:tcBorders>
            <w:shd w:val="clear" w:color="auto" w:fill="auto"/>
            <w:noWrap/>
            <w:vAlign w:val="bottom"/>
            <w:hideMark/>
          </w:tcPr>
          <w:p w14:paraId="130B8777"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31,30</w:t>
            </w:r>
          </w:p>
        </w:tc>
        <w:tc>
          <w:tcPr>
            <w:tcW w:w="851" w:type="dxa"/>
            <w:tcBorders>
              <w:top w:val="nil"/>
              <w:left w:val="nil"/>
              <w:bottom w:val="single" w:sz="4" w:space="0" w:color="auto"/>
              <w:right w:val="single" w:sz="4" w:space="0" w:color="auto"/>
            </w:tcBorders>
            <w:shd w:val="clear" w:color="auto" w:fill="auto"/>
            <w:noWrap/>
            <w:vAlign w:val="bottom"/>
            <w:hideMark/>
          </w:tcPr>
          <w:p w14:paraId="3C58AC35"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31,30</w:t>
            </w:r>
          </w:p>
        </w:tc>
        <w:tc>
          <w:tcPr>
            <w:tcW w:w="851" w:type="dxa"/>
            <w:tcBorders>
              <w:top w:val="nil"/>
              <w:left w:val="nil"/>
              <w:bottom w:val="single" w:sz="4" w:space="0" w:color="auto"/>
              <w:right w:val="single" w:sz="4" w:space="0" w:color="auto"/>
            </w:tcBorders>
            <w:shd w:val="clear" w:color="auto" w:fill="auto"/>
            <w:noWrap/>
            <w:vAlign w:val="bottom"/>
            <w:hideMark/>
          </w:tcPr>
          <w:p w14:paraId="30D34E23"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31,30</w:t>
            </w:r>
          </w:p>
        </w:tc>
        <w:tc>
          <w:tcPr>
            <w:tcW w:w="850" w:type="dxa"/>
            <w:tcBorders>
              <w:top w:val="nil"/>
              <w:left w:val="nil"/>
              <w:bottom w:val="single" w:sz="4" w:space="0" w:color="auto"/>
              <w:right w:val="single" w:sz="4" w:space="0" w:color="auto"/>
            </w:tcBorders>
            <w:shd w:val="clear" w:color="auto" w:fill="auto"/>
            <w:noWrap/>
            <w:vAlign w:val="bottom"/>
            <w:hideMark/>
          </w:tcPr>
          <w:p w14:paraId="3569693C"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5,00</w:t>
            </w:r>
          </w:p>
        </w:tc>
        <w:tc>
          <w:tcPr>
            <w:tcW w:w="801" w:type="dxa"/>
            <w:tcBorders>
              <w:top w:val="nil"/>
              <w:left w:val="nil"/>
              <w:bottom w:val="single" w:sz="4" w:space="0" w:color="auto"/>
              <w:right w:val="single" w:sz="4" w:space="0" w:color="auto"/>
            </w:tcBorders>
            <w:shd w:val="clear" w:color="auto" w:fill="auto"/>
            <w:noWrap/>
            <w:vAlign w:val="bottom"/>
            <w:hideMark/>
          </w:tcPr>
          <w:p w14:paraId="27F6F871"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119,01</w:t>
            </w:r>
          </w:p>
        </w:tc>
        <w:tc>
          <w:tcPr>
            <w:tcW w:w="790" w:type="dxa"/>
            <w:tcBorders>
              <w:top w:val="nil"/>
              <w:left w:val="nil"/>
              <w:bottom w:val="single" w:sz="4" w:space="0" w:color="auto"/>
              <w:right w:val="single" w:sz="4" w:space="0" w:color="auto"/>
            </w:tcBorders>
            <w:shd w:val="clear" w:color="auto" w:fill="auto"/>
            <w:noWrap/>
            <w:vAlign w:val="bottom"/>
            <w:hideMark/>
          </w:tcPr>
          <w:p w14:paraId="48A5D221"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0,00</w:t>
            </w:r>
          </w:p>
        </w:tc>
        <w:tc>
          <w:tcPr>
            <w:tcW w:w="769" w:type="dxa"/>
            <w:tcBorders>
              <w:top w:val="nil"/>
              <w:left w:val="nil"/>
              <w:bottom w:val="single" w:sz="4" w:space="0" w:color="auto"/>
              <w:right w:val="single" w:sz="4" w:space="0" w:color="auto"/>
            </w:tcBorders>
            <w:shd w:val="clear" w:color="auto" w:fill="auto"/>
            <w:noWrap/>
            <w:vAlign w:val="bottom"/>
            <w:hideMark/>
          </w:tcPr>
          <w:p w14:paraId="1C7B15FB"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100,00</w:t>
            </w:r>
          </w:p>
        </w:tc>
      </w:tr>
      <w:tr w:rsidR="00827437" w:rsidRPr="00F042AC" w14:paraId="24614563"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5B4F081B" w14:textId="77777777" w:rsidR="00827437" w:rsidRPr="0058218D" w:rsidRDefault="00827437" w:rsidP="00E40BEE">
            <w:pPr>
              <w:spacing w:after="0" w:line="240" w:lineRule="auto"/>
              <w:rPr>
                <w:rFonts w:ascii="Times New Roman" w:eastAsia="Times New Roman" w:hAnsi="Times New Roman" w:cs="Times New Roman"/>
                <w:bCs/>
                <w:sz w:val="19"/>
                <w:szCs w:val="19"/>
                <w:lang w:eastAsia="ru-RU"/>
              </w:rPr>
            </w:pPr>
            <w:r w:rsidRPr="0058218D">
              <w:rPr>
                <w:rFonts w:ascii="Times New Roman" w:eastAsia="Times New Roman" w:hAnsi="Times New Roman" w:cs="Times New Roman"/>
                <w:bCs/>
                <w:sz w:val="19"/>
                <w:szCs w:val="19"/>
                <w:lang w:eastAsia="ru-RU"/>
              </w:rPr>
              <w:t>Подпрограмма "Совершенствование медицинской помощи, укрепление здоровья населения и формирование здорового образа жизни"</w:t>
            </w:r>
          </w:p>
        </w:tc>
        <w:tc>
          <w:tcPr>
            <w:tcW w:w="993" w:type="dxa"/>
            <w:tcBorders>
              <w:top w:val="nil"/>
              <w:left w:val="nil"/>
              <w:bottom w:val="single" w:sz="4" w:space="0" w:color="auto"/>
              <w:right w:val="single" w:sz="4" w:space="0" w:color="auto"/>
            </w:tcBorders>
            <w:shd w:val="clear" w:color="auto" w:fill="auto"/>
            <w:noWrap/>
            <w:vAlign w:val="bottom"/>
            <w:hideMark/>
          </w:tcPr>
          <w:p w14:paraId="01F6E927"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14997,90</w:t>
            </w:r>
          </w:p>
        </w:tc>
        <w:tc>
          <w:tcPr>
            <w:tcW w:w="850" w:type="dxa"/>
            <w:tcBorders>
              <w:top w:val="nil"/>
              <w:left w:val="nil"/>
              <w:bottom w:val="single" w:sz="4" w:space="0" w:color="auto"/>
              <w:right w:val="single" w:sz="4" w:space="0" w:color="auto"/>
            </w:tcBorders>
            <w:shd w:val="clear" w:color="auto" w:fill="auto"/>
            <w:noWrap/>
            <w:vAlign w:val="bottom"/>
            <w:hideMark/>
          </w:tcPr>
          <w:p w14:paraId="785B1B83"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16779,83</w:t>
            </w:r>
          </w:p>
        </w:tc>
        <w:tc>
          <w:tcPr>
            <w:tcW w:w="850" w:type="dxa"/>
            <w:tcBorders>
              <w:top w:val="nil"/>
              <w:left w:val="nil"/>
              <w:bottom w:val="single" w:sz="4" w:space="0" w:color="auto"/>
              <w:right w:val="single" w:sz="4" w:space="0" w:color="auto"/>
            </w:tcBorders>
            <w:shd w:val="clear" w:color="auto" w:fill="auto"/>
            <w:noWrap/>
            <w:vAlign w:val="bottom"/>
            <w:hideMark/>
          </w:tcPr>
          <w:p w14:paraId="5A3B6016"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15513,51</w:t>
            </w:r>
          </w:p>
        </w:tc>
        <w:tc>
          <w:tcPr>
            <w:tcW w:w="851" w:type="dxa"/>
            <w:tcBorders>
              <w:top w:val="nil"/>
              <w:left w:val="nil"/>
              <w:bottom w:val="single" w:sz="4" w:space="0" w:color="auto"/>
              <w:right w:val="single" w:sz="4" w:space="0" w:color="auto"/>
            </w:tcBorders>
            <w:shd w:val="clear" w:color="auto" w:fill="auto"/>
            <w:noWrap/>
            <w:vAlign w:val="bottom"/>
            <w:hideMark/>
          </w:tcPr>
          <w:p w14:paraId="32E20156"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16142,76</w:t>
            </w:r>
          </w:p>
        </w:tc>
        <w:tc>
          <w:tcPr>
            <w:tcW w:w="851" w:type="dxa"/>
            <w:tcBorders>
              <w:top w:val="nil"/>
              <w:left w:val="nil"/>
              <w:bottom w:val="single" w:sz="4" w:space="0" w:color="auto"/>
              <w:right w:val="single" w:sz="4" w:space="0" w:color="auto"/>
            </w:tcBorders>
            <w:shd w:val="clear" w:color="auto" w:fill="auto"/>
            <w:noWrap/>
            <w:vAlign w:val="bottom"/>
            <w:hideMark/>
          </w:tcPr>
          <w:p w14:paraId="235A15D0"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15805,39</w:t>
            </w:r>
          </w:p>
        </w:tc>
        <w:tc>
          <w:tcPr>
            <w:tcW w:w="851" w:type="dxa"/>
            <w:tcBorders>
              <w:top w:val="nil"/>
              <w:left w:val="nil"/>
              <w:bottom w:val="single" w:sz="4" w:space="0" w:color="auto"/>
              <w:right w:val="single" w:sz="4" w:space="0" w:color="auto"/>
            </w:tcBorders>
            <w:shd w:val="clear" w:color="auto" w:fill="auto"/>
            <w:noWrap/>
            <w:vAlign w:val="bottom"/>
            <w:hideMark/>
          </w:tcPr>
          <w:p w14:paraId="520390AC" w14:textId="77777777" w:rsidR="00827437" w:rsidRPr="0058218D" w:rsidRDefault="00827437" w:rsidP="00F042AC">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16506,96</w:t>
            </w:r>
          </w:p>
        </w:tc>
        <w:tc>
          <w:tcPr>
            <w:tcW w:w="850" w:type="dxa"/>
            <w:tcBorders>
              <w:top w:val="nil"/>
              <w:left w:val="nil"/>
              <w:bottom w:val="single" w:sz="4" w:space="0" w:color="auto"/>
              <w:right w:val="single" w:sz="4" w:space="0" w:color="auto"/>
            </w:tcBorders>
            <w:shd w:val="clear" w:color="auto" w:fill="auto"/>
            <w:noWrap/>
            <w:vAlign w:val="bottom"/>
            <w:hideMark/>
          </w:tcPr>
          <w:p w14:paraId="6DD1F498"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-637,07</w:t>
            </w:r>
          </w:p>
        </w:tc>
        <w:tc>
          <w:tcPr>
            <w:tcW w:w="801" w:type="dxa"/>
            <w:tcBorders>
              <w:top w:val="nil"/>
              <w:left w:val="nil"/>
              <w:bottom w:val="single" w:sz="4" w:space="0" w:color="auto"/>
              <w:right w:val="single" w:sz="4" w:space="0" w:color="auto"/>
            </w:tcBorders>
            <w:shd w:val="clear" w:color="auto" w:fill="auto"/>
            <w:noWrap/>
            <w:vAlign w:val="bottom"/>
            <w:hideMark/>
          </w:tcPr>
          <w:p w14:paraId="2AA14A74"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96,20</w:t>
            </w:r>
          </w:p>
        </w:tc>
        <w:tc>
          <w:tcPr>
            <w:tcW w:w="790" w:type="dxa"/>
            <w:tcBorders>
              <w:top w:val="nil"/>
              <w:left w:val="nil"/>
              <w:bottom w:val="single" w:sz="4" w:space="0" w:color="auto"/>
              <w:right w:val="single" w:sz="4" w:space="0" w:color="auto"/>
            </w:tcBorders>
            <w:shd w:val="clear" w:color="auto" w:fill="auto"/>
            <w:noWrap/>
            <w:vAlign w:val="bottom"/>
            <w:hideMark/>
          </w:tcPr>
          <w:p w14:paraId="08B218E3"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629,25</w:t>
            </w:r>
          </w:p>
        </w:tc>
        <w:tc>
          <w:tcPr>
            <w:tcW w:w="769" w:type="dxa"/>
            <w:tcBorders>
              <w:top w:val="nil"/>
              <w:left w:val="nil"/>
              <w:bottom w:val="single" w:sz="4" w:space="0" w:color="auto"/>
              <w:right w:val="single" w:sz="4" w:space="0" w:color="auto"/>
            </w:tcBorders>
            <w:shd w:val="clear" w:color="auto" w:fill="auto"/>
            <w:noWrap/>
            <w:vAlign w:val="bottom"/>
            <w:hideMark/>
          </w:tcPr>
          <w:p w14:paraId="337180A7"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104,06</w:t>
            </w:r>
          </w:p>
        </w:tc>
      </w:tr>
      <w:tr w:rsidR="00827437" w:rsidRPr="00F042AC" w14:paraId="44F41F14"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42AF9BB7"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"Борьба с сердечно-сосудистыми заболеваниями"</w:t>
            </w:r>
          </w:p>
        </w:tc>
        <w:tc>
          <w:tcPr>
            <w:tcW w:w="993" w:type="dxa"/>
            <w:tcBorders>
              <w:top w:val="nil"/>
              <w:left w:val="nil"/>
              <w:bottom w:val="single" w:sz="4" w:space="0" w:color="auto"/>
              <w:right w:val="single" w:sz="4" w:space="0" w:color="auto"/>
            </w:tcBorders>
            <w:shd w:val="clear" w:color="auto" w:fill="auto"/>
            <w:noWrap/>
            <w:vAlign w:val="bottom"/>
            <w:hideMark/>
          </w:tcPr>
          <w:p w14:paraId="65F59086"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292,56</w:t>
            </w:r>
          </w:p>
        </w:tc>
        <w:tc>
          <w:tcPr>
            <w:tcW w:w="850" w:type="dxa"/>
            <w:tcBorders>
              <w:top w:val="nil"/>
              <w:left w:val="nil"/>
              <w:bottom w:val="single" w:sz="4" w:space="0" w:color="auto"/>
              <w:right w:val="single" w:sz="4" w:space="0" w:color="auto"/>
            </w:tcBorders>
            <w:shd w:val="clear" w:color="auto" w:fill="auto"/>
            <w:noWrap/>
            <w:vAlign w:val="bottom"/>
            <w:hideMark/>
          </w:tcPr>
          <w:p w14:paraId="18B644BE"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292,56</w:t>
            </w:r>
          </w:p>
        </w:tc>
        <w:tc>
          <w:tcPr>
            <w:tcW w:w="850" w:type="dxa"/>
            <w:tcBorders>
              <w:top w:val="nil"/>
              <w:left w:val="nil"/>
              <w:bottom w:val="single" w:sz="4" w:space="0" w:color="auto"/>
              <w:right w:val="single" w:sz="4" w:space="0" w:color="auto"/>
            </w:tcBorders>
            <w:shd w:val="clear" w:color="auto" w:fill="auto"/>
            <w:noWrap/>
            <w:vAlign w:val="bottom"/>
            <w:hideMark/>
          </w:tcPr>
          <w:p w14:paraId="2377DB42"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395,21</w:t>
            </w:r>
          </w:p>
        </w:tc>
        <w:tc>
          <w:tcPr>
            <w:tcW w:w="851" w:type="dxa"/>
            <w:tcBorders>
              <w:top w:val="nil"/>
              <w:left w:val="nil"/>
              <w:bottom w:val="single" w:sz="4" w:space="0" w:color="auto"/>
              <w:right w:val="single" w:sz="4" w:space="0" w:color="auto"/>
            </w:tcBorders>
            <w:shd w:val="clear" w:color="auto" w:fill="auto"/>
            <w:noWrap/>
            <w:vAlign w:val="bottom"/>
            <w:hideMark/>
          </w:tcPr>
          <w:p w14:paraId="48232939"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400,76</w:t>
            </w:r>
          </w:p>
        </w:tc>
        <w:tc>
          <w:tcPr>
            <w:tcW w:w="851" w:type="dxa"/>
            <w:tcBorders>
              <w:top w:val="nil"/>
              <w:left w:val="nil"/>
              <w:bottom w:val="single" w:sz="4" w:space="0" w:color="auto"/>
              <w:right w:val="single" w:sz="4" w:space="0" w:color="auto"/>
            </w:tcBorders>
            <w:shd w:val="clear" w:color="auto" w:fill="auto"/>
            <w:noWrap/>
            <w:vAlign w:val="bottom"/>
            <w:hideMark/>
          </w:tcPr>
          <w:p w14:paraId="07F15D08"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278,06</w:t>
            </w:r>
          </w:p>
        </w:tc>
        <w:tc>
          <w:tcPr>
            <w:tcW w:w="851" w:type="dxa"/>
            <w:tcBorders>
              <w:top w:val="nil"/>
              <w:left w:val="nil"/>
              <w:bottom w:val="single" w:sz="4" w:space="0" w:color="auto"/>
              <w:right w:val="single" w:sz="4" w:space="0" w:color="auto"/>
            </w:tcBorders>
            <w:shd w:val="clear" w:color="auto" w:fill="auto"/>
            <w:noWrap/>
            <w:vAlign w:val="bottom"/>
            <w:hideMark/>
          </w:tcPr>
          <w:p w14:paraId="518AAFE8"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427,59</w:t>
            </w:r>
          </w:p>
        </w:tc>
        <w:tc>
          <w:tcPr>
            <w:tcW w:w="850" w:type="dxa"/>
            <w:tcBorders>
              <w:top w:val="nil"/>
              <w:left w:val="nil"/>
              <w:bottom w:val="single" w:sz="4" w:space="0" w:color="auto"/>
              <w:right w:val="single" w:sz="4" w:space="0" w:color="auto"/>
            </w:tcBorders>
            <w:shd w:val="clear" w:color="auto" w:fill="auto"/>
            <w:noWrap/>
            <w:vAlign w:val="bottom"/>
            <w:hideMark/>
          </w:tcPr>
          <w:p w14:paraId="508B335E"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108,20</w:t>
            </w:r>
          </w:p>
        </w:tc>
        <w:tc>
          <w:tcPr>
            <w:tcW w:w="801" w:type="dxa"/>
            <w:tcBorders>
              <w:top w:val="nil"/>
              <w:left w:val="nil"/>
              <w:bottom w:val="single" w:sz="4" w:space="0" w:color="auto"/>
              <w:right w:val="single" w:sz="4" w:space="0" w:color="auto"/>
            </w:tcBorders>
            <w:shd w:val="clear" w:color="auto" w:fill="auto"/>
            <w:noWrap/>
            <w:vAlign w:val="bottom"/>
            <w:hideMark/>
          </w:tcPr>
          <w:p w14:paraId="073E800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136,99</w:t>
            </w:r>
          </w:p>
        </w:tc>
        <w:tc>
          <w:tcPr>
            <w:tcW w:w="790" w:type="dxa"/>
            <w:tcBorders>
              <w:top w:val="nil"/>
              <w:left w:val="nil"/>
              <w:bottom w:val="single" w:sz="4" w:space="0" w:color="auto"/>
              <w:right w:val="single" w:sz="4" w:space="0" w:color="auto"/>
            </w:tcBorders>
            <w:shd w:val="clear" w:color="auto" w:fill="auto"/>
            <w:noWrap/>
            <w:vAlign w:val="bottom"/>
            <w:hideMark/>
          </w:tcPr>
          <w:p w14:paraId="03C369F0"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5,55</w:t>
            </w:r>
          </w:p>
        </w:tc>
        <w:tc>
          <w:tcPr>
            <w:tcW w:w="769" w:type="dxa"/>
            <w:tcBorders>
              <w:top w:val="nil"/>
              <w:left w:val="nil"/>
              <w:bottom w:val="single" w:sz="4" w:space="0" w:color="auto"/>
              <w:right w:val="single" w:sz="4" w:space="0" w:color="auto"/>
            </w:tcBorders>
            <w:shd w:val="clear" w:color="auto" w:fill="auto"/>
            <w:noWrap/>
            <w:vAlign w:val="bottom"/>
            <w:hideMark/>
          </w:tcPr>
          <w:p w14:paraId="7AC3CF49"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101,41</w:t>
            </w:r>
          </w:p>
        </w:tc>
      </w:tr>
      <w:tr w:rsidR="00827437" w:rsidRPr="00F042AC" w14:paraId="10BAA1B1"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645909F8"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"Борьба с онкологическими заболеваниями"</w:t>
            </w:r>
          </w:p>
        </w:tc>
        <w:tc>
          <w:tcPr>
            <w:tcW w:w="993" w:type="dxa"/>
            <w:tcBorders>
              <w:top w:val="nil"/>
              <w:left w:val="nil"/>
              <w:bottom w:val="single" w:sz="4" w:space="0" w:color="auto"/>
              <w:right w:val="single" w:sz="4" w:space="0" w:color="auto"/>
            </w:tcBorders>
            <w:shd w:val="clear" w:color="auto" w:fill="auto"/>
            <w:noWrap/>
            <w:vAlign w:val="bottom"/>
            <w:hideMark/>
          </w:tcPr>
          <w:p w14:paraId="46E068C7"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91,10</w:t>
            </w:r>
          </w:p>
        </w:tc>
        <w:tc>
          <w:tcPr>
            <w:tcW w:w="850" w:type="dxa"/>
            <w:tcBorders>
              <w:top w:val="nil"/>
              <w:left w:val="nil"/>
              <w:bottom w:val="single" w:sz="4" w:space="0" w:color="auto"/>
              <w:right w:val="single" w:sz="4" w:space="0" w:color="auto"/>
            </w:tcBorders>
            <w:shd w:val="clear" w:color="auto" w:fill="auto"/>
            <w:noWrap/>
            <w:vAlign w:val="bottom"/>
            <w:hideMark/>
          </w:tcPr>
          <w:p w14:paraId="2A207389"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91,10</w:t>
            </w:r>
          </w:p>
        </w:tc>
        <w:tc>
          <w:tcPr>
            <w:tcW w:w="850" w:type="dxa"/>
            <w:tcBorders>
              <w:top w:val="nil"/>
              <w:left w:val="nil"/>
              <w:bottom w:val="single" w:sz="4" w:space="0" w:color="auto"/>
              <w:right w:val="single" w:sz="4" w:space="0" w:color="auto"/>
            </w:tcBorders>
            <w:shd w:val="clear" w:color="auto" w:fill="auto"/>
            <w:noWrap/>
            <w:vAlign w:val="bottom"/>
            <w:hideMark/>
          </w:tcPr>
          <w:p w14:paraId="39FD0F0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91,10</w:t>
            </w:r>
          </w:p>
        </w:tc>
        <w:tc>
          <w:tcPr>
            <w:tcW w:w="851" w:type="dxa"/>
            <w:tcBorders>
              <w:top w:val="nil"/>
              <w:left w:val="nil"/>
              <w:bottom w:val="single" w:sz="4" w:space="0" w:color="auto"/>
              <w:right w:val="single" w:sz="4" w:space="0" w:color="auto"/>
            </w:tcBorders>
            <w:shd w:val="clear" w:color="auto" w:fill="auto"/>
            <w:noWrap/>
            <w:vAlign w:val="bottom"/>
            <w:hideMark/>
          </w:tcPr>
          <w:p w14:paraId="3C378672"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392D8EA5"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91,10</w:t>
            </w:r>
          </w:p>
        </w:tc>
        <w:tc>
          <w:tcPr>
            <w:tcW w:w="851" w:type="dxa"/>
            <w:tcBorders>
              <w:top w:val="nil"/>
              <w:left w:val="nil"/>
              <w:bottom w:val="single" w:sz="4" w:space="0" w:color="auto"/>
              <w:right w:val="single" w:sz="4" w:space="0" w:color="auto"/>
            </w:tcBorders>
            <w:shd w:val="clear" w:color="auto" w:fill="auto"/>
            <w:noWrap/>
            <w:vAlign w:val="bottom"/>
            <w:hideMark/>
          </w:tcPr>
          <w:p w14:paraId="23C61181"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91,10</w:t>
            </w:r>
          </w:p>
        </w:tc>
        <w:tc>
          <w:tcPr>
            <w:tcW w:w="850" w:type="dxa"/>
            <w:tcBorders>
              <w:top w:val="nil"/>
              <w:left w:val="nil"/>
              <w:bottom w:val="single" w:sz="4" w:space="0" w:color="auto"/>
              <w:right w:val="single" w:sz="4" w:space="0" w:color="auto"/>
            </w:tcBorders>
            <w:shd w:val="clear" w:color="auto" w:fill="auto"/>
            <w:noWrap/>
            <w:vAlign w:val="bottom"/>
            <w:hideMark/>
          </w:tcPr>
          <w:p w14:paraId="009A593C"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-91,10</w:t>
            </w:r>
          </w:p>
        </w:tc>
        <w:tc>
          <w:tcPr>
            <w:tcW w:w="801" w:type="dxa"/>
            <w:tcBorders>
              <w:top w:val="nil"/>
              <w:left w:val="nil"/>
              <w:bottom w:val="single" w:sz="4" w:space="0" w:color="auto"/>
              <w:right w:val="single" w:sz="4" w:space="0" w:color="auto"/>
            </w:tcBorders>
            <w:shd w:val="clear" w:color="auto" w:fill="auto"/>
            <w:noWrap/>
            <w:vAlign w:val="bottom"/>
            <w:hideMark/>
          </w:tcPr>
          <w:p w14:paraId="3C5DFE55"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0,00</w:t>
            </w:r>
          </w:p>
        </w:tc>
        <w:tc>
          <w:tcPr>
            <w:tcW w:w="790" w:type="dxa"/>
            <w:tcBorders>
              <w:top w:val="nil"/>
              <w:left w:val="nil"/>
              <w:bottom w:val="single" w:sz="4" w:space="0" w:color="auto"/>
              <w:right w:val="single" w:sz="4" w:space="0" w:color="auto"/>
            </w:tcBorders>
            <w:shd w:val="clear" w:color="auto" w:fill="auto"/>
            <w:noWrap/>
            <w:vAlign w:val="bottom"/>
            <w:hideMark/>
          </w:tcPr>
          <w:p w14:paraId="7CF2CACF"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-91,10</w:t>
            </w:r>
          </w:p>
        </w:tc>
        <w:tc>
          <w:tcPr>
            <w:tcW w:w="769" w:type="dxa"/>
            <w:tcBorders>
              <w:top w:val="nil"/>
              <w:left w:val="nil"/>
              <w:bottom w:val="single" w:sz="4" w:space="0" w:color="auto"/>
              <w:right w:val="single" w:sz="4" w:space="0" w:color="auto"/>
            </w:tcBorders>
            <w:shd w:val="clear" w:color="auto" w:fill="auto"/>
            <w:noWrap/>
            <w:vAlign w:val="bottom"/>
            <w:hideMark/>
          </w:tcPr>
          <w:p w14:paraId="095B5AE4"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0,00</w:t>
            </w:r>
          </w:p>
        </w:tc>
      </w:tr>
      <w:tr w:rsidR="00827437" w:rsidRPr="00F042AC" w14:paraId="3C6D6EF3"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62D9B401"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"Создание единого цифрового контура в здравоохранении на основе единой государственной информационной системы здравоохранения (ЕГИСЗ)"</w:t>
            </w:r>
          </w:p>
        </w:tc>
        <w:tc>
          <w:tcPr>
            <w:tcW w:w="993" w:type="dxa"/>
            <w:tcBorders>
              <w:top w:val="nil"/>
              <w:left w:val="nil"/>
              <w:bottom w:val="single" w:sz="4" w:space="0" w:color="auto"/>
              <w:right w:val="single" w:sz="4" w:space="0" w:color="auto"/>
            </w:tcBorders>
            <w:shd w:val="clear" w:color="auto" w:fill="auto"/>
            <w:noWrap/>
            <w:vAlign w:val="bottom"/>
            <w:hideMark/>
          </w:tcPr>
          <w:p w14:paraId="54DB66C0"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254,40</w:t>
            </w:r>
          </w:p>
        </w:tc>
        <w:tc>
          <w:tcPr>
            <w:tcW w:w="850" w:type="dxa"/>
            <w:tcBorders>
              <w:top w:val="nil"/>
              <w:left w:val="nil"/>
              <w:bottom w:val="single" w:sz="4" w:space="0" w:color="auto"/>
              <w:right w:val="single" w:sz="4" w:space="0" w:color="auto"/>
            </w:tcBorders>
            <w:shd w:val="clear" w:color="auto" w:fill="auto"/>
            <w:noWrap/>
            <w:vAlign w:val="bottom"/>
            <w:hideMark/>
          </w:tcPr>
          <w:p w14:paraId="0001AC2B"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439,48</w:t>
            </w:r>
          </w:p>
        </w:tc>
        <w:tc>
          <w:tcPr>
            <w:tcW w:w="850" w:type="dxa"/>
            <w:tcBorders>
              <w:top w:val="nil"/>
              <w:left w:val="nil"/>
              <w:bottom w:val="single" w:sz="4" w:space="0" w:color="auto"/>
              <w:right w:val="single" w:sz="4" w:space="0" w:color="auto"/>
            </w:tcBorders>
            <w:shd w:val="clear" w:color="auto" w:fill="auto"/>
            <w:noWrap/>
            <w:vAlign w:val="bottom"/>
            <w:hideMark/>
          </w:tcPr>
          <w:p w14:paraId="5B36ADFC"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164,35</w:t>
            </w:r>
          </w:p>
        </w:tc>
        <w:tc>
          <w:tcPr>
            <w:tcW w:w="851" w:type="dxa"/>
            <w:tcBorders>
              <w:top w:val="nil"/>
              <w:left w:val="nil"/>
              <w:bottom w:val="single" w:sz="4" w:space="0" w:color="auto"/>
              <w:right w:val="single" w:sz="4" w:space="0" w:color="auto"/>
            </w:tcBorders>
            <w:shd w:val="clear" w:color="auto" w:fill="auto"/>
            <w:noWrap/>
            <w:vAlign w:val="bottom"/>
            <w:hideMark/>
          </w:tcPr>
          <w:p w14:paraId="5BBD7783"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595,83</w:t>
            </w:r>
          </w:p>
        </w:tc>
        <w:tc>
          <w:tcPr>
            <w:tcW w:w="851" w:type="dxa"/>
            <w:tcBorders>
              <w:top w:val="nil"/>
              <w:left w:val="nil"/>
              <w:bottom w:val="single" w:sz="4" w:space="0" w:color="auto"/>
              <w:right w:val="single" w:sz="4" w:space="0" w:color="auto"/>
            </w:tcBorders>
            <w:shd w:val="clear" w:color="auto" w:fill="auto"/>
            <w:noWrap/>
            <w:vAlign w:val="bottom"/>
            <w:hideMark/>
          </w:tcPr>
          <w:p w14:paraId="0E9EB190"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77,52</w:t>
            </w:r>
          </w:p>
        </w:tc>
        <w:tc>
          <w:tcPr>
            <w:tcW w:w="851" w:type="dxa"/>
            <w:tcBorders>
              <w:top w:val="nil"/>
              <w:left w:val="nil"/>
              <w:bottom w:val="single" w:sz="4" w:space="0" w:color="auto"/>
              <w:right w:val="single" w:sz="4" w:space="0" w:color="auto"/>
            </w:tcBorders>
            <w:shd w:val="clear" w:color="auto" w:fill="auto"/>
            <w:noWrap/>
            <w:vAlign w:val="bottom"/>
            <w:hideMark/>
          </w:tcPr>
          <w:p w14:paraId="790E9409"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85,20</w:t>
            </w:r>
          </w:p>
        </w:tc>
        <w:tc>
          <w:tcPr>
            <w:tcW w:w="850" w:type="dxa"/>
            <w:tcBorders>
              <w:top w:val="nil"/>
              <w:left w:val="nil"/>
              <w:bottom w:val="single" w:sz="4" w:space="0" w:color="auto"/>
              <w:right w:val="single" w:sz="4" w:space="0" w:color="auto"/>
            </w:tcBorders>
            <w:shd w:val="clear" w:color="auto" w:fill="auto"/>
            <w:noWrap/>
            <w:vAlign w:val="bottom"/>
            <w:hideMark/>
          </w:tcPr>
          <w:p w14:paraId="3F521C59"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156,35</w:t>
            </w:r>
          </w:p>
        </w:tc>
        <w:tc>
          <w:tcPr>
            <w:tcW w:w="801" w:type="dxa"/>
            <w:tcBorders>
              <w:top w:val="nil"/>
              <w:left w:val="nil"/>
              <w:bottom w:val="single" w:sz="4" w:space="0" w:color="auto"/>
              <w:right w:val="single" w:sz="4" w:space="0" w:color="auto"/>
            </w:tcBorders>
            <w:shd w:val="clear" w:color="auto" w:fill="auto"/>
            <w:noWrap/>
            <w:vAlign w:val="bottom"/>
            <w:hideMark/>
          </w:tcPr>
          <w:p w14:paraId="4C165E91"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135,58</w:t>
            </w:r>
          </w:p>
        </w:tc>
        <w:tc>
          <w:tcPr>
            <w:tcW w:w="790" w:type="dxa"/>
            <w:tcBorders>
              <w:top w:val="nil"/>
              <w:left w:val="nil"/>
              <w:bottom w:val="single" w:sz="4" w:space="0" w:color="auto"/>
              <w:right w:val="single" w:sz="4" w:space="0" w:color="auto"/>
            </w:tcBorders>
            <w:shd w:val="clear" w:color="auto" w:fill="auto"/>
            <w:noWrap/>
            <w:vAlign w:val="bottom"/>
            <w:hideMark/>
          </w:tcPr>
          <w:p w14:paraId="1136D185"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431,48</w:t>
            </w:r>
          </w:p>
        </w:tc>
        <w:tc>
          <w:tcPr>
            <w:tcW w:w="769" w:type="dxa"/>
            <w:tcBorders>
              <w:top w:val="nil"/>
              <w:left w:val="nil"/>
              <w:bottom w:val="single" w:sz="4" w:space="0" w:color="auto"/>
              <w:right w:val="single" w:sz="4" w:space="0" w:color="auto"/>
            </w:tcBorders>
            <w:shd w:val="clear" w:color="auto" w:fill="auto"/>
            <w:noWrap/>
            <w:vAlign w:val="bottom"/>
            <w:hideMark/>
          </w:tcPr>
          <w:p w14:paraId="7F10A3EB"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362,53</w:t>
            </w:r>
          </w:p>
        </w:tc>
      </w:tr>
      <w:tr w:rsidR="00827437" w:rsidRPr="00F042AC" w14:paraId="72561666"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4D462E6D"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"Старшее поколение"</w:t>
            </w:r>
          </w:p>
        </w:tc>
        <w:tc>
          <w:tcPr>
            <w:tcW w:w="993" w:type="dxa"/>
            <w:tcBorders>
              <w:top w:val="nil"/>
              <w:left w:val="nil"/>
              <w:bottom w:val="single" w:sz="4" w:space="0" w:color="auto"/>
              <w:right w:val="single" w:sz="4" w:space="0" w:color="auto"/>
            </w:tcBorders>
            <w:shd w:val="clear" w:color="auto" w:fill="auto"/>
            <w:noWrap/>
            <w:vAlign w:val="bottom"/>
            <w:hideMark/>
          </w:tcPr>
          <w:p w14:paraId="186FF6B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0,31</w:t>
            </w:r>
          </w:p>
        </w:tc>
        <w:tc>
          <w:tcPr>
            <w:tcW w:w="850" w:type="dxa"/>
            <w:tcBorders>
              <w:top w:val="nil"/>
              <w:left w:val="nil"/>
              <w:bottom w:val="single" w:sz="4" w:space="0" w:color="auto"/>
              <w:right w:val="single" w:sz="4" w:space="0" w:color="auto"/>
            </w:tcBorders>
            <w:shd w:val="clear" w:color="auto" w:fill="auto"/>
            <w:noWrap/>
            <w:vAlign w:val="bottom"/>
            <w:hideMark/>
          </w:tcPr>
          <w:p w14:paraId="1A59CD7D"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0,31</w:t>
            </w:r>
          </w:p>
        </w:tc>
        <w:tc>
          <w:tcPr>
            <w:tcW w:w="850" w:type="dxa"/>
            <w:tcBorders>
              <w:top w:val="nil"/>
              <w:left w:val="nil"/>
              <w:bottom w:val="single" w:sz="4" w:space="0" w:color="auto"/>
              <w:right w:val="single" w:sz="4" w:space="0" w:color="auto"/>
            </w:tcBorders>
            <w:shd w:val="clear" w:color="auto" w:fill="auto"/>
            <w:noWrap/>
            <w:vAlign w:val="bottom"/>
            <w:hideMark/>
          </w:tcPr>
          <w:p w14:paraId="022CEE8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0,31</w:t>
            </w:r>
          </w:p>
        </w:tc>
        <w:tc>
          <w:tcPr>
            <w:tcW w:w="851" w:type="dxa"/>
            <w:tcBorders>
              <w:top w:val="nil"/>
              <w:left w:val="nil"/>
              <w:bottom w:val="single" w:sz="4" w:space="0" w:color="auto"/>
              <w:right w:val="single" w:sz="4" w:space="0" w:color="auto"/>
            </w:tcBorders>
            <w:shd w:val="clear" w:color="auto" w:fill="auto"/>
            <w:noWrap/>
            <w:vAlign w:val="bottom"/>
            <w:hideMark/>
          </w:tcPr>
          <w:p w14:paraId="10C895A1"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0,41</w:t>
            </w:r>
          </w:p>
        </w:tc>
        <w:tc>
          <w:tcPr>
            <w:tcW w:w="851" w:type="dxa"/>
            <w:tcBorders>
              <w:top w:val="nil"/>
              <w:left w:val="nil"/>
              <w:bottom w:val="single" w:sz="4" w:space="0" w:color="auto"/>
              <w:right w:val="single" w:sz="4" w:space="0" w:color="auto"/>
            </w:tcBorders>
            <w:shd w:val="clear" w:color="auto" w:fill="auto"/>
            <w:noWrap/>
            <w:vAlign w:val="bottom"/>
            <w:hideMark/>
          </w:tcPr>
          <w:p w14:paraId="7A21055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0,41</w:t>
            </w:r>
          </w:p>
        </w:tc>
        <w:tc>
          <w:tcPr>
            <w:tcW w:w="851" w:type="dxa"/>
            <w:tcBorders>
              <w:top w:val="nil"/>
              <w:left w:val="nil"/>
              <w:bottom w:val="single" w:sz="4" w:space="0" w:color="auto"/>
              <w:right w:val="single" w:sz="4" w:space="0" w:color="auto"/>
            </w:tcBorders>
            <w:shd w:val="clear" w:color="auto" w:fill="auto"/>
            <w:noWrap/>
            <w:vAlign w:val="bottom"/>
            <w:hideMark/>
          </w:tcPr>
          <w:p w14:paraId="5FD81415"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0,46</w:t>
            </w:r>
          </w:p>
        </w:tc>
        <w:tc>
          <w:tcPr>
            <w:tcW w:w="850" w:type="dxa"/>
            <w:tcBorders>
              <w:top w:val="nil"/>
              <w:left w:val="nil"/>
              <w:bottom w:val="single" w:sz="4" w:space="0" w:color="auto"/>
              <w:right w:val="single" w:sz="4" w:space="0" w:color="auto"/>
            </w:tcBorders>
            <w:shd w:val="clear" w:color="auto" w:fill="auto"/>
            <w:noWrap/>
            <w:vAlign w:val="bottom"/>
            <w:hideMark/>
          </w:tcPr>
          <w:p w14:paraId="7F874C28"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0,10</w:t>
            </w:r>
          </w:p>
        </w:tc>
        <w:tc>
          <w:tcPr>
            <w:tcW w:w="801" w:type="dxa"/>
            <w:tcBorders>
              <w:top w:val="nil"/>
              <w:left w:val="nil"/>
              <w:bottom w:val="single" w:sz="4" w:space="0" w:color="auto"/>
              <w:right w:val="single" w:sz="4" w:space="0" w:color="auto"/>
            </w:tcBorders>
            <w:shd w:val="clear" w:color="auto" w:fill="auto"/>
            <w:noWrap/>
            <w:vAlign w:val="bottom"/>
            <w:hideMark/>
          </w:tcPr>
          <w:p w14:paraId="04819545"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133,56</w:t>
            </w:r>
          </w:p>
        </w:tc>
        <w:tc>
          <w:tcPr>
            <w:tcW w:w="790" w:type="dxa"/>
            <w:tcBorders>
              <w:top w:val="nil"/>
              <w:left w:val="nil"/>
              <w:bottom w:val="single" w:sz="4" w:space="0" w:color="auto"/>
              <w:right w:val="single" w:sz="4" w:space="0" w:color="auto"/>
            </w:tcBorders>
            <w:shd w:val="clear" w:color="auto" w:fill="auto"/>
            <w:noWrap/>
            <w:vAlign w:val="bottom"/>
            <w:hideMark/>
          </w:tcPr>
          <w:p w14:paraId="7A48198E"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0,10</w:t>
            </w:r>
          </w:p>
        </w:tc>
        <w:tc>
          <w:tcPr>
            <w:tcW w:w="769" w:type="dxa"/>
            <w:tcBorders>
              <w:top w:val="nil"/>
              <w:left w:val="nil"/>
              <w:bottom w:val="single" w:sz="4" w:space="0" w:color="auto"/>
              <w:right w:val="single" w:sz="4" w:space="0" w:color="auto"/>
            </w:tcBorders>
            <w:shd w:val="clear" w:color="auto" w:fill="auto"/>
            <w:noWrap/>
            <w:vAlign w:val="bottom"/>
            <w:hideMark/>
          </w:tcPr>
          <w:p w14:paraId="3B096435"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133,52</w:t>
            </w:r>
          </w:p>
        </w:tc>
      </w:tr>
      <w:tr w:rsidR="00827437" w:rsidRPr="00F042AC" w14:paraId="20495F23"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6BA63C64"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ФП "Укрепление общественного здоровья"</w:t>
            </w:r>
          </w:p>
        </w:tc>
        <w:tc>
          <w:tcPr>
            <w:tcW w:w="993" w:type="dxa"/>
            <w:tcBorders>
              <w:top w:val="nil"/>
              <w:left w:val="nil"/>
              <w:bottom w:val="single" w:sz="4" w:space="0" w:color="auto"/>
              <w:right w:val="single" w:sz="4" w:space="0" w:color="auto"/>
            </w:tcBorders>
            <w:shd w:val="clear" w:color="auto" w:fill="auto"/>
            <w:noWrap/>
            <w:vAlign w:val="bottom"/>
            <w:hideMark/>
          </w:tcPr>
          <w:p w14:paraId="6367B38C"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16,85</w:t>
            </w:r>
          </w:p>
        </w:tc>
        <w:tc>
          <w:tcPr>
            <w:tcW w:w="850" w:type="dxa"/>
            <w:tcBorders>
              <w:top w:val="nil"/>
              <w:left w:val="nil"/>
              <w:bottom w:val="single" w:sz="4" w:space="0" w:color="auto"/>
              <w:right w:val="single" w:sz="4" w:space="0" w:color="auto"/>
            </w:tcBorders>
            <w:shd w:val="clear" w:color="auto" w:fill="auto"/>
            <w:noWrap/>
            <w:vAlign w:val="bottom"/>
            <w:hideMark/>
          </w:tcPr>
          <w:p w14:paraId="1C5FFF5E"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16,85</w:t>
            </w:r>
          </w:p>
        </w:tc>
        <w:tc>
          <w:tcPr>
            <w:tcW w:w="850" w:type="dxa"/>
            <w:tcBorders>
              <w:top w:val="nil"/>
              <w:left w:val="nil"/>
              <w:bottom w:val="single" w:sz="4" w:space="0" w:color="auto"/>
              <w:right w:val="single" w:sz="4" w:space="0" w:color="auto"/>
            </w:tcBorders>
            <w:shd w:val="clear" w:color="auto" w:fill="auto"/>
            <w:noWrap/>
            <w:vAlign w:val="bottom"/>
            <w:hideMark/>
          </w:tcPr>
          <w:p w14:paraId="29D47624"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17,66</w:t>
            </w:r>
          </w:p>
        </w:tc>
        <w:tc>
          <w:tcPr>
            <w:tcW w:w="851" w:type="dxa"/>
            <w:tcBorders>
              <w:top w:val="nil"/>
              <w:left w:val="nil"/>
              <w:bottom w:val="single" w:sz="4" w:space="0" w:color="auto"/>
              <w:right w:val="single" w:sz="4" w:space="0" w:color="auto"/>
            </w:tcBorders>
            <w:shd w:val="clear" w:color="auto" w:fill="auto"/>
            <w:noWrap/>
            <w:vAlign w:val="bottom"/>
            <w:hideMark/>
          </w:tcPr>
          <w:p w14:paraId="56C5175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17,62</w:t>
            </w:r>
          </w:p>
        </w:tc>
        <w:tc>
          <w:tcPr>
            <w:tcW w:w="851" w:type="dxa"/>
            <w:tcBorders>
              <w:top w:val="nil"/>
              <w:left w:val="nil"/>
              <w:bottom w:val="single" w:sz="4" w:space="0" w:color="auto"/>
              <w:right w:val="single" w:sz="4" w:space="0" w:color="auto"/>
            </w:tcBorders>
            <w:shd w:val="clear" w:color="auto" w:fill="auto"/>
            <w:noWrap/>
            <w:vAlign w:val="bottom"/>
            <w:hideMark/>
          </w:tcPr>
          <w:p w14:paraId="621E7E9C"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17,62</w:t>
            </w:r>
          </w:p>
        </w:tc>
        <w:tc>
          <w:tcPr>
            <w:tcW w:w="851" w:type="dxa"/>
            <w:tcBorders>
              <w:top w:val="nil"/>
              <w:left w:val="nil"/>
              <w:bottom w:val="single" w:sz="4" w:space="0" w:color="auto"/>
              <w:right w:val="single" w:sz="4" w:space="0" w:color="auto"/>
            </w:tcBorders>
            <w:shd w:val="clear" w:color="auto" w:fill="auto"/>
            <w:noWrap/>
            <w:vAlign w:val="bottom"/>
            <w:hideMark/>
          </w:tcPr>
          <w:p w14:paraId="46EC247A"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19,58</w:t>
            </w:r>
          </w:p>
        </w:tc>
        <w:tc>
          <w:tcPr>
            <w:tcW w:w="850" w:type="dxa"/>
            <w:tcBorders>
              <w:top w:val="nil"/>
              <w:left w:val="nil"/>
              <w:bottom w:val="single" w:sz="4" w:space="0" w:color="auto"/>
              <w:right w:val="single" w:sz="4" w:space="0" w:color="auto"/>
            </w:tcBorders>
            <w:shd w:val="clear" w:color="auto" w:fill="auto"/>
            <w:noWrap/>
            <w:vAlign w:val="bottom"/>
            <w:hideMark/>
          </w:tcPr>
          <w:p w14:paraId="6C40352F"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0,77</w:t>
            </w:r>
          </w:p>
        </w:tc>
        <w:tc>
          <w:tcPr>
            <w:tcW w:w="801" w:type="dxa"/>
            <w:tcBorders>
              <w:top w:val="nil"/>
              <w:left w:val="nil"/>
              <w:bottom w:val="single" w:sz="4" w:space="0" w:color="auto"/>
              <w:right w:val="single" w:sz="4" w:space="0" w:color="auto"/>
            </w:tcBorders>
            <w:shd w:val="clear" w:color="auto" w:fill="auto"/>
            <w:noWrap/>
            <w:vAlign w:val="bottom"/>
            <w:hideMark/>
          </w:tcPr>
          <w:p w14:paraId="7645363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104,54</w:t>
            </w:r>
          </w:p>
        </w:tc>
        <w:tc>
          <w:tcPr>
            <w:tcW w:w="790" w:type="dxa"/>
            <w:tcBorders>
              <w:top w:val="nil"/>
              <w:left w:val="nil"/>
              <w:bottom w:val="single" w:sz="4" w:space="0" w:color="auto"/>
              <w:right w:val="single" w:sz="4" w:space="0" w:color="auto"/>
            </w:tcBorders>
            <w:shd w:val="clear" w:color="auto" w:fill="auto"/>
            <w:noWrap/>
            <w:vAlign w:val="bottom"/>
            <w:hideMark/>
          </w:tcPr>
          <w:p w14:paraId="583EF78F"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-0,04</w:t>
            </w:r>
          </w:p>
        </w:tc>
        <w:tc>
          <w:tcPr>
            <w:tcW w:w="769" w:type="dxa"/>
            <w:tcBorders>
              <w:top w:val="nil"/>
              <w:left w:val="nil"/>
              <w:bottom w:val="single" w:sz="4" w:space="0" w:color="auto"/>
              <w:right w:val="single" w:sz="4" w:space="0" w:color="auto"/>
            </w:tcBorders>
            <w:shd w:val="clear" w:color="auto" w:fill="auto"/>
            <w:noWrap/>
            <w:vAlign w:val="bottom"/>
            <w:hideMark/>
          </w:tcPr>
          <w:p w14:paraId="02AC1FB7"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99,79</w:t>
            </w:r>
          </w:p>
        </w:tc>
      </w:tr>
      <w:tr w:rsidR="00827437" w:rsidRPr="00F042AC" w14:paraId="0AAF9E0A"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39D38946" w14:textId="77777777" w:rsidR="00827437" w:rsidRPr="0058218D" w:rsidRDefault="00827437" w:rsidP="00E40BEE">
            <w:pPr>
              <w:spacing w:after="0" w:line="240" w:lineRule="auto"/>
              <w:rPr>
                <w:rFonts w:ascii="Times New Roman" w:eastAsia="Times New Roman" w:hAnsi="Times New Roman" w:cs="Times New Roman"/>
                <w:bCs/>
                <w:sz w:val="19"/>
                <w:szCs w:val="19"/>
                <w:lang w:eastAsia="ru-RU"/>
              </w:rPr>
            </w:pPr>
            <w:r w:rsidRPr="0058218D">
              <w:rPr>
                <w:rFonts w:ascii="Times New Roman" w:eastAsia="Times New Roman" w:hAnsi="Times New Roman" w:cs="Times New Roman"/>
                <w:bCs/>
                <w:sz w:val="19"/>
                <w:szCs w:val="19"/>
                <w:lang w:eastAsia="ru-RU"/>
              </w:rPr>
              <w:t>Подпрограмма "Развитие кадрового потенциала"</w:t>
            </w:r>
          </w:p>
        </w:tc>
        <w:tc>
          <w:tcPr>
            <w:tcW w:w="993" w:type="dxa"/>
            <w:tcBorders>
              <w:top w:val="nil"/>
              <w:left w:val="nil"/>
              <w:bottom w:val="single" w:sz="4" w:space="0" w:color="auto"/>
              <w:right w:val="single" w:sz="4" w:space="0" w:color="auto"/>
            </w:tcBorders>
            <w:shd w:val="clear" w:color="auto" w:fill="auto"/>
            <w:noWrap/>
            <w:vAlign w:val="bottom"/>
            <w:hideMark/>
          </w:tcPr>
          <w:p w14:paraId="03461ED2"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646,74</w:t>
            </w:r>
          </w:p>
        </w:tc>
        <w:tc>
          <w:tcPr>
            <w:tcW w:w="850" w:type="dxa"/>
            <w:tcBorders>
              <w:top w:val="nil"/>
              <w:left w:val="nil"/>
              <w:bottom w:val="single" w:sz="4" w:space="0" w:color="auto"/>
              <w:right w:val="single" w:sz="4" w:space="0" w:color="auto"/>
            </w:tcBorders>
            <w:shd w:val="clear" w:color="auto" w:fill="auto"/>
            <w:noWrap/>
            <w:vAlign w:val="bottom"/>
            <w:hideMark/>
          </w:tcPr>
          <w:p w14:paraId="34191058"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777,82</w:t>
            </w:r>
          </w:p>
        </w:tc>
        <w:tc>
          <w:tcPr>
            <w:tcW w:w="850" w:type="dxa"/>
            <w:tcBorders>
              <w:top w:val="nil"/>
              <w:left w:val="nil"/>
              <w:bottom w:val="single" w:sz="4" w:space="0" w:color="auto"/>
              <w:right w:val="single" w:sz="4" w:space="0" w:color="auto"/>
            </w:tcBorders>
            <w:shd w:val="clear" w:color="auto" w:fill="auto"/>
            <w:noWrap/>
            <w:vAlign w:val="bottom"/>
            <w:hideMark/>
          </w:tcPr>
          <w:p w14:paraId="4094C056"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653,62</w:t>
            </w:r>
          </w:p>
        </w:tc>
        <w:tc>
          <w:tcPr>
            <w:tcW w:w="851" w:type="dxa"/>
            <w:tcBorders>
              <w:top w:val="nil"/>
              <w:left w:val="nil"/>
              <w:bottom w:val="single" w:sz="4" w:space="0" w:color="auto"/>
              <w:right w:val="single" w:sz="4" w:space="0" w:color="auto"/>
            </w:tcBorders>
            <w:shd w:val="clear" w:color="auto" w:fill="auto"/>
            <w:noWrap/>
            <w:vAlign w:val="bottom"/>
            <w:hideMark/>
          </w:tcPr>
          <w:p w14:paraId="25A36ED9"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759,50</w:t>
            </w:r>
          </w:p>
        </w:tc>
        <w:tc>
          <w:tcPr>
            <w:tcW w:w="851" w:type="dxa"/>
            <w:tcBorders>
              <w:top w:val="nil"/>
              <w:left w:val="nil"/>
              <w:bottom w:val="single" w:sz="4" w:space="0" w:color="auto"/>
              <w:right w:val="single" w:sz="4" w:space="0" w:color="auto"/>
            </w:tcBorders>
            <w:shd w:val="clear" w:color="auto" w:fill="auto"/>
            <w:noWrap/>
            <w:vAlign w:val="bottom"/>
            <w:hideMark/>
          </w:tcPr>
          <w:p w14:paraId="09E038E0"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699,05</w:t>
            </w:r>
          </w:p>
        </w:tc>
        <w:tc>
          <w:tcPr>
            <w:tcW w:w="851" w:type="dxa"/>
            <w:tcBorders>
              <w:top w:val="nil"/>
              <w:left w:val="nil"/>
              <w:bottom w:val="single" w:sz="4" w:space="0" w:color="auto"/>
              <w:right w:val="single" w:sz="4" w:space="0" w:color="auto"/>
            </w:tcBorders>
            <w:shd w:val="clear" w:color="auto" w:fill="auto"/>
            <w:noWrap/>
            <w:vAlign w:val="bottom"/>
            <w:hideMark/>
          </w:tcPr>
          <w:p w14:paraId="79F2AC22"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728,44</w:t>
            </w:r>
          </w:p>
        </w:tc>
        <w:tc>
          <w:tcPr>
            <w:tcW w:w="850" w:type="dxa"/>
            <w:tcBorders>
              <w:top w:val="nil"/>
              <w:left w:val="nil"/>
              <w:bottom w:val="single" w:sz="4" w:space="0" w:color="auto"/>
              <w:right w:val="single" w:sz="4" w:space="0" w:color="auto"/>
            </w:tcBorders>
            <w:shd w:val="clear" w:color="auto" w:fill="auto"/>
            <w:noWrap/>
            <w:vAlign w:val="bottom"/>
            <w:hideMark/>
          </w:tcPr>
          <w:p w14:paraId="6DC28E7B"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-18,32</w:t>
            </w:r>
          </w:p>
        </w:tc>
        <w:tc>
          <w:tcPr>
            <w:tcW w:w="801" w:type="dxa"/>
            <w:tcBorders>
              <w:top w:val="nil"/>
              <w:left w:val="nil"/>
              <w:bottom w:val="single" w:sz="4" w:space="0" w:color="auto"/>
              <w:right w:val="single" w:sz="4" w:space="0" w:color="auto"/>
            </w:tcBorders>
            <w:shd w:val="clear" w:color="auto" w:fill="auto"/>
            <w:noWrap/>
            <w:vAlign w:val="bottom"/>
            <w:hideMark/>
          </w:tcPr>
          <w:p w14:paraId="5BE107E2"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97,64</w:t>
            </w:r>
          </w:p>
        </w:tc>
        <w:tc>
          <w:tcPr>
            <w:tcW w:w="790" w:type="dxa"/>
            <w:tcBorders>
              <w:top w:val="nil"/>
              <w:left w:val="nil"/>
              <w:bottom w:val="single" w:sz="4" w:space="0" w:color="auto"/>
              <w:right w:val="single" w:sz="4" w:space="0" w:color="auto"/>
            </w:tcBorders>
            <w:shd w:val="clear" w:color="auto" w:fill="auto"/>
            <w:noWrap/>
            <w:vAlign w:val="bottom"/>
            <w:hideMark/>
          </w:tcPr>
          <w:p w14:paraId="62F84509" w14:textId="77777777" w:rsidR="00827437" w:rsidRPr="0058218D" w:rsidRDefault="00827437" w:rsidP="006B5361">
            <w:pPr>
              <w:spacing w:after="0" w:line="240" w:lineRule="auto"/>
              <w:ind w:left="-108"/>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105,88</w:t>
            </w:r>
          </w:p>
        </w:tc>
        <w:tc>
          <w:tcPr>
            <w:tcW w:w="769" w:type="dxa"/>
            <w:tcBorders>
              <w:top w:val="nil"/>
              <w:left w:val="nil"/>
              <w:bottom w:val="single" w:sz="4" w:space="0" w:color="auto"/>
              <w:right w:val="single" w:sz="4" w:space="0" w:color="auto"/>
            </w:tcBorders>
            <w:shd w:val="clear" w:color="auto" w:fill="auto"/>
            <w:noWrap/>
            <w:vAlign w:val="bottom"/>
            <w:hideMark/>
          </w:tcPr>
          <w:p w14:paraId="697D6599" w14:textId="77777777" w:rsidR="00827437" w:rsidRPr="0058218D" w:rsidRDefault="00827437" w:rsidP="00E40BEE">
            <w:pPr>
              <w:spacing w:after="0" w:line="240" w:lineRule="auto"/>
              <w:jc w:val="right"/>
              <w:rPr>
                <w:rFonts w:ascii="Times New Roman" w:eastAsia="Times New Roman" w:hAnsi="Times New Roman" w:cs="Times New Roman"/>
                <w:bCs/>
                <w:sz w:val="18"/>
                <w:szCs w:val="18"/>
                <w:lang w:eastAsia="ru-RU"/>
              </w:rPr>
            </w:pPr>
            <w:r w:rsidRPr="0058218D">
              <w:rPr>
                <w:rFonts w:ascii="Times New Roman" w:eastAsia="Times New Roman" w:hAnsi="Times New Roman" w:cs="Times New Roman"/>
                <w:bCs/>
                <w:sz w:val="18"/>
                <w:szCs w:val="18"/>
                <w:lang w:eastAsia="ru-RU"/>
              </w:rPr>
              <w:t>116,20</w:t>
            </w:r>
          </w:p>
        </w:tc>
      </w:tr>
      <w:tr w:rsidR="00827437" w:rsidRPr="00F042AC" w14:paraId="36656F7B" w14:textId="77777777" w:rsidTr="00F12260">
        <w:trPr>
          <w:trHeight w:val="20"/>
        </w:trPr>
        <w:tc>
          <w:tcPr>
            <w:tcW w:w="1848" w:type="dxa"/>
            <w:tcBorders>
              <w:top w:val="nil"/>
              <w:left w:val="single" w:sz="4" w:space="0" w:color="auto"/>
              <w:bottom w:val="single" w:sz="4" w:space="0" w:color="auto"/>
              <w:right w:val="single" w:sz="4" w:space="0" w:color="auto"/>
            </w:tcBorders>
            <w:shd w:val="clear" w:color="auto" w:fill="auto"/>
            <w:vAlign w:val="bottom"/>
            <w:hideMark/>
          </w:tcPr>
          <w:p w14:paraId="0E4E97FD" w14:textId="77777777" w:rsidR="00827437" w:rsidRPr="0058218D" w:rsidRDefault="00827437" w:rsidP="00E40BEE">
            <w:pPr>
              <w:spacing w:after="0" w:line="240" w:lineRule="auto"/>
              <w:rPr>
                <w:rFonts w:ascii="Times New Roman" w:eastAsia="Times New Roman" w:hAnsi="Times New Roman" w:cs="Times New Roman"/>
                <w:i/>
                <w:sz w:val="19"/>
                <w:szCs w:val="19"/>
                <w:lang w:eastAsia="ru-RU"/>
              </w:rPr>
            </w:pPr>
            <w:r w:rsidRPr="0058218D">
              <w:rPr>
                <w:rFonts w:ascii="Times New Roman" w:eastAsia="Times New Roman" w:hAnsi="Times New Roman" w:cs="Times New Roman"/>
                <w:i/>
                <w:sz w:val="19"/>
                <w:szCs w:val="19"/>
                <w:lang w:eastAsia="ru-RU"/>
              </w:rPr>
              <w:t>Федеральный проект "Обеспечение медицинских организаций системы здравоохранения квалифицированными кадрами"</w:t>
            </w:r>
          </w:p>
        </w:tc>
        <w:tc>
          <w:tcPr>
            <w:tcW w:w="993" w:type="dxa"/>
            <w:tcBorders>
              <w:top w:val="nil"/>
              <w:left w:val="nil"/>
              <w:bottom w:val="single" w:sz="4" w:space="0" w:color="auto"/>
              <w:right w:val="single" w:sz="4" w:space="0" w:color="auto"/>
            </w:tcBorders>
            <w:shd w:val="clear" w:color="auto" w:fill="auto"/>
            <w:noWrap/>
            <w:vAlign w:val="bottom"/>
            <w:hideMark/>
          </w:tcPr>
          <w:p w14:paraId="78297AC8"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266,29</w:t>
            </w:r>
          </w:p>
        </w:tc>
        <w:tc>
          <w:tcPr>
            <w:tcW w:w="850" w:type="dxa"/>
            <w:tcBorders>
              <w:top w:val="nil"/>
              <w:left w:val="nil"/>
              <w:bottom w:val="single" w:sz="4" w:space="0" w:color="auto"/>
              <w:right w:val="single" w:sz="4" w:space="0" w:color="auto"/>
            </w:tcBorders>
            <w:shd w:val="clear" w:color="auto" w:fill="auto"/>
            <w:noWrap/>
            <w:vAlign w:val="bottom"/>
            <w:hideMark/>
          </w:tcPr>
          <w:p w14:paraId="6A583B7F"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395,29</w:t>
            </w:r>
          </w:p>
        </w:tc>
        <w:tc>
          <w:tcPr>
            <w:tcW w:w="850" w:type="dxa"/>
            <w:tcBorders>
              <w:top w:val="nil"/>
              <w:left w:val="nil"/>
              <w:bottom w:val="single" w:sz="4" w:space="0" w:color="auto"/>
              <w:right w:val="single" w:sz="4" w:space="0" w:color="auto"/>
            </w:tcBorders>
            <w:shd w:val="clear" w:color="auto" w:fill="auto"/>
            <w:noWrap/>
            <w:vAlign w:val="bottom"/>
            <w:hideMark/>
          </w:tcPr>
          <w:p w14:paraId="55EF6641"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266,29</w:t>
            </w:r>
          </w:p>
        </w:tc>
        <w:tc>
          <w:tcPr>
            <w:tcW w:w="851" w:type="dxa"/>
            <w:tcBorders>
              <w:top w:val="nil"/>
              <w:left w:val="nil"/>
              <w:bottom w:val="single" w:sz="4" w:space="0" w:color="auto"/>
              <w:right w:val="single" w:sz="4" w:space="0" w:color="auto"/>
            </w:tcBorders>
            <w:shd w:val="clear" w:color="auto" w:fill="auto"/>
            <w:noWrap/>
            <w:vAlign w:val="bottom"/>
            <w:hideMark/>
          </w:tcPr>
          <w:p w14:paraId="5C32B3C3"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346,03</w:t>
            </w:r>
          </w:p>
        </w:tc>
        <w:tc>
          <w:tcPr>
            <w:tcW w:w="851" w:type="dxa"/>
            <w:tcBorders>
              <w:top w:val="nil"/>
              <w:left w:val="nil"/>
              <w:bottom w:val="single" w:sz="4" w:space="0" w:color="auto"/>
              <w:right w:val="single" w:sz="4" w:space="0" w:color="auto"/>
            </w:tcBorders>
            <w:shd w:val="clear" w:color="auto" w:fill="auto"/>
            <w:noWrap/>
            <w:vAlign w:val="bottom"/>
            <w:hideMark/>
          </w:tcPr>
          <w:p w14:paraId="20272C1D"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266,29</w:t>
            </w:r>
          </w:p>
        </w:tc>
        <w:tc>
          <w:tcPr>
            <w:tcW w:w="851" w:type="dxa"/>
            <w:tcBorders>
              <w:top w:val="nil"/>
              <w:left w:val="nil"/>
              <w:bottom w:val="single" w:sz="4" w:space="0" w:color="auto"/>
              <w:right w:val="single" w:sz="4" w:space="0" w:color="auto"/>
            </w:tcBorders>
            <w:shd w:val="clear" w:color="auto" w:fill="auto"/>
            <w:noWrap/>
            <w:vAlign w:val="bottom"/>
            <w:hideMark/>
          </w:tcPr>
          <w:p w14:paraId="19D41A12"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266,29</w:t>
            </w:r>
          </w:p>
        </w:tc>
        <w:tc>
          <w:tcPr>
            <w:tcW w:w="850" w:type="dxa"/>
            <w:tcBorders>
              <w:top w:val="nil"/>
              <w:left w:val="nil"/>
              <w:bottom w:val="single" w:sz="4" w:space="0" w:color="auto"/>
              <w:right w:val="single" w:sz="4" w:space="0" w:color="auto"/>
            </w:tcBorders>
            <w:shd w:val="clear" w:color="auto" w:fill="auto"/>
            <w:noWrap/>
            <w:vAlign w:val="bottom"/>
            <w:hideMark/>
          </w:tcPr>
          <w:p w14:paraId="78F8ED97" w14:textId="77777777" w:rsidR="00827437" w:rsidRPr="0058218D" w:rsidRDefault="00827437" w:rsidP="00E40BEE">
            <w:pPr>
              <w:spacing w:after="0" w:line="240" w:lineRule="auto"/>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-49,26</w:t>
            </w:r>
          </w:p>
        </w:tc>
        <w:tc>
          <w:tcPr>
            <w:tcW w:w="801" w:type="dxa"/>
            <w:tcBorders>
              <w:top w:val="nil"/>
              <w:left w:val="nil"/>
              <w:bottom w:val="single" w:sz="4" w:space="0" w:color="auto"/>
              <w:right w:val="single" w:sz="4" w:space="0" w:color="auto"/>
            </w:tcBorders>
            <w:shd w:val="clear" w:color="auto" w:fill="auto"/>
            <w:noWrap/>
            <w:vAlign w:val="bottom"/>
            <w:hideMark/>
          </w:tcPr>
          <w:p w14:paraId="00BFBDE2"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87,54</w:t>
            </w:r>
          </w:p>
        </w:tc>
        <w:tc>
          <w:tcPr>
            <w:tcW w:w="790" w:type="dxa"/>
            <w:tcBorders>
              <w:top w:val="nil"/>
              <w:left w:val="nil"/>
              <w:bottom w:val="single" w:sz="4" w:space="0" w:color="auto"/>
              <w:right w:val="single" w:sz="4" w:space="0" w:color="auto"/>
            </w:tcBorders>
            <w:shd w:val="clear" w:color="auto" w:fill="auto"/>
            <w:noWrap/>
            <w:vAlign w:val="bottom"/>
            <w:hideMark/>
          </w:tcPr>
          <w:p w14:paraId="56E43CAD" w14:textId="77777777" w:rsidR="00827437" w:rsidRPr="0058218D" w:rsidRDefault="00827437" w:rsidP="006B5361">
            <w:pPr>
              <w:spacing w:after="0" w:line="240" w:lineRule="auto"/>
              <w:ind w:left="-108"/>
              <w:jc w:val="right"/>
              <w:rPr>
                <w:rFonts w:ascii="Times New Roman" w:eastAsia="Times New Roman" w:hAnsi="Times New Roman" w:cs="Times New Roman"/>
                <w:bCs/>
                <w:i/>
                <w:sz w:val="18"/>
                <w:szCs w:val="18"/>
                <w:lang w:eastAsia="ru-RU"/>
              </w:rPr>
            </w:pPr>
            <w:r w:rsidRPr="0058218D">
              <w:rPr>
                <w:rFonts w:ascii="Times New Roman" w:eastAsia="Times New Roman" w:hAnsi="Times New Roman" w:cs="Times New Roman"/>
                <w:bCs/>
                <w:i/>
                <w:sz w:val="18"/>
                <w:szCs w:val="18"/>
                <w:lang w:eastAsia="ru-RU"/>
              </w:rPr>
              <w:t>79,74</w:t>
            </w:r>
          </w:p>
        </w:tc>
        <w:tc>
          <w:tcPr>
            <w:tcW w:w="769" w:type="dxa"/>
            <w:tcBorders>
              <w:top w:val="nil"/>
              <w:left w:val="nil"/>
              <w:bottom w:val="single" w:sz="4" w:space="0" w:color="auto"/>
              <w:right w:val="single" w:sz="4" w:space="0" w:color="auto"/>
            </w:tcBorders>
            <w:shd w:val="clear" w:color="auto" w:fill="auto"/>
            <w:noWrap/>
            <w:vAlign w:val="bottom"/>
            <w:hideMark/>
          </w:tcPr>
          <w:p w14:paraId="0CF88DD2" w14:textId="77777777" w:rsidR="00827437" w:rsidRPr="0058218D" w:rsidRDefault="00827437" w:rsidP="00E40BEE">
            <w:pPr>
              <w:spacing w:after="0" w:line="240" w:lineRule="auto"/>
              <w:jc w:val="right"/>
              <w:rPr>
                <w:rFonts w:ascii="Times New Roman" w:eastAsia="Times New Roman" w:hAnsi="Times New Roman" w:cs="Times New Roman"/>
                <w:i/>
                <w:sz w:val="18"/>
                <w:szCs w:val="18"/>
                <w:lang w:eastAsia="ru-RU"/>
              </w:rPr>
            </w:pPr>
            <w:r w:rsidRPr="0058218D">
              <w:rPr>
                <w:rFonts w:ascii="Times New Roman" w:eastAsia="Times New Roman" w:hAnsi="Times New Roman" w:cs="Times New Roman"/>
                <w:i/>
                <w:sz w:val="18"/>
                <w:szCs w:val="18"/>
                <w:lang w:eastAsia="ru-RU"/>
              </w:rPr>
              <w:t>129,94</w:t>
            </w:r>
          </w:p>
        </w:tc>
      </w:tr>
    </w:tbl>
    <w:p w14:paraId="6C729261" w14:textId="77777777" w:rsidR="00827437" w:rsidRPr="00522104" w:rsidRDefault="00827437" w:rsidP="00827437">
      <w:pPr>
        <w:spacing w:after="0" w:line="240" w:lineRule="auto"/>
        <w:jc w:val="both"/>
        <w:rPr>
          <w:rFonts w:ascii="Times New Roman" w:eastAsia="Times New Roman" w:hAnsi="Times New Roman" w:cs="Times New Roman"/>
          <w:sz w:val="28"/>
          <w:szCs w:val="28"/>
        </w:rPr>
      </w:pPr>
    </w:p>
    <w:p w14:paraId="02668522"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 xml:space="preserve">Законопроектом средства на реализацию </w:t>
      </w:r>
      <w:r w:rsidRPr="00522104">
        <w:rPr>
          <w:rFonts w:ascii="Times New Roman" w:eastAsia="Times New Roman" w:hAnsi="Times New Roman" w:cs="Times New Roman"/>
          <w:b/>
          <w:i/>
          <w:sz w:val="28"/>
          <w:szCs w:val="28"/>
        </w:rPr>
        <w:t>подпрограммы "Формирование эффективной системы организации медицинской помощи"</w:t>
      </w:r>
      <w:r w:rsidRPr="00522104">
        <w:rPr>
          <w:rFonts w:ascii="Times New Roman" w:eastAsia="Times New Roman" w:hAnsi="Times New Roman" w:cs="Times New Roman"/>
          <w:b/>
          <w:sz w:val="28"/>
          <w:szCs w:val="28"/>
        </w:rPr>
        <w:t xml:space="preserve"> </w:t>
      </w:r>
      <w:r w:rsidRPr="00522104">
        <w:rPr>
          <w:rFonts w:ascii="Times New Roman" w:eastAsia="Times New Roman" w:hAnsi="Times New Roman" w:cs="Times New Roman"/>
          <w:sz w:val="28"/>
          <w:szCs w:val="28"/>
        </w:rPr>
        <w:t>на 2022 год запланированы в сумме 10659,88 млн рублей с увеличением по сравнению к утвержденным назначениям на 2073,64 млн рублей (8586,24 млн рублей).</w:t>
      </w:r>
    </w:p>
    <w:p w14:paraId="320E206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Основной объем увеличений (67,94 %) приходится по министерству здравоохранения Приморского края на субсидии краевым государственным бюджетным и автономным учреждениям на иные цели – 1408,74 млн рублей (утверждено на 2022 год – 578,92 млн рублей, законопроект – 1987,66 млн рублей). Средства в рамках трех основных мероприятий</w:t>
      </w:r>
      <w:r w:rsidRPr="00522104">
        <w:rPr>
          <w:rStyle w:val="af"/>
          <w:rFonts w:ascii="Times New Roman" w:eastAsia="Times New Roman" w:hAnsi="Times New Roman" w:cs="Times New Roman"/>
          <w:sz w:val="28"/>
          <w:szCs w:val="28"/>
        </w:rPr>
        <w:footnoteReference w:id="12"/>
      </w:r>
      <w:r w:rsidRPr="00522104">
        <w:rPr>
          <w:rFonts w:ascii="Times New Roman" w:eastAsia="Times New Roman" w:hAnsi="Times New Roman" w:cs="Times New Roman"/>
          <w:sz w:val="28"/>
          <w:szCs w:val="28"/>
        </w:rPr>
        <w:t xml:space="preserve"> планируется направить в том числе на:</w:t>
      </w:r>
    </w:p>
    <w:p w14:paraId="62FEBC7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проведение капитального ремонта (831,47 млн рублей) и разработку проектно-сметной документации для его проведения (64,69 млн рублей);</w:t>
      </w:r>
    </w:p>
    <w:p w14:paraId="6191A514"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благоустройство территорий (99,80 млн рублей) – асфальтирование и освещений территорий учреждений здравоохранения, ремонт асфальтового полотна, установка шлагбаумов и систем видеонаблюдения;</w:t>
      </w:r>
    </w:p>
    <w:p w14:paraId="2B76EDC6"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мероприятия по пожарной безопасности – 72,80 млн рублей;</w:t>
      </w:r>
    </w:p>
    <w:p w14:paraId="0C8C81E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обеспечение видеонаблюдения и иные мероприятия, направленные на защищенность объектов (территорий) краевых государственных учреждений здравоохранения Приморского края –15,93 млн рублей;</w:t>
      </w:r>
    </w:p>
    <w:p w14:paraId="05610F0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приобретение, установка модульных фельдшерско-акушерских пунктов и врачебных амбулаторий на территории Приморского края – 88,20 млн рублей. Планируется приобретение фельдшерско-акушерских пунктов (без оборудования) в городские округа Партизанск, Спасск-Дальний, Арсеньев;</w:t>
      </w:r>
    </w:p>
    <w:p w14:paraId="778A66A4"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приобретение немедицинского и медицинского оборудования, в том числе для фельдшерско-акушерских пунктов и амбулаторий, санитарного автотранспорта и реанимобиля – 681,51 млн рублей;</w:t>
      </w:r>
    </w:p>
    <w:p w14:paraId="13909F63"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оказание экстренной помощи не застрахованным и не идентифицированным в системе обязательного медицинского страхования гражданам – 30,00 млн рублей;</w:t>
      </w:r>
    </w:p>
    <w:p w14:paraId="2E3F4B8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на выплату повышенного районного коэффициента работникам краевых государственных учреждений здравоохранения, подведомственных министерству здравоохранения Приморского края, расположенных в местностях, приравненных к районам Крайнего Севера, работающих в системе обязательного медицинского страхования – 49,29 млн рублей.</w:t>
      </w:r>
    </w:p>
    <w:p w14:paraId="4D41DE46" w14:textId="0AAB6A3C"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Министерству строительства Приморского края по</w:t>
      </w:r>
      <w:r w:rsidRPr="00522104">
        <w:rPr>
          <w:rFonts w:ascii="Times New Roman" w:eastAsia="Times New Roman" w:hAnsi="Times New Roman" w:cs="Times New Roman"/>
          <w:i/>
          <w:sz w:val="28"/>
          <w:szCs w:val="28"/>
        </w:rPr>
        <w:t xml:space="preserve"> основному мероприятию "Строительство, реконструкция и капитальный ремонт объектов здравоохранения Приморского края"</w:t>
      </w:r>
      <w:r w:rsidRPr="00522104">
        <w:rPr>
          <w:rFonts w:ascii="Times New Roman" w:eastAsia="Times New Roman" w:hAnsi="Times New Roman" w:cs="Times New Roman"/>
          <w:sz w:val="28"/>
          <w:szCs w:val="28"/>
        </w:rPr>
        <w:t xml:space="preserve"> в законопроекте на 2022 год планируется увеличение на 199,48 млн рублей (утверждено на 2022 год  6,99 млн рублей), из них 199,00 млн рублей на капитальные вложения в объекты государственной собственности Приморского края в социальной сфере на</w:t>
      </w:r>
      <w:r w:rsidRPr="00522104">
        <w:rPr>
          <w:rFonts w:ascii="Times New Roman" w:eastAsia="Times New Roman" w:hAnsi="Times New Roman" w:cs="Times New Roman"/>
          <w:sz w:val="28"/>
          <w:szCs w:val="24"/>
        </w:rPr>
        <w:t xml:space="preserve"> строительство (утверждено на 2022 год 2,00 млн рублей, законопроект на 2022 год – 201,00 млн рублей). В 2022 году бюджетные средства будут направлены на строительство</w:t>
      </w:r>
      <w:r w:rsidRPr="00522104">
        <w:rPr>
          <w:rFonts w:ascii="Times New Roman" w:eastAsia="Times New Roman" w:hAnsi="Times New Roman" w:cs="Times New Roman"/>
          <w:sz w:val="28"/>
          <w:szCs w:val="28"/>
        </w:rPr>
        <w:t>:</w:t>
      </w:r>
    </w:p>
    <w:p w14:paraId="72F907E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пристройки к зданию краевого государственного бюджетного учреждения здравоохранения "Госпиталь для ветеранов войн", в том числе проектно-изыскательские работы (52,63 млн рублей);</w:t>
      </w:r>
    </w:p>
    <w:p w14:paraId="56B13F5F" w14:textId="2C3C8B71"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краевой клинической инфекционной больницы на 400 коек в г.</w:t>
      </w:r>
      <w:r w:rsidR="002E22B1" w:rsidRPr="00522104">
        <w:rPr>
          <w:rFonts w:ascii="Times New Roman" w:eastAsia="Times New Roman" w:hAnsi="Times New Roman" w:cs="Times New Roman"/>
          <w:sz w:val="28"/>
          <w:szCs w:val="24"/>
        </w:rPr>
        <w:t> </w:t>
      </w:r>
      <w:r w:rsidRPr="00522104">
        <w:rPr>
          <w:rFonts w:ascii="Times New Roman" w:eastAsia="Times New Roman" w:hAnsi="Times New Roman" w:cs="Times New Roman"/>
          <w:sz w:val="28"/>
          <w:szCs w:val="24"/>
        </w:rPr>
        <w:t>Владивостоке, в том числе проектно-изыскательские работы (6,19 млн рублей);</w:t>
      </w:r>
    </w:p>
    <w:p w14:paraId="68D91586" w14:textId="29BE3CF4"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инфекционной больницы на 1000 коек в с. Углекаменск Партизанского городского округа Приморского края, в том числе проектно-изыскательские работы (16,72 млн рублей)</w:t>
      </w:r>
      <w:r w:rsidR="002E22B1" w:rsidRPr="00522104">
        <w:rPr>
          <w:rFonts w:ascii="Times New Roman" w:eastAsia="Times New Roman" w:hAnsi="Times New Roman" w:cs="Times New Roman"/>
          <w:sz w:val="28"/>
          <w:szCs w:val="24"/>
        </w:rPr>
        <w:t>;</w:t>
      </w:r>
    </w:p>
    <w:p w14:paraId="6B1B92B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4"/>
        </w:rPr>
        <w:t>многопрофильного стационара на 556 коек в г. Находка, в том числе проектно-сметные работы (125,46 млн рублей).</w:t>
      </w:r>
      <w:r w:rsidRPr="00522104">
        <w:rPr>
          <w:rFonts w:ascii="Times New Roman" w:eastAsia="Times New Roman" w:hAnsi="Times New Roman" w:cs="Times New Roman"/>
          <w:sz w:val="28"/>
          <w:szCs w:val="28"/>
        </w:rPr>
        <w:t xml:space="preserve"> </w:t>
      </w:r>
    </w:p>
    <w:p w14:paraId="1BD94D6E"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На реализацию </w:t>
      </w:r>
      <w:r w:rsidRPr="00522104">
        <w:rPr>
          <w:rFonts w:ascii="Times New Roman" w:eastAsia="Times New Roman" w:hAnsi="Times New Roman" w:cs="Times New Roman"/>
          <w:i/>
          <w:sz w:val="28"/>
          <w:szCs w:val="24"/>
        </w:rPr>
        <w:t>основного мероприятия "Модернизация первичного звена здравоохранения Приморского края"</w:t>
      </w:r>
      <w:r w:rsidRPr="00522104">
        <w:rPr>
          <w:rFonts w:ascii="Times New Roman" w:eastAsia="Times New Roman" w:hAnsi="Times New Roman" w:cs="Times New Roman"/>
          <w:sz w:val="28"/>
          <w:szCs w:val="24"/>
        </w:rPr>
        <w:t xml:space="preserve"> министерству здравоохранения Приморского края и министерству строительства Приморского края за счет средств федерального и краевого бюджета на 2022 год планируется 1738,90 млн рублей (713,00 млн рублей и 1025,90 млн рублей соответственно по ГРБС), что на 109,72 млн рублей выше утвержденных назначений. Средства предназначены для софинансирования расходных обязательств Приморскому краю, возникающих при реализации региональных программ модернизации первичного звена здравоохранения</w:t>
      </w:r>
      <w:r w:rsidRPr="00522104">
        <w:rPr>
          <w:rStyle w:val="af"/>
          <w:rFonts w:ascii="Times New Roman" w:eastAsia="Times New Roman" w:hAnsi="Times New Roman" w:cs="Times New Roman"/>
          <w:sz w:val="28"/>
          <w:szCs w:val="24"/>
        </w:rPr>
        <w:footnoteReference w:id="13"/>
      </w:r>
      <w:r w:rsidRPr="00522104">
        <w:rPr>
          <w:rFonts w:ascii="Times New Roman" w:eastAsia="Times New Roman" w:hAnsi="Times New Roman" w:cs="Times New Roman"/>
          <w:sz w:val="28"/>
          <w:szCs w:val="24"/>
        </w:rPr>
        <w:t xml:space="preserve">, а именно: </w:t>
      </w:r>
    </w:p>
    <w:p w14:paraId="7A7C36AB" w14:textId="02351A63"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4"/>
        </w:rPr>
        <w:t xml:space="preserve">министерством здравоохранения Приморского края в соответствии с программой модернизации средства будут направлены на </w:t>
      </w:r>
      <w:r w:rsidRPr="00522104">
        <w:rPr>
          <w:rFonts w:ascii="Times New Roman" w:eastAsia="Times New Roman" w:hAnsi="Times New Roman" w:cs="Times New Roman"/>
          <w:sz w:val="28"/>
          <w:szCs w:val="28"/>
        </w:rPr>
        <w:t>оснащение и переоснащение медицинских организаций автомобильным транспортом (104,40 млн рублей) и оборудованием (185,46 млн рублей), капитальный ремонт объектов недвижимого имущества медицинских организаций (373,47 млн рублей), приобретение, установку фельдшерско-акушерских пунктов, врачебных амбулаторий (49,670 млн рублей);</w:t>
      </w:r>
    </w:p>
    <w:p w14:paraId="0A4A49CB" w14:textId="11913581"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министерством строительства Приморского края будет осуществлено строительство в том числе проектно-изыскательские работы: поликлиники в с.</w:t>
      </w:r>
      <w:r w:rsidR="002E22B1" w:rsidRPr="00522104">
        <w:rPr>
          <w:rFonts w:ascii="Times New Roman" w:eastAsia="Times New Roman" w:hAnsi="Times New Roman" w:cs="Times New Roman"/>
          <w:sz w:val="28"/>
          <w:szCs w:val="28"/>
        </w:rPr>
        <w:t> </w:t>
      </w:r>
      <w:r w:rsidRPr="00522104">
        <w:rPr>
          <w:rFonts w:ascii="Times New Roman" w:eastAsia="Times New Roman" w:hAnsi="Times New Roman" w:cs="Times New Roman"/>
          <w:sz w:val="28"/>
          <w:szCs w:val="28"/>
        </w:rPr>
        <w:t>Новопокровка Красноармейского муниципального района, в с. Яковлевка Яковлевского муниципального района, с. Михайловка Михайловского муниципального района, в г. Находка, в с. Лазо Лазовского муниципального района (на общую сумму 480,26 млн рублей); больничного комплекса в пгт</w:t>
      </w:r>
      <w:r w:rsidR="002E22B1" w:rsidRPr="00522104">
        <w:rPr>
          <w:rFonts w:ascii="Times New Roman" w:eastAsia="Times New Roman" w:hAnsi="Times New Roman" w:cs="Times New Roman"/>
          <w:sz w:val="28"/>
          <w:szCs w:val="28"/>
        </w:rPr>
        <w:t> </w:t>
      </w:r>
      <w:r w:rsidRPr="00522104">
        <w:rPr>
          <w:rFonts w:ascii="Times New Roman" w:eastAsia="Times New Roman" w:hAnsi="Times New Roman" w:cs="Times New Roman"/>
          <w:sz w:val="28"/>
          <w:szCs w:val="28"/>
        </w:rPr>
        <w:t>Ольга Ольгинского муниципального района, в Надеждинском муниципальном районе (245,17 млн рублей); структурного подразделения поликлиники КГБУЗ "Владивостокская поликлиника № 1", КГБУЗ "Владивостокская детская поликлиника № 5", КГБУЗ "Владивостокская поликлиника № 9", КГБУЗ "Владивостокская детская поликлиника №</w:t>
      </w:r>
      <w:r w:rsidR="002E22B1" w:rsidRPr="00522104">
        <w:rPr>
          <w:rFonts w:ascii="Times New Roman" w:eastAsia="Times New Roman" w:hAnsi="Times New Roman" w:cs="Times New Roman"/>
          <w:sz w:val="28"/>
          <w:szCs w:val="28"/>
        </w:rPr>
        <w:t xml:space="preserve"> </w:t>
      </w:r>
      <w:r w:rsidRPr="00522104">
        <w:rPr>
          <w:rFonts w:ascii="Times New Roman" w:eastAsia="Times New Roman" w:hAnsi="Times New Roman" w:cs="Times New Roman"/>
          <w:sz w:val="28"/>
          <w:szCs w:val="28"/>
        </w:rPr>
        <w:t>3" (189,68 млн рублей); врачебной амбулатории в п. Заводском, г. Артем, в с.</w:t>
      </w:r>
      <w:r w:rsidR="002E22B1" w:rsidRPr="00522104">
        <w:rPr>
          <w:rFonts w:ascii="Times New Roman" w:eastAsia="Times New Roman" w:hAnsi="Times New Roman" w:cs="Times New Roman"/>
          <w:sz w:val="28"/>
          <w:szCs w:val="28"/>
        </w:rPr>
        <w:t> </w:t>
      </w:r>
      <w:r w:rsidRPr="00522104">
        <w:rPr>
          <w:rFonts w:ascii="Times New Roman" w:eastAsia="Times New Roman" w:hAnsi="Times New Roman" w:cs="Times New Roman"/>
          <w:sz w:val="28"/>
          <w:szCs w:val="28"/>
        </w:rPr>
        <w:t>Верхний Перевал Пожарского муниципального района (110,79 млн рублей).</w:t>
      </w:r>
    </w:p>
    <w:p w14:paraId="560AEB7A" w14:textId="77777777" w:rsidR="00113CB2" w:rsidRPr="00522104" w:rsidRDefault="00113CB2" w:rsidP="00113CB2">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В ходе параллельного со Счетной палатой Российской Федерации контрольного мероприятия "Анализ расходования бюджетных средств на организацию первичной медико-санитарной помощи" за период 2018-2020 годы и истекший период 2021 года определены риски, связанные с реализацией мероприятий регионального проекта, которые требуют существенных дополнительных финансовых вложений как со стороны министерства здравоохранения Приморского края, так и со стороны медицинских учреждений.</w:t>
      </w:r>
    </w:p>
    <w:p w14:paraId="7BF890D1" w14:textId="388DC7C3" w:rsidR="00113CB2" w:rsidRPr="00522104" w:rsidRDefault="00113CB2" w:rsidP="00113CB2">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Часть действующих объектов учреждений здравоохранения Приморского края имеет высокий процент износа и несоответствие санитарным правилам и нормам. По состоянию на 01.01.2021 количество зданий в системе здравоохранения Приморского края составляло 1371, из них 38,9 % – арендованные или приспособленные помещения; 22,4 % зданий находятся в аварийном состоянии. Из общего количества зданий, в которых оказывается первичная медико-санитарная помощь (1371), в 444 зданиях (32,4 %) отсутствует водопровод; в 861 (62,8 %) – горячее водоснабжение; в 766 (44,1 %) – центральное отопление; в 511 (37,3 %) – канализация; в 455 (33,2 %) – телефонная связь.</w:t>
      </w:r>
    </w:p>
    <w:p w14:paraId="2C92B023" w14:textId="09D8988A" w:rsidR="00113CB2" w:rsidRPr="00522104" w:rsidRDefault="00113CB2" w:rsidP="00113CB2">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По состоянию на 27.07.2021 в системе здравоохранения Приморского края числятся 420 ФАПов и врачебных амбулаторий, из них на 15 объектах (3,6 % от общего количества ФАПов и врачебных амбулаторий) не осуществляется деятельность; 75 зданиям (17,9 %) требуется реконструкция или капитальный ремонт, 14 зданиям (3,3 %) – требуется снос. Потребность в замене или капитальном ремонте зданий ФАПов и врачебных амбулаторий испытывает часть медицинских организаций, имеющих данные структурные подразделения, потребность варьируется от 33,3 % до 100 %.</w:t>
      </w:r>
    </w:p>
    <w:p w14:paraId="5EFD9409"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В рамках подпрограммы планируется осуществлять реализацию федеральных проектов НП "Здравоохранение". Так, предлагается в законопроекте на 2022 год объем средств:</w:t>
      </w:r>
    </w:p>
    <w:p w14:paraId="41250C50" w14:textId="422453DD"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 xml:space="preserve">с увеличением за счет краевого бюджета на 38,99 млн рублей (на 2022 год утвержденные назначения – 105,00 млн рублей, по законопроекту </w:t>
      </w:r>
      <w:r w:rsidR="002E22B1" w:rsidRPr="00522104">
        <w:rPr>
          <w:rFonts w:ascii="Times New Roman" w:eastAsia="Times New Roman" w:hAnsi="Times New Roman" w:cs="Times New Roman"/>
          <w:sz w:val="28"/>
          <w:szCs w:val="28"/>
        </w:rPr>
        <w:t>–</w:t>
      </w:r>
      <w:r w:rsidRPr="00522104">
        <w:rPr>
          <w:rFonts w:ascii="Times New Roman" w:eastAsia="Times New Roman" w:hAnsi="Times New Roman" w:cs="Times New Roman"/>
          <w:sz w:val="28"/>
          <w:szCs w:val="28"/>
        </w:rPr>
        <w:t xml:space="preserve"> 143,99 млн рублей) по </w:t>
      </w:r>
      <w:r w:rsidRPr="00522104">
        <w:rPr>
          <w:rFonts w:ascii="Times New Roman" w:eastAsia="Times New Roman" w:hAnsi="Times New Roman" w:cs="Times New Roman"/>
          <w:i/>
          <w:sz w:val="28"/>
          <w:szCs w:val="28"/>
        </w:rPr>
        <w:t>ФП "Развитие системы оказания первичной медико-санитарной помощи"</w:t>
      </w:r>
      <w:r w:rsidRPr="00522104">
        <w:rPr>
          <w:rFonts w:ascii="Times New Roman" w:eastAsia="Times New Roman" w:hAnsi="Times New Roman" w:cs="Times New Roman"/>
          <w:sz w:val="28"/>
          <w:szCs w:val="28"/>
        </w:rPr>
        <w:t>;</w:t>
      </w:r>
    </w:p>
    <w:p w14:paraId="45563A3F" w14:textId="1805286C"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 xml:space="preserve">с уменьшением средств федерального бюджета на 26,36 млн рублей по </w:t>
      </w:r>
      <w:r w:rsidRPr="00522104">
        <w:rPr>
          <w:rFonts w:ascii="Times New Roman" w:eastAsia="Times New Roman" w:hAnsi="Times New Roman" w:cs="Times New Roman"/>
          <w:i/>
          <w:sz w:val="28"/>
          <w:szCs w:val="28"/>
        </w:rPr>
        <w:t>ФП "Борьба с онкологическими заболеваниями"</w:t>
      </w:r>
      <w:r w:rsidRPr="00522104">
        <w:rPr>
          <w:rFonts w:ascii="Times New Roman" w:eastAsia="Times New Roman" w:hAnsi="Times New Roman" w:cs="Times New Roman"/>
          <w:sz w:val="28"/>
          <w:szCs w:val="28"/>
        </w:rPr>
        <w:t xml:space="preserve"> (на 2022 год утвержденные назначения – 327,59 млн рублей, по законопроекту </w:t>
      </w:r>
      <w:r w:rsidR="002E22B1" w:rsidRPr="00522104">
        <w:rPr>
          <w:rFonts w:ascii="Times New Roman" w:eastAsia="Times New Roman" w:hAnsi="Times New Roman" w:cs="Times New Roman"/>
          <w:sz w:val="28"/>
          <w:szCs w:val="28"/>
        </w:rPr>
        <w:t>–</w:t>
      </w:r>
      <w:r w:rsidRPr="00522104">
        <w:rPr>
          <w:rFonts w:ascii="Times New Roman" w:eastAsia="Times New Roman" w:hAnsi="Times New Roman" w:cs="Times New Roman"/>
          <w:sz w:val="28"/>
          <w:szCs w:val="28"/>
        </w:rPr>
        <w:t xml:space="preserve"> </w:t>
      </w:r>
      <w:r w:rsidR="001042DD" w:rsidRPr="00522104">
        <w:rPr>
          <w:rFonts w:ascii="Times New Roman" w:eastAsia="Times New Roman" w:hAnsi="Times New Roman" w:cs="Times New Roman"/>
          <w:sz w:val="28"/>
          <w:szCs w:val="28"/>
        </w:rPr>
        <w:t>301,23</w:t>
      </w:r>
      <w:r w:rsidRPr="00522104">
        <w:rPr>
          <w:rFonts w:ascii="Times New Roman" w:eastAsia="Times New Roman" w:hAnsi="Times New Roman" w:cs="Times New Roman"/>
          <w:sz w:val="28"/>
          <w:szCs w:val="28"/>
        </w:rPr>
        <w:t xml:space="preserve"> млн рублей);</w:t>
      </w:r>
    </w:p>
    <w:p w14:paraId="18054CEB" w14:textId="4683EF5E"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sz w:val="28"/>
          <w:szCs w:val="28"/>
        </w:rPr>
        <w:t xml:space="preserve">на </w:t>
      </w:r>
      <w:r w:rsidR="00C514E1" w:rsidRPr="00522104">
        <w:rPr>
          <w:rFonts w:ascii="Times New Roman" w:eastAsia="Times New Roman" w:hAnsi="Times New Roman" w:cs="Times New Roman"/>
          <w:sz w:val="28"/>
          <w:szCs w:val="28"/>
        </w:rPr>
        <w:t xml:space="preserve">утвержденном </w:t>
      </w:r>
      <w:r w:rsidRPr="00522104">
        <w:rPr>
          <w:rFonts w:ascii="Times New Roman" w:eastAsia="Times New Roman" w:hAnsi="Times New Roman" w:cs="Times New Roman"/>
          <w:sz w:val="28"/>
          <w:szCs w:val="28"/>
        </w:rPr>
        <w:t>уровне</w:t>
      </w:r>
      <w:r w:rsidR="00C514E1" w:rsidRPr="00522104">
        <w:rPr>
          <w:rFonts w:ascii="Times New Roman" w:eastAsia="Times New Roman" w:hAnsi="Times New Roman" w:cs="Times New Roman"/>
          <w:sz w:val="28"/>
          <w:szCs w:val="28"/>
        </w:rPr>
        <w:t xml:space="preserve"> в сумме</w:t>
      </w:r>
      <w:r w:rsidRPr="00522104">
        <w:rPr>
          <w:rFonts w:ascii="Times New Roman" w:eastAsia="Times New Roman" w:hAnsi="Times New Roman" w:cs="Times New Roman"/>
          <w:sz w:val="28"/>
          <w:szCs w:val="28"/>
        </w:rPr>
        <w:t xml:space="preserve"> 31,30 млн рублей по </w:t>
      </w:r>
      <w:r w:rsidRPr="00522104">
        <w:rPr>
          <w:rFonts w:ascii="Times New Roman" w:eastAsia="Times New Roman" w:hAnsi="Times New Roman" w:cs="Times New Roman"/>
          <w:i/>
          <w:sz w:val="28"/>
          <w:szCs w:val="28"/>
        </w:rPr>
        <w:t>ФП "Развитие детского здравоохранения, включая создание современной инфраструктуры оказания медицинской помощи детям".</w:t>
      </w:r>
    </w:p>
    <w:p w14:paraId="1E64988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Средства на реализацию </w:t>
      </w:r>
      <w:r w:rsidRPr="00522104">
        <w:rPr>
          <w:rFonts w:ascii="Times New Roman" w:eastAsia="Times New Roman" w:hAnsi="Times New Roman" w:cs="Times New Roman"/>
          <w:i/>
          <w:sz w:val="28"/>
          <w:szCs w:val="24"/>
        </w:rPr>
        <w:t>подпрограммы "Совершенствование медицинской помощи, укрепление здоровья населения и формирование здорового образа жизни"</w:t>
      </w:r>
      <w:r w:rsidRPr="00522104">
        <w:rPr>
          <w:rFonts w:ascii="Times New Roman" w:eastAsia="Times New Roman" w:hAnsi="Times New Roman" w:cs="Times New Roman"/>
          <w:sz w:val="28"/>
          <w:szCs w:val="24"/>
        </w:rPr>
        <w:t xml:space="preserve"> на 2022 год запланированы в сумме 16142,76 млн рублей с увеличением к утвержденным назначениям на 2022 год на 629,25 млн рублей (15513,51 млн рублей).</w:t>
      </w:r>
    </w:p>
    <w:p w14:paraId="143C65FC"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Законопроектом на 2022 год предлагаются в рамках подпрограммы новые расходные обязательства:</w:t>
      </w:r>
    </w:p>
    <w:p w14:paraId="6C214072" w14:textId="42140ACA"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i/>
          <w:sz w:val="28"/>
          <w:szCs w:val="24"/>
        </w:rPr>
        <w:t>по основному мероприятию "Дополнительное финансовое обеспечение реализации территориальной программы обязательного медицинского страхования"</w:t>
      </w:r>
      <w:r w:rsidRPr="00522104">
        <w:rPr>
          <w:rFonts w:ascii="Times New Roman" w:eastAsia="Times New Roman" w:hAnsi="Times New Roman" w:cs="Times New Roman"/>
          <w:sz w:val="28"/>
          <w:szCs w:val="24"/>
        </w:rPr>
        <w:t xml:space="preserve"> </w:t>
      </w:r>
      <w:r w:rsidR="002E22B1"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межбюджетные трансферты бюджету территориального фонда обязательного страхования Приморского края (далее – ТФОМС ПК)</w:t>
      </w:r>
      <w:r w:rsidRPr="00522104">
        <w:rPr>
          <w:rFonts w:ascii="Times New Roman" w:hAnsi="Times New Roman" w:cs="Times New Roman"/>
        </w:rPr>
        <w:t xml:space="preserve"> </w:t>
      </w:r>
      <w:r w:rsidRPr="00522104">
        <w:rPr>
          <w:rFonts w:ascii="Times New Roman" w:eastAsia="Times New Roman" w:hAnsi="Times New Roman" w:cs="Times New Roman"/>
          <w:sz w:val="28"/>
          <w:szCs w:val="24"/>
        </w:rPr>
        <w:t>на дополнительное финансовое обеспечение реализации территориальной программы обязательного медицинского страхования в части базовой программы – 216,00 млн рублей</w:t>
      </w:r>
      <w:r w:rsidR="001042DD"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w:t>
      </w:r>
    </w:p>
    <w:p w14:paraId="1E8E3FF1"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i/>
          <w:sz w:val="28"/>
          <w:szCs w:val="24"/>
        </w:rPr>
        <w:t>по основному мероприятию "Реализация проекта социального воздействия в сфере здравоохранения"</w:t>
      </w:r>
      <w:r w:rsidRPr="00522104">
        <w:rPr>
          <w:rFonts w:ascii="Times New Roman" w:eastAsia="Times New Roman" w:hAnsi="Times New Roman" w:cs="Times New Roman"/>
          <w:sz w:val="28"/>
          <w:szCs w:val="24"/>
        </w:rPr>
        <w:t xml:space="preserve"> – гранты в форме субсидии организатору (36,17 млн рублей) и оператору (1,50 млн рублей) проекта социального воздействия в Приморском крае, направленного на достижение социально значимого эффекта в сфере здравоохранения Приморского края.</w:t>
      </w:r>
    </w:p>
    <w:p w14:paraId="5237D5D2" w14:textId="22D82CED"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В соответствии с постановлением Правительства Приморского края</w:t>
      </w:r>
      <w:r w:rsidRPr="00522104">
        <w:rPr>
          <w:rStyle w:val="af"/>
          <w:rFonts w:ascii="Times New Roman" w:eastAsia="Times New Roman" w:hAnsi="Times New Roman" w:cs="Times New Roman"/>
          <w:sz w:val="28"/>
          <w:szCs w:val="24"/>
        </w:rPr>
        <w:footnoteReference w:id="14"/>
      </w:r>
      <w:r w:rsidRPr="00522104">
        <w:rPr>
          <w:rFonts w:ascii="Times New Roman" w:eastAsia="Times New Roman" w:hAnsi="Times New Roman" w:cs="Times New Roman"/>
          <w:sz w:val="28"/>
          <w:szCs w:val="24"/>
        </w:rPr>
        <w:t xml:space="preserve"> проект социального воздействия реализуется на территории 9 пилотных муниципальных образований Приморского края</w:t>
      </w:r>
      <w:r w:rsidRPr="00522104">
        <w:rPr>
          <w:rStyle w:val="af"/>
          <w:rFonts w:ascii="Times New Roman" w:eastAsia="Times New Roman" w:hAnsi="Times New Roman" w:cs="Times New Roman"/>
          <w:sz w:val="28"/>
          <w:szCs w:val="24"/>
        </w:rPr>
        <w:footnoteReference w:id="15"/>
      </w:r>
      <w:r w:rsidRPr="00522104">
        <w:rPr>
          <w:rFonts w:ascii="Times New Roman" w:eastAsia="Times New Roman" w:hAnsi="Times New Roman" w:cs="Times New Roman"/>
          <w:sz w:val="28"/>
          <w:szCs w:val="24"/>
        </w:rPr>
        <w:t>. Целями являются увеличение численности граждан, прошедших диспансеризацию и получивших информацию о состоянии их здоровья; создание условий для получения гражданами необходимых лекарственных препаратов для медицинского применения по рецептам на лекарственные препараты, медицинских изделий по рецептам на медицинские изделия, а также специализированных продуктов лечебного питания для детей-инвалидов с доставкой к месту их фактического проживания; повышение информированности медицинских организаций о состоянии здоровья граждан, получающих лекарственные препараты с доставкой к месту их фактического проживания. Организатор проекта – акционерное общество "Почта России", оператор проекта – государственная корпорация развития "ВЭБ.РФ";</w:t>
      </w:r>
    </w:p>
    <w:p w14:paraId="4312A7E4" w14:textId="6BEAA15D"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i/>
          <w:sz w:val="28"/>
          <w:szCs w:val="24"/>
        </w:rPr>
        <w:t>по основному мероприятию "Проведение независимой оценки медицинских организаций Приморского края"</w:t>
      </w:r>
      <w:r w:rsidRPr="00522104">
        <w:rPr>
          <w:rFonts w:ascii="Times New Roman" w:eastAsia="Times New Roman" w:hAnsi="Times New Roman" w:cs="Times New Roman"/>
          <w:sz w:val="28"/>
          <w:szCs w:val="24"/>
        </w:rPr>
        <w:t xml:space="preserve"> </w:t>
      </w:r>
      <w:r w:rsidR="002E22B1"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грант в форме субсидии победителям регионального рейтинга медицинских организаций "Знак качества" (0,75 млн рублей);</w:t>
      </w:r>
    </w:p>
    <w:p w14:paraId="3DBF9E0F" w14:textId="233D6F63"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i/>
          <w:sz w:val="28"/>
          <w:szCs w:val="24"/>
        </w:rPr>
        <w:t>по основному мероприятию "Информационные сервисы в здравоохранении"</w:t>
      </w:r>
      <w:r w:rsidRPr="00522104">
        <w:rPr>
          <w:rFonts w:ascii="Times New Roman" w:eastAsia="Times New Roman" w:hAnsi="Times New Roman" w:cs="Times New Roman"/>
          <w:sz w:val="28"/>
          <w:szCs w:val="24"/>
        </w:rPr>
        <w:t xml:space="preserve"> – внедрение сервиса голосового заполнения медицинской документации (10,40 млн рублей) и дистанционный мониторинг состояния здоровья граждан (13,00 млн рублей).</w:t>
      </w:r>
    </w:p>
    <w:p w14:paraId="7B1F832E" w14:textId="49DB5042"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По </w:t>
      </w:r>
      <w:r w:rsidRPr="00522104">
        <w:rPr>
          <w:rFonts w:ascii="Times New Roman" w:eastAsia="Times New Roman" w:hAnsi="Times New Roman" w:cs="Times New Roman"/>
          <w:i/>
          <w:sz w:val="28"/>
          <w:szCs w:val="24"/>
        </w:rPr>
        <w:t xml:space="preserve">основному мероприятию "Организация обеспечения населения Приморского края льготными лекарственными средствами" </w:t>
      </w:r>
      <w:r w:rsidRPr="00522104">
        <w:rPr>
          <w:rFonts w:ascii="Times New Roman" w:eastAsia="Times New Roman" w:hAnsi="Times New Roman" w:cs="Times New Roman"/>
          <w:sz w:val="28"/>
          <w:szCs w:val="24"/>
        </w:rPr>
        <w:t xml:space="preserve">законопроектом по сравнению с утвержденными на 2022 год средствами предлагается увеличение на 32,49 млн рублей (на 2022 год утвержденные назначения 1748,50 млн рублей, по законопроекту </w:t>
      </w:r>
      <w:r w:rsidR="002E22B1"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1780,99 млн рублей) за счет увеличения:</w:t>
      </w:r>
    </w:p>
    <w:p w14:paraId="02F884D5" w14:textId="6F245C8E"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на 22,22 млн рублей средств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(на 2022 год утверждено 374,65 млн рублей, по законопроекту </w:t>
      </w:r>
      <w:r w:rsidR="00BC6A95"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396,86 млн рублей);</w:t>
      </w:r>
    </w:p>
    <w:p w14:paraId="130CA271" w14:textId="4642DE4A"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на 9,18 млн рублей средств на 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 (на 2022 год утверждено 1229,57 млн рублей, по законопроекту </w:t>
      </w:r>
      <w:r w:rsidR="00BC6A95"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1238,75 млн рублей).</w:t>
      </w:r>
    </w:p>
    <w:p w14:paraId="66C09255" w14:textId="15EEAF18"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За счет увеличения </w:t>
      </w:r>
      <w:r w:rsidR="001042DD" w:rsidRPr="00522104">
        <w:rPr>
          <w:rFonts w:ascii="Times New Roman" w:eastAsia="Times New Roman" w:hAnsi="Times New Roman" w:cs="Times New Roman"/>
          <w:sz w:val="28"/>
          <w:szCs w:val="24"/>
        </w:rPr>
        <w:t xml:space="preserve">на 29,47 млн рублей </w:t>
      </w:r>
      <w:r w:rsidRPr="00522104">
        <w:rPr>
          <w:rFonts w:ascii="Times New Roman" w:eastAsia="Times New Roman" w:hAnsi="Times New Roman" w:cs="Times New Roman"/>
          <w:sz w:val="28"/>
          <w:szCs w:val="24"/>
        </w:rPr>
        <w:t>объема софин</w:t>
      </w:r>
      <w:r w:rsidR="00BC6A95" w:rsidRPr="00522104">
        <w:rPr>
          <w:rFonts w:ascii="Times New Roman" w:eastAsia="Times New Roman" w:hAnsi="Times New Roman" w:cs="Times New Roman"/>
          <w:sz w:val="28"/>
          <w:szCs w:val="24"/>
        </w:rPr>
        <w:t>ан</w:t>
      </w:r>
      <w:r w:rsidRPr="00522104">
        <w:rPr>
          <w:rFonts w:ascii="Times New Roman" w:eastAsia="Times New Roman" w:hAnsi="Times New Roman" w:cs="Times New Roman"/>
          <w:sz w:val="28"/>
          <w:szCs w:val="24"/>
        </w:rPr>
        <w:t xml:space="preserve">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увеличиваются по сравнению с утвержденными расходами на 2022 год средства в законопроекте по </w:t>
      </w:r>
      <w:r w:rsidRPr="00522104">
        <w:rPr>
          <w:rFonts w:ascii="Times New Roman" w:eastAsia="Times New Roman" w:hAnsi="Times New Roman" w:cs="Times New Roman"/>
          <w:i/>
          <w:sz w:val="28"/>
          <w:szCs w:val="24"/>
        </w:rPr>
        <w:t>основному мероприятию "Организация оказания специализированной и высокотехнологичной медицинской помощи жителям Приморского края"</w:t>
      </w:r>
      <w:r w:rsidRPr="00522104">
        <w:rPr>
          <w:rFonts w:ascii="Times New Roman" w:eastAsia="Times New Roman" w:hAnsi="Times New Roman" w:cs="Times New Roman"/>
          <w:sz w:val="28"/>
          <w:szCs w:val="24"/>
        </w:rPr>
        <w:t xml:space="preserve"> (на 2022 год утверждено </w:t>
      </w:r>
      <w:r w:rsidR="002B594E"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95,48 млн рублей, по законопроекту </w:t>
      </w:r>
      <w:r w:rsidR="002B594E"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124,95 млн рублей).</w:t>
      </w:r>
    </w:p>
    <w:p w14:paraId="04BAAA17" w14:textId="13A50615"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4"/>
        </w:rPr>
        <w:t xml:space="preserve">Страховые взносы на обязательное медицинское страхование неработающего населения </w:t>
      </w:r>
      <w:r w:rsidRPr="00522104">
        <w:rPr>
          <w:rFonts w:ascii="Times New Roman" w:eastAsia="Times New Roman" w:hAnsi="Times New Roman" w:cs="Times New Roman"/>
          <w:i/>
          <w:sz w:val="28"/>
          <w:szCs w:val="24"/>
        </w:rPr>
        <w:t>по основному мероприятию "Организация</w:t>
      </w:r>
      <w:r w:rsidRPr="00522104">
        <w:rPr>
          <w:rFonts w:ascii="Times New Roman" w:eastAsia="Times New Roman" w:hAnsi="Times New Roman" w:cs="Times New Roman"/>
          <w:sz w:val="28"/>
          <w:szCs w:val="24"/>
          <w:u w:val="single"/>
        </w:rPr>
        <w:t xml:space="preserve"> </w:t>
      </w:r>
      <w:r w:rsidRPr="00522104">
        <w:rPr>
          <w:rFonts w:ascii="Times New Roman" w:eastAsia="Times New Roman" w:hAnsi="Times New Roman" w:cs="Times New Roman"/>
          <w:i/>
          <w:sz w:val="28"/>
          <w:szCs w:val="24"/>
        </w:rPr>
        <w:t xml:space="preserve">бесплатного оказания гражданам медицинской помощи в Приморском крае" </w:t>
      </w:r>
      <w:r w:rsidRPr="00522104">
        <w:rPr>
          <w:rFonts w:ascii="Times New Roman" w:eastAsia="Times New Roman" w:hAnsi="Times New Roman" w:cs="Times New Roman"/>
          <w:sz w:val="28"/>
          <w:szCs w:val="24"/>
        </w:rPr>
        <w:t xml:space="preserve">на 2022 год запланированы в сумме 12768,68 млн рублей, </w:t>
      </w:r>
      <w:r w:rsidRPr="00522104">
        <w:rPr>
          <w:rFonts w:ascii="Times New Roman" w:eastAsia="Times New Roman" w:hAnsi="Times New Roman" w:cs="Times New Roman"/>
          <w:sz w:val="28"/>
          <w:szCs w:val="28"/>
          <w:lang w:eastAsia="ru-RU"/>
        </w:rPr>
        <w:t xml:space="preserve">на 2023 год </w:t>
      </w:r>
      <w:r w:rsidR="002B594E"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13281,87 млн руб</w:t>
      </w:r>
      <w:r w:rsidR="002B594E" w:rsidRPr="00522104">
        <w:rPr>
          <w:rFonts w:ascii="Times New Roman" w:eastAsia="Times New Roman" w:hAnsi="Times New Roman" w:cs="Times New Roman"/>
          <w:sz w:val="28"/>
          <w:szCs w:val="28"/>
          <w:lang w:eastAsia="ru-RU"/>
        </w:rPr>
        <w:t>лей,</w:t>
      </w:r>
      <w:r w:rsidRPr="00522104">
        <w:rPr>
          <w:rFonts w:ascii="Times New Roman" w:eastAsia="Times New Roman" w:hAnsi="Times New Roman" w:cs="Times New Roman"/>
          <w:sz w:val="28"/>
          <w:szCs w:val="28"/>
          <w:lang w:eastAsia="ru-RU"/>
        </w:rPr>
        <w:t xml:space="preserve"> на 2024 год </w:t>
      </w:r>
      <w:r w:rsidR="002B594E"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13815,59 млн рублей.</w:t>
      </w:r>
    </w:p>
    <w:p w14:paraId="081BD45B" w14:textId="77777777"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Контрольно-счетная палата отмечает, что при снижении численности неработающего населения Приморского края на 20 189 человек (2 %) с 1 089 772 человек (2019 год) до 1 069 583 человек (на 01.01.2021), наблюдается рост страховых взносов на ОМС неработающего населения, в связи с чем увеличивается нагрузка на краевой бюджет.</w:t>
      </w:r>
      <w:r w:rsidRPr="00522104">
        <w:rPr>
          <w:rFonts w:ascii="Times New Roman" w:eastAsia="Times New Roman" w:hAnsi="Times New Roman" w:cs="Times New Roman"/>
          <w:sz w:val="28"/>
          <w:szCs w:val="24"/>
          <w:vertAlign w:val="superscript"/>
          <w:lang w:eastAsia="ru-RU"/>
        </w:rPr>
        <w:footnoteReference w:id="16"/>
      </w:r>
      <w:r w:rsidRPr="00522104">
        <w:rPr>
          <w:rFonts w:ascii="Times New Roman" w:eastAsia="Times New Roman" w:hAnsi="Times New Roman" w:cs="Times New Roman"/>
          <w:sz w:val="28"/>
          <w:szCs w:val="24"/>
          <w:lang w:eastAsia="ru-RU"/>
        </w:rPr>
        <w:t>Например, по сравнению с 2019 годом размер страховых взносов на ОМС год неработающего населения на 2022 год вырос на 9,1 %.</w:t>
      </w:r>
    </w:p>
    <w:p w14:paraId="2EAE49AD" w14:textId="77777777"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На 2022 - 2024 годы расчет страховых взносов на ОМС неработающего населения производится исходя из тарифа 18 864,6 рубля, коэффициентов дифференциации и коэффициентов удорожания стоимости медицинских услуг, установленных проектом Федерального закона "О бюджете Федерального фонда обязательного медицинского страхования на 2022 год и на плановый период 2023 и 2024 годов".</w:t>
      </w:r>
    </w:p>
    <w:p w14:paraId="6F4D488A" w14:textId="302B3A33"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bCs/>
          <w:sz w:val="28"/>
          <w:szCs w:val="24"/>
          <w:lang w:eastAsia="ru-RU"/>
        </w:rPr>
        <w:t xml:space="preserve">Прогнозируемый размер страховых взносов на обязательное медицинское страхование на неработающее население по расчетным данным Контрольно-счетной палаты соответствует представленному в законопроекте. </w:t>
      </w:r>
      <w:r w:rsidRPr="00522104">
        <w:rPr>
          <w:rFonts w:ascii="Times New Roman" w:eastAsia="Times New Roman" w:hAnsi="Times New Roman" w:cs="Times New Roman"/>
          <w:sz w:val="28"/>
          <w:szCs w:val="24"/>
          <w:lang w:eastAsia="ru-RU"/>
        </w:rPr>
        <w:t>При расчете Контрольно-счетной палатой применены коэффициенты дифференциации (0,5087) и коэффициенты удорожания стоимости медицинских услуг (1,244</w:t>
      </w:r>
      <w:r w:rsidR="002B594E"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1,294</w:t>
      </w:r>
      <w:r w:rsidR="002B594E"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1,346 соответственно), установленные проектом Федерального закона "О бюджете ФФОМС на 2022 год и плановый период 2023 и 2024 годов" и численности застрахованных граждан Приморского края по состоянию на 01.01.2021 в количестве 1 069 583 человек. </w:t>
      </w:r>
    </w:p>
    <w:p w14:paraId="02E4B60C" w14:textId="7A29D3F5"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Необходимо отметить, что расчет платежа на обязательное медицинское страхование неработающего населения</w:t>
      </w:r>
      <w:r w:rsidR="002B594E"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предоставленный министерством здравоохранения Приморского края по запросу Контрольно-счетной палаты</w:t>
      </w:r>
      <w:r w:rsidR="002B594E"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содержит некоррек</w:t>
      </w:r>
      <w:r w:rsidR="002B594E" w:rsidRPr="00522104">
        <w:rPr>
          <w:rFonts w:ascii="Times New Roman" w:eastAsia="Times New Roman" w:hAnsi="Times New Roman" w:cs="Times New Roman"/>
          <w:sz w:val="28"/>
          <w:szCs w:val="24"/>
          <w:lang w:eastAsia="ru-RU"/>
        </w:rPr>
        <w:t>тную и недостоверную информацию</w:t>
      </w:r>
      <w:r w:rsidRPr="00522104">
        <w:rPr>
          <w:rFonts w:ascii="Times New Roman" w:eastAsia="Times New Roman" w:hAnsi="Times New Roman" w:cs="Times New Roman"/>
          <w:sz w:val="28"/>
          <w:szCs w:val="24"/>
          <w:lang w:eastAsia="ru-RU"/>
        </w:rPr>
        <w:t xml:space="preserve"> как о плановых расчетных периодах, так и об планируемых объемах страховых взносов на 2022 -2024 годы на ОМС неработающего населения. </w:t>
      </w:r>
    </w:p>
    <w:p w14:paraId="1B288AA8" w14:textId="01F90D5E"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Например, в представленном расчете указаны периоды: на 2021 год (очередной финансовый год); на 2022 </w:t>
      </w:r>
      <w:r w:rsidR="002B594E"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2023 годы, на 2024 год расчет не указан. Кроме того, представленный расчет не соответствует проекту краевого бюджета: в расчете объем страховых взносов на 2022 год указан в сумме 12 851,0 млн рублей, в проекте </w:t>
      </w:r>
      <w:r w:rsidRPr="00522104">
        <w:rPr>
          <w:rFonts w:ascii="Times New Roman" w:eastAsia="Times New Roman" w:hAnsi="Times New Roman" w:cs="Times New Roman"/>
          <w:bCs/>
          <w:sz w:val="28"/>
          <w:szCs w:val="24"/>
          <w:lang w:eastAsia="ru-RU"/>
        </w:rPr>
        <w:t xml:space="preserve">"О краевом бюджете на 2022 год и плановый период 2023-2024 годов" в сумме 12 768,68 млн рублей, разница в 82,32 млн рублей; на 2023 год в расчете аналогичная сумма </w:t>
      </w:r>
      <w:r w:rsidR="002B594E" w:rsidRPr="00522104">
        <w:rPr>
          <w:rFonts w:ascii="Times New Roman" w:eastAsia="Times New Roman" w:hAnsi="Times New Roman" w:cs="Times New Roman"/>
          <w:bCs/>
          <w:sz w:val="28"/>
          <w:szCs w:val="24"/>
          <w:lang w:eastAsia="ru-RU"/>
        </w:rPr>
        <w:t>–</w:t>
      </w:r>
      <w:r w:rsidRPr="00522104">
        <w:rPr>
          <w:rFonts w:ascii="Times New Roman" w:eastAsia="Times New Roman" w:hAnsi="Times New Roman" w:cs="Times New Roman"/>
          <w:bCs/>
          <w:sz w:val="28"/>
          <w:szCs w:val="24"/>
          <w:lang w:eastAsia="ru-RU"/>
        </w:rPr>
        <w:t xml:space="preserve"> 12 851,</w:t>
      </w:r>
      <w:r w:rsidR="002B594E" w:rsidRPr="00522104">
        <w:rPr>
          <w:rFonts w:ascii="Times New Roman" w:eastAsia="Times New Roman" w:hAnsi="Times New Roman" w:cs="Times New Roman"/>
          <w:bCs/>
          <w:sz w:val="28"/>
          <w:szCs w:val="24"/>
          <w:lang w:eastAsia="ru-RU"/>
        </w:rPr>
        <w:t>87 млн рублей, в законопроекте –</w:t>
      </w:r>
      <w:r w:rsidRPr="00522104">
        <w:rPr>
          <w:rFonts w:ascii="Times New Roman" w:eastAsia="Times New Roman" w:hAnsi="Times New Roman" w:cs="Times New Roman"/>
          <w:bCs/>
          <w:sz w:val="28"/>
          <w:szCs w:val="24"/>
          <w:lang w:eastAsia="ru-RU"/>
        </w:rPr>
        <w:t xml:space="preserve"> 13 281,87 млн рублей, разница в 430,87 млн рублей, на 2024 год расчет отсутствует.</w:t>
      </w:r>
    </w:p>
    <w:p w14:paraId="7D5C0D85" w14:textId="77777777"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В рамках подпрограммы в 2022 году планируется реализация: </w:t>
      </w:r>
    </w:p>
    <w:p w14:paraId="26298DD9" w14:textId="77777777" w:rsidR="00243EC1"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2 федеральных проект</w:t>
      </w:r>
      <w:r w:rsidR="001042DD" w:rsidRPr="00522104">
        <w:rPr>
          <w:rFonts w:ascii="Times New Roman" w:eastAsia="Times New Roman" w:hAnsi="Times New Roman" w:cs="Times New Roman"/>
          <w:sz w:val="28"/>
          <w:szCs w:val="24"/>
          <w:lang w:eastAsia="ru-RU"/>
        </w:rPr>
        <w:t>а</w:t>
      </w:r>
      <w:r w:rsidRPr="00522104">
        <w:rPr>
          <w:rFonts w:ascii="Times New Roman" w:eastAsia="Times New Roman" w:hAnsi="Times New Roman" w:cs="Times New Roman"/>
          <w:sz w:val="28"/>
          <w:szCs w:val="24"/>
          <w:lang w:eastAsia="ru-RU"/>
        </w:rPr>
        <w:t xml:space="preserve"> в </w:t>
      </w:r>
      <w:r w:rsidR="001042DD" w:rsidRPr="00522104">
        <w:rPr>
          <w:rFonts w:ascii="Times New Roman" w:eastAsia="Times New Roman" w:hAnsi="Times New Roman" w:cs="Times New Roman"/>
          <w:sz w:val="28"/>
          <w:szCs w:val="24"/>
          <w:lang w:eastAsia="ru-RU"/>
        </w:rPr>
        <w:t>рамках</w:t>
      </w:r>
      <w:r w:rsidRPr="00522104">
        <w:rPr>
          <w:rFonts w:ascii="Times New Roman" w:eastAsia="Times New Roman" w:hAnsi="Times New Roman" w:cs="Times New Roman"/>
          <w:sz w:val="28"/>
          <w:szCs w:val="24"/>
          <w:lang w:eastAsia="ru-RU"/>
        </w:rPr>
        <w:t xml:space="preserve"> НП "Здравоохранение": </w:t>
      </w:r>
    </w:p>
    <w:p w14:paraId="4F7FAAE4" w14:textId="23338338"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i/>
          <w:sz w:val="28"/>
          <w:szCs w:val="24"/>
          <w:lang w:eastAsia="ru-RU"/>
        </w:rPr>
        <w:t xml:space="preserve">"Борьба с сердечно-сосудистыми заболеваниями" </w:t>
      </w:r>
      <w:r w:rsidRPr="00522104">
        <w:rPr>
          <w:rFonts w:ascii="Times New Roman" w:eastAsia="Times New Roman" w:hAnsi="Times New Roman" w:cs="Times New Roman"/>
          <w:sz w:val="28"/>
          <w:szCs w:val="24"/>
          <w:lang w:eastAsia="ru-RU"/>
        </w:rPr>
        <w:t>– 400,76 млн рублей, что на 5,55 млн рубле</w:t>
      </w:r>
      <w:r w:rsidR="002B594E" w:rsidRPr="00522104">
        <w:rPr>
          <w:rFonts w:ascii="Times New Roman" w:eastAsia="Times New Roman" w:hAnsi="Times New Roman" w:cs="Times New Roman"/>
          <w:sz w:val="28"/>
          <w:szCs w:val="24"/>
          <w:lang w:eastAsia="ru-RU"/>
        </w:rPr>
        <w:t>й больше утвержденных назначений</w:t>
      </w:r>
      <w:r w:rsidRPr="00522104">
        <w:rPr>
          <w:rFonts w:ascii="Times New Roman" w:eastAsia="Times New Roman" w:hAnsi="Times New Roman" w:cs="Times New Roman"/>
          <w:sz w:val="28"/>
          <w:szCs w:val="24"/>
          <w:lang w:eastAsia="ru-RU"/>
        </w:rPr>
        <w:t xml:space="preserve"> (395,21 млн рублей);</w:t>
      </w:r>
    </w:p>
    <w:p w14:paraId="6FCBC52A" w14:textId="4E82BFFD"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i/>
          <w:sz w:val="28"/>
          <w:szCs w:val="24"/>
          <w:lang w:eastAsia="ru-RU"/>
        </w:rPr>
        <w:t>"Создание единого цифрового контура в здравоохранении на основе единой государственной информационной системы здравоохранения (ЕГИСЗ)"</w:t>
      </w:r>
      <w:r w:rsidRPr="00522104">
        <w:rPr>
          <w:rFonts w:ascii="Times New Roman" w:eastAsia="Times New Roman" w:hAnsi="Times New Roman" w:cs="Times New Roman"/>
          <w:sz w:val="28"/>
          <w:szCs w:val="24"/>
          <w:lang w:eastAsia="ru-RU"/>
        </w:rPr>
        <w:t xml:space="preserve"> – 595,83 млн рублей, что на 431</w:t>
      </w:r>
      <w:r w:rsidR="00C514E1" w:rsidRPr="00522104">
        <w:rPr>
          <w:rFonts w:ascii="Times New Roman" w:eastAsia="Times New Roman" w:hAnsi="Times New Roman" w:cs="Times New Roman"/>
          <w:sz w:val="28"/>
          <w:szCs w:val="24"/>
          <w:lang w:eastAsia="ru-RU"/>
        </w:rPr>
        <w:t>,48</w:t>
      </w:r>
      <w:r w:rsidRPr="00522104">
        <w:rPr>
          <w:rFonts w:ascii="Times New Roman" w:eastAsia="Times New Roman" w:hAnsi="Times New Roman" w:cs="Times New Roman"/>
          <w:sz w:val="28"/>
          <w:szCs w:val="24"/>
          <w:lang w:eastAsia="ru-RU"/>
        </w:rPr>
        <w:t xml:space="preserve"> млн рублей больше утвержденных назначений (164,35 млн рублей);</w:t>
      </w:r>
    </w:p>
    <w:p w14:paraId="7757E260" w14:textId="052F7272"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2 федеральных проект</w:t>
      </w:r>
      <w:r w:rsidR="002B594E" w:rsidRPr="00522104">
        <w:rPr>
          <w:rFonts w:ascii="Times New Roman" w:eastAsia="Times New Roman" w:hAnsi="Times New Roman" w:cs="Times New Roman"/>
          <w:sz w:val="28"/>
          <w:szCs w:val="24"/>
          <w:lang w:eastAsia="ru-RU"/>
        </w:rPr>
        <w:t>а</w:t>
      </w:r>
      <w:r w:rsidRPr="00522104">
        <w:rPr>
          <w:rFonts w:ascii="Times New Roman" w:eastAsia="Times New Roman" w:hAnsi="Times New Roman" w:cs="Times New Roman"/>
          <w:sz w:val="28"/>
          <w:szCs w:val="24"/>
          <w:lang w:eastAsia="ru-RU"/>
        </w:rPr>
        <w:t xml:space="preserve"> НП "Демография":</w:t>
      </w:r>
    </w:p>
    <w:p w14:paraId="0194827A" w14:textId="77777777"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i/>
          <w:sz w:val="28"/>
          <w:szCs w:val="24"/>
          <w:lang w:eastAsia="ru-RU"/>
        </w:rPr>
        <w:t>"Старшее поколение"</w:t>
      </w:r>
      <w:r w:rsidRPr="00522104">
        <w:rPr>
          <w:rFonts w:ascii="Times New Roman" w:eastAsia="Times New Roman" w:hAnsi="Times New Roman" w:cs="Times New Roman"/>
          <w:sz w:val="28"/>
          <w:szCs w:val="24"/>
          <w:lang w:eastAsia="ru-RU"/>
        </w:rPr>
        <w:t xml:space="preserve"> – 0,41 млн рублей, что больше на 0,10 млн рублей утвержденных назначений (0,31 млн рублей);</w:t>
      </w:r>
    </w:p>
    <w:p w14:paraId="395E30B4" w14:textId="7662A30D" w:rsidR="00827437" w:rsidRPr="00522104" w:rsidRDefault="00827437" w:rsidP="00827437">
      <w:pPr>
        <w:spacing w:after="0" w:line="240" w:lineRule="auto"/>
        <w:ind w:firstLineChars="257"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i/>
          <w:sz w:val="28"/>
          <w:szCs w:val="24"/>
          <w:lang w:eastAsia="ru-RU"/>
        </w:rPr>
        <w:t>"Укрепление общественного здоровья"</w:t>
      </w:r>
      <w:r w:rsidRPr="00522104">
        <w:rPr>
          <w:rFonts w:ascii="Times New Roman" w:eastAsia="Times New Roman" w:hAnsi="Times New Roman" w:cs="Times New Roman"/>
          <w:sz w:val="28"/>
          <w:szCs w:val="24"/>
          <w:lang w:eastAsia="ru-RU"/>
        </w:rPr>
        <w:t xml:space="preserve"> – 17,62 млн рублей, что практически на уровне утвержденных назначений (17,66 млн рублей).</w:t>
      </w:r>
    </w:p>
    <w:p w14:paraId="6D7F2D93"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Средства на реализацию </w:t>
      </w:r>
      <w:r w:rsidRPr="00522104">
        <w:rPr>
          <w:rFonts w:ascii="Times New Roman" w:eastAsia="Times New Roman" w:hAnsi="Times New Roman" w:cs="Times New Roman"/>
          <w:i/>
          <w:sz w:val="28"/>
          <w:szCs w:val="24"/>
        </w:rPr>
        <w:t>подпрограммы "Развитие кадрового потенциала"</w:t>
      </w:r>
      <w:r w:rsidRPr="00522104">
        <w:rPr>
          <w:rFonts w:ascii="Times New Roman" w:eastAsia="Times New Roman" w:hAnsi="Times New Roman" w:cs="Times New Roman"/>
          <w:sz w:val="28"/>
          <w:szCs w:val="24"/>
        </w:rPr>
        <w:t xml:space="preserve"> на 2022 год запланированы в сумме 759,50 млн рублей с увеличением к утвержденным назначениям 2022 года на 105,88 млн рублей (653,62 млн рублей</w:t>
      </w:r>
      <w:r w:rsidRPr="00522104">
        <w:rPr>
          <w:rFonts w:ascii="Times New Roman" w:eastAsia="Times New Roman" w:hAnsi="Times New Roman" w:cs="Times New Roman"/>
          <w:sz w:val="28"/>
          <w:szCs w:val="28"/>
        </w:rPr>
        <w:t>).</w:t>
      </w:r>
      <w:r w:rsidRPr="00522104">
        <w:rPr>
          <w:rFonts w:ascii="Times New Roman" w:eastAsia="Calibri" w:hAnsi="Times New Roman" w:cs="Times New Roman"/>
          <w:sz w:val="28"/>
          <w:szCs w:val="28"/>
        </w:rPr>
        <w:t xml:space="preserve"> </w:t>
      </w:r>
    </w:p>
    <w:p w14:paraId="430450F2"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В рамках подпрограммы законопроектом на 2022 год предлагаются новые расходные обязательства:</w:t>
      </w:r>
    </w:p>
    <w:p w14:paraId="17A2272A"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по </w:t>
      </w:r>
      <w:r w:rsidRPr="00522104">
        <w:rPr>
          <w:rFonts w:ascii="Times New Roman" w:eastAsia="Times New Roman" w:hAnsi="Times New Roman" w:cs="Times New Roman"/>
          <w:i/>
          <w:sz w:val="28"/>
          <w:szCs w:val="24"/>
        </w:rPr>
        <w:t>основному мероприятию "Предоставление мер социальной поддержки студентам и ординаторам высших учебных заведений, обучающимся в рамках целевой подготовки"</w:t>
      </w:r>
      <w:r w:rsidRPr="00522104">
        <w:rPr>
          <w:rFonts w:ascii="Times New Roman" w:eastAsia="Times New Roman" w:hAnsi="Times New Roman" w:cs="Times New Roman"/>
          <w:sz w:val="28"/>
          <w:szCs w:val="24"/>
        </w:rPr>
        <w:t xml:space="preserve"> – 2,28 млн рублей на предоставление гражданам, заключившим договор о целевом обучении, мер поддержки в период обучения;</w:t>
      </w:r>
    </w:p>
    <w:p w14:paraId="42C5222A"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по </w:t>
      </w:r>
      <w:r w:rsidRPr="00522104">
        <w:rPr>
          <w:rFonts w:ascii="Times New Roman" w:eastAsia="Times New Roman" w:hAnsi="Times New Roman" w:cs="Times New Roman"/>
          <w:i/>
          <w:sz w:val="28"/>
          <w:szCs w:val="24"/>
        </w:rPr>
        <w:t>основному мероприятию "Организация проведения социологических опросов медицинских работников"</w:t>
      </w:r>
      <w:r w:rsidRPr="00522104">
        <w:rPr>
          <w:rFonts w:ascii="Times New Roman" w:eastAsia="Times New Roman" w:hAnsi="Times New Roman" w:cs="Times New Roman"/>
          <w:sz w:val="28"/>
          <w:szCs w:val="24"/>
        </w:rPr>
        <w:t xml:space="preserve"> – 0,50 млн рублей на оценку эффективности существующих мер социальной поддержки и ожиданий со стороны медицинских работников;</w:t>
      </w:r>
    </w:p>
    <w:p w14:paraId="1FBC900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по </w:t>
      </w:r>
      <w:r w:rsidRPr="00522104">
        <w:rPr>
          <w:rFonts w:ascii="Times New Roman" w:eastAsia="Times New Roman" w:hAnsi="Times New Roman" w:cs="Times New Roman"/>
          <w:i/>
          <w:sz w:val="28"/>
          <w:szCs w:val="24"/>
        </w:rPr>
        <w:t>основному мероприятию "Организация подбора кадров из других регионов"</w:t>
      </w:r>
      <w:r w:rsidRPr="00522104">
        <w:rPr>
          <w:rFonts w:ascii="Times New Roman" w:eastAsia="Times New Roman" w:hAnsi="Times New Roman" w:cs="Times New Roman"/>
          <w:sz w:val="28"/>
          <w:szCs w:val="24"/>
        </w:rPr>
        <w:t xml:space="preserve"> – 5,00 млн рублей на привлечение к подбору кадров профессионального кадрового (рекрутингового) агентства для привлечения специалистов из других регионов;</w:t>
      </w:r>
    </w:p>
    <w:p w14:paraId="1FEE5687"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по </w:t>
      </w:r>
      <w:r w:rsidRPr="00522104">
        <w:rPr>
          <w:rFonts w:ascii="Times New Roman" w:eastAsia="Times New Roman" w:hAnsi="Times New Roman" w:cs="Times New Roman"/>
          <w:i/>
          <w:sz w:val="28"/>
          <w:szCs w:val="24"/>
        </w:rPr>
        <w:t xml:space="preserve">основному мероприятию "Организация мероприятий, направленных на повышение престижа профессии медицинского работника" </w:t>
      </w:r>
      <w:r w:rsidRPr="00522104">
        <w:rPr>
          <w:rFonts w:ascii="Times New Roman" w:eastAsia="Times New Roman" w:hAnsi="Times New Roman" w:cs="Times New Roman"/>
          <w:sz w:val="28"/>
          <w:szCs w:val="24"/>
        </w:rPr>
        <w:t>– 5,80 млн рублей на грант в форме 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p w14:paraId="157A47CC"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В законопроекте на уровне утвержденных назначений на 2022 год запланированы расходы </w:t>
      </w:r>
      <w:r w:rsidRPr="00522104">
        <w:rPr>
          <w:rFonts w:ascii="Times New Roman" w:eastAsia="Times New Roman" w:hAnsi="Times New Roman" w:cs="Times New Roman"/>
          <w:i/>
          <w:sz w:val="28"/>
          <w:szCs w:val="24"/>
        </w:rPr>
        <w:t xml:space="preserve">на основное мероприятие "Социальная поддержка работников краевых государственных учреждений" </w:t>
      </w:r>
      <w:r w:rsidRPr="00522104">
        <w:rPr>
          <w:rFonts w:ascii="Times New Roman" w:eastAsia="Times New Roman" w:hAnsi="Times New Roman" w:cs="Times New Roman"/>
          <w:sz w:val="28"/>
          <w:szCs w:val="24"/>
        </w:rPr>
        <w:t>в сумме 110,50 млн рублей.</w:t>
      </w:r>
    </w:p>
    <w:p w14:paraId="0F210CE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С увеличением к утвержденным назначениям предлагаются расходы по основным мероприятиям:</w:t>
      </w:r>
    </w:p>
    <w:p w14:paraId="01F94281" w14:textId="5C8F58DB"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i/>
          <w:sz w:val="28"/>
          <w:szCs w:val="24"/>
        </w:rPr>
        <w:t>"Обеспечение деятельности, развитие и укрепление материально-технической базы профессиональных образовательных учреждений" – на</w:t>
      </w:r>
      <w:r w:rsidRPr="00522104">
        <w:rPr>
          <w:rFonts w:ascii="Times New Roman" w:eastAsia="Times New Roman" w:hAnsi="Times New Roman" w:cs="Times New Roman"/>
          <w:sz w:val="28"/>
          <w:szCs w:val="24"/>
        </w:rPr>
        <w:t xml:space="preserve"> 12,56 млн рублей (на 2022 год утверждено 289,39 млн рублей, по законопроекту </w:t>
      </w:r>
      <w:r w:rsidR="00460D04"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276,83 млн рублей) за счет увеличения расходов на обеспечение деятельности (оказание услуг, выполнение работ краевых государственных учреждений</w:t>
      </w:r>
      <w:r w:rsidR="00460D04"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w:t>
      </w:r>
    </w:p>
    <w:p w14:paraId="52790C01" w14:textId="6BF24234"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sz w:val="28"/>
          <w:szCs w:val="24"/>
        </w:rPr>
        <w:t xml:space="preserve">С увеличением запланированы средства субсидий на иные цели КГБПОУ "Уссурийский медицинский колледж" и КГБПОУ "Владивостокский базовый медицинский колледж" в общей сумме 18,58 млн рублей (утверждено законом на 2022 год 18,24 млн рублей), в том числе: на выплату стипендий (государственная академическая стипендия и государственная социальная стипендия) в сумме 7,71 млн рублей и на организацию питания обучающихся средних профессиональных образовательных учреждений, проживающих в общежитии </w:t>
      </w:r>
      <w:r w:rsidR="00460D04" w:rsidRPr="00522104">
        <w:rPr>
          <w:rFonts w:ascii="Times New Roman" w:eastAsia="Times New Roman" w:hAnsi="Times New Roman" w:cs="Times New Roman"/>
          <w:sz w:val="28"/>
          <w:szCs w:val="24"/>
        </w:rPr>
        <w:t>–</w:t>
      </w:r>
      <w:r w:rsidRPr="00522104">
        <w:rPr>
          <w:rFonts w:ascii="Times New Roman" w:eastAsia="Times New Roman" w:hAnsi="Times New Roman" w:cs="Times New Roman"/>
          <w:sz w:val="28"/>
          <w:szCs w:val="24"/>
        </w:rPr>
        <w:t xml:space="preserve"> 10,87 млн рублей.</w:t>
      </w:r>
    </w:p>
    <w:p w14:paraId="08CE649A" w14:textId="183563D4" w:rsidR="00827437" w:rsidRPr="00522104" w:rsidRDefault="00827437" w:rsidP="00827437">
      <w:pPr>
        <w:spacing w:after="0" w:line="240" w:lineRule="auto"/>
        <w:ind w:firstLine="709"/>
        <w:jc w:val="both"/>
        <w:rPr>
          <w:rFonts w:ascii="Times New Roman" w:eastAsia="Times New Roman" w:hAnsi="Times New Roman" w:cs="Times New Roman"/>
          <w:i/>
          <w:sz w:val="28"/>
          <w:szCs w:val="24"/>
        </w:rPr>
      </w:pPr>
      <w:r w:rsidRPr="00522104">
        <w:rPr>
          <w:rFonts w:ascii="Times New Roman" w:eastAsia="Times New Roman" w:hAnsi="Times New Roman" w:cs="Times New Roman"/>
          <w:sz w:val="28"/>
          <w:szCs w:val="24"/>
        </w:rPr>
        <w:t xml:space="preserve">Бюджетные ассигнования на 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 в законопроекте предлагаются с уменьшением на 3,45 млн рублей (на 2022 год, как и на 2021 год, утверждено 11,34 млн рублей, по законопроекту на 2022 год </w:t>
      </w:r>
      <w:r w:rsidR="00460D04" w:rsidRPr="00522104">
        <w:rPr>
          <w:rFonts w:ascii="Times New Roman" w:eastAsia="Times New Roman" w:hAnsi="Times New Roman" w:cs="Times New Roman"/>
          <w:sz w:val="28"/>
          <w:szCs w:val="24"/>
        </w:rPr>
        <w:t xml:space="preserve">– </w:t>
      </w:r>
      <w:r w:rsidRPr="00522104">
        <w:rPr>
          <w:rFonts w:ascii="Times New Roman" w:eastAsia="Times New Roman" w:hAnsi="Times New Roman" w:cs="Times New Roman"/>
          <w:sz w:val="28"/>
          <w:szCs w:val="24"/>
        </w:rPr>
        <w:t>7,89 млн рублей). Согласно расчетам министерства з</w:t>
      </w:r>
      <w:r w:rsidR="00460D04" w:rsidRPr="00522104">
        <w:rPr>
          <w:rFonts w:ascii="Times New Roman" w:eastAsia="Times New Roman" w:hAnsi="Times New Roman" w:cs="Times New Roman"/>
          <w:sz w:val="28"/>
          <w:szCs w:val="24"/>
        </w:rPr>
        <w:t>дравоохранения Приморского края</w:t>
      </w:r>
      <w:r w:rsidRPr="00522104">
        <w:rPr>
          <w:rFonts w:ascii="Times New Roman" w:eastAsia="Times New Roman" w:hAnsi="Times New Roman" w:cs="Times New Roman"/>
          <w:sz w:val="28"/>
          <w:szCs w:val="24"/>
        </w:rPr>
        <w:t xml:space="preserve"> выплаты запланированы на 422 человека. </w:t>
      </w:r>
      <w:r w:rsidRPr="00522104">
        <w:rPr>
          <w:rFonts w:ascii="Times New Roman" w:eastAsia="Times New Roman" w:hAnsi="Times New Roman" w:cs="Times New Roman"/>
          <w:i/>
          <w:sz w:val="28"/>
          <w:szCs w:val="24"/>
        </w:rPr>
        <w:t>Справочно: за 9 месяцев текущего года исполнение по данной статье составило 5,93 млн рублей, или 52,28 % (план – 11,34 млн рублей). Расходы осуществлены по фактическому количеству получателей выплат (на 2021 год количество получателей запланировано 614 человек);</w:t>
      </w:r>
    </w:p>
    <w:p w14:paraId="70F61114"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rPr>
      </w:pPr>
      <w:r w:rsidRPr="00522104">
        <w:rPr>
          <w:rFonts w:ascii="Times New Roman" w:eastAsia="Times New Roman" w:hAnsi="Times New Roman" w:cs="Times New Roman"/>
          <w:i/>
          <w:sz w:val="28"/>
          <w:szCs w:val="24"/>
        </w:rPr>
        <w:t>ФП "Обеспечение медицинских организаций системы здравоохранения квалифицированными кадрами"</w:t>
      </w:r>
      <w:r w:rsidRPr="00522104">
        <w:rPr>
          <w:rFonts w:ascii="Times New Roman" w:eastAsia="Times New Roman" w:hAnsi="Times New Roman" w:cs="Times New Roman"/>
          <w:sz w:val="28"/>
          <w:szCs w:val="24"/>
        </w:rPr>
        <w:t xml:space="preserve"> – на 79,74 млн рублей (утверждено законом на 2022 год 266,29 млн рублей, законопроект на 2022 год 346,03 млн рублей). средства направляются на обеспечение мер социальной поддержки отдельным категориям медицинских работников краевых государственных учреждений здравоохранения. </w:t>
      </w:r>
    </w:p>
    <w:p w14:paraId="2AFA21C1" w14:textId="77777777" w:rsidR="00827437" w:rsidRPr="00522104" w:rsidRDefault="00827437" w:rsidP="00827437">
      <w:pPr>
        <w:tabs>
          <w:tab w:val="left" w:pos="720"/>
        </w:tabs>
        <w:spacing w:after="0" w:line="240" w:lineRule="auto"/>
        <w:ind w:firstLine="709"/>
        <w:jc w:val="center"/>
        <w:rPr>
          <w:rFonts w:ascii="Times New Roman" w:hAnsi="Times New Roman" w:cs="Times New Roman"/>
          <w:b/>
          <w:bCs/>
          <w:sz w:val="28"/>
          <w:szCs w:val="28"/>
          <w:lang w:eastAsia="ru-RU"/>
        </w:rPr>
      </w:pPr>
      <w:r w:rsidRPr="00522104">
        <w:rPr>
          <w:rFonts w:ascii="Times New Roman" w:hAnsi="Times New Roman" w:cs="Times New Roman"/>
          <w:noProof/>
          <w:lang w:eastAsia="ru-RU"/>
        </w:rPr>
        <w:drawing>
          <wp:anchor distT="0" distB="0" distL="114300" distR="114300" simplePos="0" relativeHeight="251711488" behindDoc="0" locked="0" layoutInCell="1" allowOverlap="1" wp14:anchorId="62F24A37" wp14:editId="04160C68">
            <wp:simplePos x="0" y="0"/>
            <wp:positionH relativeFrom="column">
              <wp:posOffset>28575</wp:posOffset>
            </wp:positionH>
            <wp:positionV relativeFrom="paragraph">
              <wp:posOffset>191770</wp:posOffset>
            </wp:positionV>
            <wp:extent cx="1536700" cy="1215390"/>
            <wp:effectExtent l="0" t="0" r="0" b="0"/>
            <wp:wrapSquare wrapText="bothSides"/>
            <wp:docPr id="51" name="Рисунок 51" descr="C:\Users\zavzyataya_sv\Desktop\Картинки\images (2).jpg"/>
            <wp:cNvGraphicFramePr/>
            <a:graphic xmlns:a="http://schemas.openxmlformats.org/drawingml/2006/main">
              <a:graphicData uri="http://schemas.openxmlformats.org/drawingml/2006/picture">
                <pic:pic xmlns:pic="http://schemas.openxmlformats.org/drawingml/2006/picture">
                  <pic:nvPicPr>
                    <pic:cNvPr id="51" name="Рисунок 51" descr="C:\Users\zavzyataya_sv\Desktop\Картинки\images (2).jpg"/>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6700" cy="1215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w:t>
      </w:r>
      <w:r w:rsidRPr="00522104">
        <w:rPr>
          <w:rFonts w:ascii="Times New Roman" w:hAnsi="Times New Roman" w:cs="Times New Roman"/>
          <w:b/>
          <w:bCs/>
          <w:sz w:val="28"/>
          <w:szCs w:val="28"/>
          <w:lang w:eastAsia="ru-RU"/>
        </w:rPr>
        <w:t xml:space="preserve"> "Развитие образования Приморского края"</w:t>
      </w:r>
    </w:p>
    <w:p w14:paraId="58EDBBC2"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паспорту ГП ответственным исполнителем является министерство образования Приморского края, соисполнителями: департамент по делам молодежи Приморского края; министерство здравоохранения Приморского края, министерство культуры и архивного дела Приморского края; министерство профессионального образования и занятости населения Приморского края; министерство строительства Приморского края.</w:t>
      </w:r>
    </w:p>
    <w:p w14:paraId="3348E8BB" w14:textId="2557CF5B"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реализацию мероприятий ГП законопроектом на 2022 год предусмотрены бюджетные ассигнования в объеме 31 829,56 млн рублей (краево</w:t>
      </w:r>
      <w:r w:rsidR="00B16802" w:rsidRPr="00522104">
        <w:rPr>
          <w:rFonts w:ascii="Times New Roman" w:eastAsia="Times New Roman" w:hAnsi="Times New Roman" w:cs="Times New Roman"/>
          <w:sz w:val="28"/>
          <w:szCs w:val="28"/>
          <w:lang w:eastAsia="ru-RU"/>
        </w:rPr>
        <w:t>й бюджет – 28 609,80 млн рублей,</w:t>
      </w:r>
      <w:r w:rsidRPr="00522104">
        <w:rPr>
          <w:rFonts w:ascii="Times New Roman" w:eastAsia="Times New Roman" w:hAnsi="Times New Roman" w:cs="Times New Roman"/>
          <w:sz w:val="28"/>
          <w:szCs w:val="28"/>
          <w:lang w:eastAsia="ru-RU"/>
        </w:rPr>
        <w:t xml:space="preserve"> федеральный бюджет – 3 219,76 млн рублей), в том числе:</w:t>
      </w:r>
    </w:p>
    <w:p w14:paraId="0F150CF4" w14:textId="34BA9FDD" w:rsidR="00827437" w:rsidRPr="00522104" w:rsidRDefault="00827437" w:rsidP="00827437">
      <w:pPr>
        <w:spacing w:after="0" w:line="240" w:lineRule="auto"/>
        <w:ind w:firstLine="709"/>
        <w:jc w:val="both"/>
        <w:outlineLvl w:val="4"/>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министерству образования Приморского края – 27 420,77 млн рублей, или 86,15 %</w:t>
      </w:r>
      <w:r w:rsidR="00B16802"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от общего объема ассигнований, предусмотренных на ГП (31 829,56 млн рублей);</w:t>
      </w:r>
    </w:p>
    <w:p w14:paraId="359E96E7" w14:textId="77777777" w:rsidR="00827437" w:rsidRPr="00522104" w:rsidRDefault="00827437" w:rsidP="00827437">
      <w:pPr>
        <w:spacing w:after="0" w:line="240" w:lineRule="auto"/>
        <w:ind w:firstLine="709"/>
        <w:jc w:val="both"/>
        <w:outlineLvl w:val="4"/>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министерству профессионального образования и занятости населения Приморского края – 3 019,69 млн рублей, или 9,49 %;</w:t>
      </w:r>
    </w:p>
    <w:p w14:paraId="200FE07B" w14:textId="77777777" w:rsidR="00827437" w:rsidRPr="00522104" w:rsidRDefault="00827437" w:rsidP="00827437">
      <w:pPr>
        <w:spacing w:after="0" w:line="240" w:lineRule="auto"/>
        <w:ind w:firstLine="709"/>
        <w:jc w:val="both"/>
        <w:outlineLvl w:val="4"/>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министерству строительства Приморского края – 1 302,19 млн рублей, или 4,09 %;</w:t>
      </w:r>
    </w:p>
    <w:p w14:paraId="1C2389E1" w14:textId="77777777" w:rsidR="00827437" w:rsidRPr="00522104" w:rsidRDefault="00827437" w:rsidP="00827437">
      <w:pPr>
        <w:spacing w:after="0" w:line="240" w:lineRule="auto"/>
        <w:ind w:firstLine="709"/>
        <w:jc w:val="both"/>
        <w:outlineLvl w:val="4"/>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департаменту по делам молодежи Приморского края – 86,30 млн рублей, или 0,27 %;</w:t>
      </w:r>
    </w:p>
    <w:p w14:paraId="1A6D4340"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министерству культуры и архивного дела Приморского края – 0,61 млн рублей (0,002 %).</w:t>
      </w:r>
    </w:p>
    <w:p w14:paraId="6CB99EC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Объем бюджетных ассигнований, предусмотренный законопроектом на 2022 год, в сумме 31 829,56 млн рублей:</w:t>
      </w:r>
    </w:p>
    <w:p w14:paraId="280E134A"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меньше утвержденных назначений на 2021 год (28 164,66 млн рублей) на 1 335,10 млн рублей, или на 4,03 %;</w:t>
      </w:r>
    </w:p>
    <w:p w14:paraId="3F06B841"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больше утвержденных назначений на 2022 год (28 682,61 млн рублей) на 3 146,95 млн рублей, или на 10,97 %.</w:t>
      </w:r>
    </w:p>
    <w:p w14:paraId="7FD75C31"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плановый период законопроектом прогнозируются бюджетные ассигнования на 2023 год – 32 364,59 млн рублей, на 2024 год – 33 863,61 млн рублей, с увеличением к планируемому объему на 2022 год соответственно на 535,03 млн рублей, или на 1,68 %, и на 2 034,05 млн рублей, или на 6,39 %.</w:t>
      </w:r>
    </w:p>
    <w:p w14:paraId="03F8C80E" w14:textId="77777777" w:rsidR="00827437" w:rsidRPr="00522104" w:rsidRDefault="00827437" w:rsidP="00827437">
      <w:pPr>
        <w:spacing w:after="0" w:line="240" w:lineRule="auto"/>
        <w:ind w:firstLine="709"/>
        <w:jc w:val="both"/>
        <w:outlineLvl w:val="4"/>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Данные о расходах краевого бюджета на реализацию ГП, в разрезе подпрограмм, на 2021-2024 годы, представлены в таблице:</w:t>
      </w:r>
    </w:p>
    <w:tbl>
      <w:tblPr>
        <w:tblStyle w:val="7"/>
        <w:tblW w:w="10399" w:type="dxa"/>
        <w:tblInd w:w="-885" w:type="dxa"/>
        <w:tblLayout w:type="fixed"/>
        <w:tblLook w:val="04A0" w:firstRow="1" w:lastRow="0" w:firstColumn="1" w:lastColumn="0" w:noHBand="0" w:noVBand="1"/>
      </w:tblPr>
      <w:tblGrid>
        <w:gridCol w:w="1845"/>
        <w:gridCol w:w="932"/>
        <w:gridCol w:w="999"/>
        <w:gridCol w:w="898"/>
        <w:gridCol w:w="880"/>
        <w:gridCol w:w="860"/>
        <w:gridCol w:w="954"/>
        <w:gridCol w:w="888"/>
        <w:gridCol w:w="709"/>
        <w:gridCol w:w="814"/>
        <w:gridCol w:w="620"/>
      </w:tblGrid>
      <w:tr w:rsidR="00827437" w:rsidRPr="00522104" w14:paraId="0DB08769" w14:textId="77777777" w:rsidTr="00F12260">
        <w:trPr>
          <w:tblHeader/>
        </w:trPr>
        <w:tc>
          <w:tcPr>
            <w:tcW w:w="1845" w:type="dxa"/>
            <w:tcBorders>
              <w:top w:val="nil"/>
              <w:left w:val="nil"/>
              <w:bottom w:val="single" w:sz="4" w:space="0" w:color="auto"/>
              <w:right w:val="nil"/>
            </w:tcBorders>
          </w:tcPr>
          <w:p w14:paraId="217764A1" w14:textId="77777777" w:rsidR="00827437" w:rsidRPr="00522104" w:rsidRDefault="00827437" w:rsidP="00E40BEE">
            <w:pPr>
              <w:ind w:right="-27"/>
              <w:contextualSpacing/>
              <w:jc w:val="center"/>
              <w:outlineLvl w:val="4"/>
              <w:rPr>
                <w:rFonts w:ascii="Times New Roman" w:eastAsia="Times New Roman" w:hAnsi="Times New Roman" w:cs="Times New Roman"/>
                <w:sz w:val="20"/>
                <w:szCs w:val="20"/>
                <w:lang w:eastAsia="ru-RU"/>
              </w:rPr>
            </w:pPr>
          </w:p>
        </w:tc>
        <w:tc>
          <w:tcPr>
            <w:tcW w:w="2829" w:type="dxa"/>
            <w:gridSpan w:val="3"/>
            <w:tcBorders>
              <w:top w:val="nil"/>
              <w:left w:val="nil"/>
              <w:bottom w:val="single" w:sz="4" w:space="0" w:color="auto"/>
              <w:right w:val="nil"/>
            </w:tcBorders>
          </w:tcPr>
          <w:p w14:paraId="7C5C2C75" w14:textId="77777777" w:rsidR="00827437" w:rsidRPr="00522104" w:rsidRDefault="00827437" w:rsidP="00E40BEE">
            <w:pPr>
              <w:contextualSpacing/>
              <w:jc w:val="center"/>
              <w:outlineLvl w:val="4"/>
              <w:rPr>
                <w:rFonts w:ascii="Times New Roman" w:eastAsia="Times New Roman" w:hAnsi="Times New Roman" w:cs="Times New Roman"/>
                <w:sz w:val="20"/>
                <w:szCs w:val="20"/>
                <w:lang w:eastAsia="ru-RU"/>
              </w:rPr>
            </w:pPr>
          </w:p>
        </w:tc>
        <w:tc>
          <w:tcPr>
            <w:tcW w:w="2694" w:type="dxa"/>
            <w:gridSpan w:val="3"/>
            <w:tcBorders>
              <w:top w:val="nil"/>
              <w:left w:val="nil"/>
              <w:bottom w:val="single" w:sz="4" w:space="0" w:color="auto"/>
              <w:right w:val="nil"/>
            </w:tcBorders>
          </w:tcPr>
          <w:p w14:paraId="772278A4" w14:textId="77777777" w:rsidR="00827437" w:rsidRPr="00522104" w:rsidRDefault="00827437" w:rsidP="00E40BEE">
            <w:pPr>
              <w:contextualSpacing/>
              <w:jc w:val="center"/>
              <w:outlineLvl w:val="4"/>
              <w:rPr>
                <w:rFonts w:ascii="Times New Roman" w:eastAsia="Times New Roman" w:hAnsi="Times New Roman" w:cs="Times New Roman"/>
                <w:sz w:val="20"/>
                <w:szCs w:val="20"/>
                <w:lang w:eastAsia="ru-RU"/>
              </w:rPr>
            </w:pPr>
          </w:p>
        </w:tc>
        <w:tc>
          <w:tcPr>
            <w:tcW w:w="3031" w:type="dxa"/>
            <w:gridSpan w:val="4"/>
            <w:tcBorders>
              <w:top w:val="nil"/>
              <w:left w:val="nil"/>
              <w:bottom w:val="single" w:sz="4" w:space="0" w:color="auto"/>
              <w:right w:val="nil"/>
            </w:tcBorders>
          </w:tcPr>
          <w:p w14:paraId="007B1A67" w14:textId="77777777" w:rsidR="00827437" w:rsidRPr="005942F8" w:rsidRDefault="00827437" w:rsidP="00E40BEE">
            <w:pPr>
              <w:contextualSpacing/>
              <w:jc w:val="right"/>
              <w:outlineLvl w:val="4"/>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(млн рублей)</w:t>
            </w:r>
          </w:p>
        </w:tc>
      </w:tr>
      <w:tr w:rsidR="00827437" w:rsidRPr="00522104" w14:paraId="195239EC" w14:textId="77777777" w:rsidTr="00F12260">
        <w:trPr>
          <w:tblHeader/>
        </w:trPr>
        <w:tc>
          <w:tcPr>
            <w:tcW w:w="1845" w:type="dxa"/>
            <w:vMerge w:val="restart"/>
            <w:tcBorders>
              <w:top w:val="single" w:sz="4" w:space="0" w:color="auto"/>
            </w:tcBorders>
            <w:vAlign w:val="center"/>
          </w:tcPr>
          <w:p w14:paraId="48477E25" w14:textId="77777777" w:rsidR="00827437" w:rsidRPr="00522104" w:rsidRDefault="00827437" w:rsidP="00E40BEE">
            <w:pPr>
              <w:ind w:right="-27"/>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Наименование</w:t>
            </w:r>
          </w:p>
        </w:tc>
        <w:tc>
          <w:tcPr>
            <w:tcW w:w="2829" w:type="dxa"/>
            <w:gridSpan w:val="3"/>
            <w:tcBorders>
              <w:top w:val="single" w:sz="4" w:space="0" w:color="auto"/>
            </w:tcBorders>
            <w:vAlign w:val="center"/>
          </w:tcPr>
          <w:p w14:paraId="79BF1CDB" w14:textId="77777777" w:rsidR="00827437" w:rsidRPr="00522104" w:rsidRDefault="00827437"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 № 969-КЗ</w:t>
            </w:r>
          </w:p>
        </w:tc>
        <w:tc>
          <w:tcPr>
            <w:tcW w:w="2694" w:type="dxa"/>
            <w:gridSpan w:val="3"/>
            <w:tcBorders>
              <w:top w:val="single" w:sz="4" w:space="0" w:color="auto"/>
            </w:tcBorders>
            <w:vAlign w:val="center"/>
          </w:tcPr>
          <w:p w14:paraId="33C2E3C3" w14:textId="77777777" w:rsidR="00827437" w:rsidRPr="00522104" w:rsidRDefault="00827437"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Законопроект на:</w:t>
            </w:r>
          </w:p>
        </w:tc>
        <w:tc>
          <w:tcPr>
            <w:tcW w:w="3031" w:type="dxa"/>
            <w:gridSpan w:val="4"/>
            <w:tcBorders>
              <w:top w:val="single" w:sz="4" w:space="0" w:color="auto"/>
            </w:tcBorders>
            <w:vAlign w:val="center"/>
          </w:tcPr>
          <w:p w14:paraId="56A88063" w14:textId="77777777" w:rsidR="00827437" w:rsidRPr="00522104" w:rsidRDefault="00827437"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Отклонения законопроекта к утвержденным назначениям</w:t>
            </w:r>
          </w:p>
        </w:tc>
      </w:tr>
      <w:tr w:rsidR="001363AF" w:rsidRPr="00522104" w14:paraId="59870CB8" w14:textId="77777777" w:rsidTr="00F12260">
        <w:trPr>
          <w:tblHeader/>
        </w:trPr>
        <w:tc>
          <w:tcPr>
            <w:tcW w:w="1845" w:type="dxa"/>
            <w:vMerge/>
          </w:tcPr>
          <w:p w14:paraId="0284D20E" w14:textId="77777777" w:rsidR="001363AF" w:rsidRPr="00522104" w:rsidRDefault="001363AF" w:rsidP="00E40BEE">
            <w:pPr>
              <w:ind w:right="-27"/>
              <w:contextualSpacing/>
              <w:jc w:val="center"/>
              <w:outlineLvl w:val="4"/>
              <w:rPr>
                <w:rFonts w:ascii="Times New Roman" w:eastAsia="Times New Roman" w:hAnsi="Times New Roman" w:cs="Times New Roman"/>
                <w:sz w:val="20"/>
                <w:szCs w:val="20"/>
                <w:lang w:eastAsia="ru-RU"/>
              </w:rPr>
            </w:pPr>
          </w:p>
        </w:tc>
        <w:tc>
          <w:tcPr>
            <w:tcW w:w="932" w:type="dxa"/>
            <w:vMerge w:val="restart"/>
            <w:vAlign w:val="center"/>
          </w:tcPr>
          <w:p w14:paraId="0C79FBEA" w14:textId="77777777" w:rsidR="001363AF" w:rsidRPr="00522104" w:rsidRDefault="001363AF" w:rsidP="00E40BEE">
            <w:pPr>
              <w:ind w:left="-20" w:right="-47"/>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Первоначальная редакция</w:t>
            </w:r>
          </w:p>
          <w:p w14:paraId="3C7B02DB" w14:textId="3EC1F6EE" w:rsidR="001363AF" w:rsidRPr="00522104" w:rsidRDefault="001363AF" w:rsidP="00E40BEE">
            <w:pPr>
              <w:ind w:left="-20" w:right="-47"/>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2021 год</w:t>
            </w:r>
          </w:p>
        </w:tc>
        <w:tc>
          <w:tcPr>
            <w:tcW w:w="1897" w:type="dxa"/>
            <w:gridSpan w:val="2"/>
            <w:vAlign w:val="center"/>
          </w:tcPr>
          <w:p w14:paraId="56296600" w14:textId="77777777" w:rsidR="001363AF" w:rsidRPr="00522104" w:rsidRDefault="001363AF" w:rsidP="00E40BEE">
            <w:pPr>
              <w:ind w:left="-108" w:right="-60"/>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8 редакция</w:t>
            </w:r>
          </w:p>
        </w:tc>
        <w:tc>
          <w:tcPr>
            <w:tcW w:w="880" w:type="dxa"/>
            <w:vMerge w:val="restart"/>
            <w:vAlign w:val="center"/>
          </w:tcPr>
          <w:p w14:paraId="0D3AE1B3"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 год</w:t>
            </w:r>
          </w:p>
        </w:tc>
        <w:tc>
          <w:tcPr>
            <w:tcW w:w="860" w:type="dxa"/>
            <w:vMerge w:val="restart"/>
            <w:vAlign w:val="center"/>
          </w:tcPr>
          <w:p w14:paraId="26F13F62"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2023 год</w:t>
            </w:r>
          </w:p>
        </w:tc>
        <w:tc>
          <w:tcPr>
            <w:tcW w:w="954" w:type="dxa"/>
            <w:vMerge w:val="restart"/>
            <w:vAlign w:val="center"/>
          </w:tcPr>
          <w:p w14:paraId="101964A7"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2024 год</w:t>
            </w:r>
          </w:p>
        </w:tc>
        <w:tc>
          <w:tcPr>
            <w:tcW w:w="1597" w:type="dxa"/>
            <w:gridSpan w:val="2"/>
            <w:vAlign w:val="center"/>
          </w:tcPr>
          <w:p w14:paraId="39370A2C" w14:textId="77777777" w:rsidR="001363AF" w:rsidRPr="00522104" w:rsidRDefault="001363AF" w:rsidP="00E40BEE">
            <w:pPr>
              <w:ind w:left="-125" w:right="-137"/>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2022/2021</w:t>
            </w:r>
          </w:p>
        </w:tc>
        <w:tc>
          <w:tcPr>
            <w:tcW w:w="1434" w:type="dxa"/>
            <w:gridSpan w:val="2"/>
            <w:vAlign w:val="center"/>
          </w:tcPr>
          <w:p w14:paraId="0F8E19F9" w14:textId="77777777" w:rsidR="001363AF" w:rsidRPr="00522104" w:rsidRDefault="001363AF" w:rsidP="00E40BEE">
            <w:pPr>
              <w:ind w:left="-108" w:right="-108"/>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2022/2022</w:t>
            </w:r>
          </w:p>
        </w:tc>
      </w:tr>
      <w:tr w:rsidR="001363AF" w:rsidRPr="00522104" w14:paraId="03DE438B" w14:textId="77777777" w:rsidTr="00F12260">
        <w:trPr>
          <w:tblHeader/>
        </w:trPr>
        <w:tc>
          <w:tcPr>
            <w:tcW w:w="1845" w:type="dxa"/>
            <w:vMerge/>
          </w:tcPr>
          <w:p w14:paraId="2CFFCF94" w14:textId="77777777" w:rsidR="001363AF" w:rsidRPr="00522104" w:rsidRDefault="001363AF" w:rsidP="00E40BEE">
            <w:pPr>
              <w:ind w:right="-27"/>
              <w:contextualSpacing/>
              <w:jc w:val="center"/>
              <w:outlineLvl w:val="4"/>
              <w:rPr>
                <w:rFonts w:ascii="Times New Roman" w:eastAsia="Times New Roman" w:hAnsi="Times New Roman" w:cs="Times New Roman"/>
                <w:sz w:val="20"/>
                <w:szCs w:val="20"/>
                <w:lang w:eastAsia="ru-RU"/>
              </w:rPr>
            </w:pPr>
          </w:p>
        </w:tc>
        <w:tc>
          <w:tcPr>
            <w:tcW w:w="932" w:type="dxa"/>
            <w:vMerge/>
          </w:tcPr>
          <w:p w14:paraId="6CCB2758" w14:textId="2AC61756" w:rsidR="001363AF" w:rsidRPr="00522104" w:rsidRDefault="001363AF" w:rsidP="00E40BEE">
            <w:pPr>
              <w:ind w:left="-20" w:right="-47"/>
              <w:contextualSpacing/>
              <w:jc w:val="center"/>
              <w:outlineLvl w:val="4"/>
              <w:rPr>
                <w:rFonts w:ascii="Times New Roman" w:eastAsia="Times New Roman" w:hAnsi="Times New Roman" w:cs="Times New Roman"/>
                <w:sz w:val="20"/>
                <w:szCs w:val="20"/>
                <w:lang w:eastAsia="ru-RU"/>
              </w:rPr>
            </w:pPr>
          </w:p>
        </w:tc>
        <w:tc>
          <w:tcPr>
            <w:tcW w:w="999" w:type="dxa"/>
          </w:tcPr>
          <w:p w14:paraId="48B15F38"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2021 год</w:t>
            </w:r>
          </w:p>
        </w:tc>
        <w:tc>
          <w:tcPr>
            <w:tcW w:w="898" w:type="dxa"/>
          </w:tcPr>
          <w:p w14:paraId="579EB1BF" w14:textId="77777777" w:rsidR="001363AF" w:rsidRPr="00522104" w:rsidRDefault="001363AF" w:rsidP="00E40BEE">
            <w:pPr>
              <w:ind w:left="-108" w:right="-60"/>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2022 год</w:t>
            </w:r>
          </w:p>
        </w:tc>
        <w:tc>
          <w:tcPr>
            <w:tcW w:w="880" w:type="dxa"/>
            <w:vMerge/>
          </w:tcPr>
          <w:p w14:paraId="7E15D462"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p>
        </w:tc>
        <w:tc>
          <w:tcPr>
            <w:tcW w:w="860" w:type="dxa"/>
            <w:vMerge/>
          </w:tcPr>
          <w:p w14:paraId="2681B84D"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p>
        </w:tc>
        <w:tc>
          <w:tcPr>
            <w:tcW w:w="954" w:type="dxa"/>
            <w:vMerge/>
          </w:tcPr>
          <w:p w14:paraId="59882FD2"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p>
        </w:tc>
        <w:tc>
          <w:tcPr>
            <w:tcW w:w="888" w:type="dxa"/>
          </w:tcPr>
          <w:p w14:paraId="589F80ED"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сумма</w:t>
            </w:r>
          </w:p>
        </w:tc>
        <w:tc>
          <w:tcPr>
            <w:tcW w:w="709" w:type="dxa"/>
          </w:tcPr>
          <w:p w14:paraId="7A21E4AD"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w:t>
            </w:r>
          </w:p>
        </w:tc>
        <w:tc>
          <w:tcPr>
            <w:tcW w:w="814" w:type="dxa"/>
          </w:tcPr>
          <w:p w14:paraId="014EC639"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сумма</w:t>
            </w:r>
          </w:p>
        </w:tc>
        <w:tc>
          <w:tcPr>
            <w:tcW w:w="620" w:type="dxa"/>
          </w:tcPr>
          <w:p w14:paraId="46173879" w14:textId="77777777" w:rsidR="001363AF" w:rsidRPr="00522104" w:rsidRDefault="001363AF" w:rsidP="00E40BEE">
            <w:pPr>
              <w:contextualSpacing/>
              <w:jc w:val="center"/>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w:t>
            </w:r>
          </w:p>
        </w:tc>
      </w:tr>
      <w:tr w:rsidR="00827437" w:rsidRPr="00522104" w14:paraId="0585AA27" w14:textId="77777777" w:rsidTr="00F12260">
        <w:tc>
          <w:tcPr>
            <w:tcW w:w="1845" w:type="dxa"/>
          </w:tcPr>
          <w:p w14:paraId="00D1D250" w14:textId="330A4C34" w:rsidR="00827437" w:rsidRPr="00522104" w:rsidRDefault="00827437" w:rsidP="00B16802">
            <w:pPr>
              <w:ind w:left="-108" w:right="-108"/>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ГП "Развитие образования Приморского края", в том числе подпрограммы</w:t>
            </w:r>
            <w:r w:rsidR="001363AF">
              <w:rPr>
                <w:rFonts w:ascii="Times New Roman" w:eastAsia="Times New Roman" w:hAnsi="Times New Roman" w:cs="Times New Roman"/>
                <w:b/>
                <w:bCs/>
                <w:sz w:val="20"/>
                <w:szCs w:val="20"/>
                <w:lang w:eastAsia="ru-RU"/>
              </w:rPr>
              <w:t>:</w:t>
            </w:r>
          </w:p>
        </w:tc>
        <w:tc>
          <w:tcPr>
            <w:tcW w:w="932" w:type="dxa"/>
          </w:tcPr>
          <w:p w14:paraId="0C7DFDFD"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30 688,58</w:t>
            </w:r>
          </w:p>
        </w:tc>
        <w:tc>
          <w:tcPr>
            <w:tcW w:w="999" w:type="dxa"/>
          </w:tcPr>
          <w:p w14:paraId="58858BDB"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33 164,66</w:t>
            </w:r>
          </w:p>
        </w:tc>
        <w:tc>
          <w:tcPr>
            <w:tcW w:w="898" w:type="dxa"/>
          </w:tcPr>
          <w:p w14:paraId="165337B3"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28 682,61</w:t>
            </w:r>
          </w:p>
        </w:tc>
        <w:tc>
          <w:tcPr>
            <w:tcW w:w="880" w:type="dxa"/>
          </w:tcPr>
          <w:p w14:paraId="118C95D0"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31 829,56</w:t>
            </w:r>
          </w:p>
        </w:tc>
        <w:tc>
          <w:tcPr>
            <w:tcW w:w="860" w:type="dxa"/>
          </w:tcPr>
          <w:p w14:paraId="595C007D"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32 364,59</w:t>
            </w:r>
          </w:p>
        </w:tc>
        <w:tc>
          <w:tcPr>
            <w:tcW w:w="954" w:type="dxa"/>
          </w:tcPr>
          <w:p w14:paraId="398B9088"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33 863,61</w:t>
            </w:r>
          </w:p>
        </w:tc>
        <w:tc>
          <w:tcPr>
            <w:tcW w:w="888" w:type="dxa"/>
          </w:tcPr>
          <w:p w14:paraId="3A347212"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-1 335,10</w:t>
            </w:r>
          </w:p>
        </w:tc>
        <w:tc>
          <w:tcPr>
            <w:tcW w:w="709" w:type="dxa"/>
          </w:tcPr>
          <w:p w14:paraId="0908ED04" w14:textId="77777777" w:rsidR="00827437" w:rsidRPr="00522104" w:rsidRDefault="00827437" w:rsidP="00E40BEE">
            <w:pPr>
              <w:ind w:left="-108" w:right="-125"/>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95,97</w:t>
            </w:r>
          </w:p>
        </w:tc>
        <w:tc>
          <w:tcPr>
            <w:tcW w:w="814" w:type="dxa"/>
          </w:tcPr>
          <w:p w14:paraId="36796914" w14:textId="77777777" w:rsidR="00827437" w:rsidRPr="00522104" w:rsidRDefault="00827437" w:rsidP="00E40BEE">
            <w:pPr>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3 146,95</w:t>
            </w:r>
          </w:p>
        </w:tc>
        <w:tc>
          <w:tcPr>
            <w:tcW w:w="620" w:type="dxa"/>
          </w:tcPr>
          <w:p w14:paraId="6AC0E7B3" w14:textId="77777777" w:rsidR="00827437" w:rsidRPr="00522104" w:rsidRDefault="00827437" w:rsidP="00E40BEE">
            <w:pPr>
              <w:ind w:left="-55"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110,97</w:t>
            </w:r>
          </w:p>
        </w:tc>
      </w:tr>
      <w:tr w:rsidR="00827437" w:rsidRPr="00522104" w14:paraId="23A4C06E" w14:textId="77777777" w:rsidTr="00F12260">
        <w:tc>
          <w:tcPr>
            <w:tcW w:w="1845" w:type="dxa"/>
          </w:tcPr>
          <w:p w14:paraId="73DD51C3" w14:textId="77777777" w:rsidR="00827437" w:rsidRPr="00522104" w:rsidRDefault="00827437" w:rsidP="00E40BEE">
            <w:pPr>
              <w:ind w:left="-108" w:right="-108"/>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"Развитие системы дошкольного образования"</w:t>
            </w:r>
          </w:p>
        </w:tc>
        <w:tc>
          <w:tcPr>
            <w:tcW w:w="932" w:type="dxa"/>
          </w:tcPr>
          <w:p w14:paraId="0C969D81"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6 875,18</w:t>
            </w:r>
          </w:p>
        </w:tc>
        <w:tc>
          <w:tcPr>
            <w:tcW w:w="999" w:type="dxa"/>
          </w:tcPr>
          <w:p w14:paraId="0925147D"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7 203,00</w:t>
            </w:r>
          </w:p>
        </w:tc>
        <w:tc>
          <w:tcPr>
            <w:tcW w:w="898" w:type="dxa"/>
          </w:tcPr>
          <w:p w14:paraId="6E8FC2D8"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6 886,07</w:t>
            </w:r>
          </w:p>
        </w:tc>
        <w:tc>
          <w:tcPr>
            <w:tcW w:w="880" w:type="dxa"/>
          </w:tcPr>
          <w:p w14:paraId="1C32C498"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7 412,97</w:t>
            </w:r>
          </w:p>
        </w:tc>
        <w:tc>
          <w:tcPr>
            <w:tcW w:w="860" w:type="dxa"/>
          </w:tcPr>
          <w:p w14:paraId="62ACB2E4"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7 649,18</w:t>
            </w:r>
          </w:p>
        </w:tc>
        <w:tc>
          <w:tcPr>
            <w:tcW w:w="954" w:type="dxa"/>
          </w:tcPr>
          <w:p w14:paraId="1657AD19"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8 086,56</w:t>
            </w:r>
          </w:p>
        </w:tc>
        <w:tc>
          <w:tcPr>
            <w:tcW w:w="888" w:type="dxa"/>
          </w:tcPr>
          <w:p w14:paraId="3C984A82"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209,97</w:t>
            </w:r>
          </w:p>
        </w:tc>
        <w:tc>
          <w:tcPr>
            <w:tcW w:w="709" w:type="dxa"/>
          </w:tcPr>
          <w:p w14:paraId="396F406F" w14:textId="77777777" w:rsidR="00827437" w:rsidRPr="00522104" w:rsidRDefault="00827437" w:rsidP="00E40BEE">
            <w:pPr>
              <w:ind w:left="-108" w:right="-125"/>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102,91</w:t>
            </w:r>
          </w:p>
        </w:tc>
        <w:tc>
          <w:tcPr>
            <w:tcW w:w="814" w:type="dxa"/>
          </w:tcPr>
          <w:p w14:paraId="7C07A8A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526,90</w:t>
            </w:r>
          </w:p>
        </w:tc>
        <w:tc>
          <w:tcPr>
            <w:tcW w:w="620" w:type="dxa"/>
          </w:tcPr>
          <w:p w14:paraId="4CDF0A8E" w14:textId="77777777" w:rsidR="00827437" w:rsidRPr="00522104" w:rsidRDefault="00827437" w:rsidP="00E40BEE">
            <w:pPr>
              <w:ind w:left="-55"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107,65</w:t>
            </w:r>
          </w:p>
        </w:tc>
      </w:tr>
      <w:tr w:rsidR="00827437" w:rsidRPr="00522104" w14:paraId="0A9AF346" w14:textId="77777777" w:rsidTr="00F12260">
        <w:tc>
          <w:tcPr>
            <w:tcW w:w="1845" w:type="dxa"/>
          </w:tcPr>
          <w:p w14:paraId="02770372" w14:textId="77777777" w:rsidR="00827437" w:rsidRPr="00522104" w:rsidRDefault="00827437" w:rsidP="00E40BEE">
            <w:pPr>
              <w:ind w:left="-108" w:right="-108"/>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"Развитие системы общего образования"</w:t>
            </w:r>
          </w:p>
        </w:tc>
        <w:tc>
          <w:tcPr>
            <w:tcW w:w="932" w:type="dxa"/>
          </w:tcPr>
          <w:p w14:paraId="2ACBEAD5"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17 564,72</w:t>
            </w:r>
          </w:p>
        </w:tc>
        <w:tc>
          <w:tcPr>
            <w:tcW w:w="999" w:type="dxa"/>
          </w:tcPr>
          <w:p w14:paraId="6BFCAC9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18 404,73</w:t>
            </w:r>
          </w:p>
        </w:tc>
        <w:tc>
          <w:tcPr>
            <w:tcW w:w="898" w:type="dxa"/>
          </w:tcPr>
          <w:p w14:paraId="577725E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17 439,38</w:t>
            </w:r>
          </w:p>
        </w:tc>
        <w:tc>
          <w:tcPr>
            <w:tcW w:w="880" w:type="dxa"/>
          </w:tcPr>
          <w:p w14:paraId="10F6F11B"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18 959,67</w:t>
            </w:r>
          </w:p>
        </w:tc>
        <w:tc>
          <w:tcPr>
            <w:tcW w:w="860" w:type="dxa"/>
          </w:tcPr>
          <w:p w14:paraId="6C8C63E2"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19 300,66</w:t>
            </w:r>
          </w:p>
        </w:tc>
        <w:tc>
          <w:tcPr>
            <w:tcW w:w="954" w:type="dxa"/>
          </w:tcPr>
          <w:p w14:paraId="60E0D574"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20 388,53</w:t>
            </w:r>
          </w:p>
        </w:tc>
        <w:tc>
          <w:tcPr>
            <w:tcW w:w="888" w:type="dxa"/>
          </w:tcPr>
          <w:p w14:paraId="2C69A2D3"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554,94</w:t>
            </w:r>
          </w:p>
        </w:tc>
        <w:tc>
          <w:tcPr>
            <w:tcW w:w="709" w:type="dxa"/>
          </w:tcPr>
          <w:p w14:paraId="6B9850C4" w14:textId="77777777" w:rsidR="00827437" w:rsidRPr="00522104" w:rsidRDefault="00827437" w:rsidP="00E40BEE">
            <w:pPr>
              <w:ind w:left="-108" w:right="-125"/>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103,01</w:t>
            </w:r>
          </w:p>
        </w:tc>
        <w:tc>
          <w:tcPr>
            <w:tcW w:w="814" w:type="dxa"/>
          </w:tcPr>
          <w:p w14:paraId="4D5F606B"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1 520,29</w:t>
            </w:r>
          </w:p>
        </w:tc>
        <w:tc>
          <w:tcPr>
            <w:tcW w:w="620" w:type="dxa"/>
          </w:tcPr>
          <w:p w14:paraId="5F02D464" w14:textId="77777777" w:rsidR="00827437" w:rsidRPr="00522104" w:rsidRDefault="00827437" w:rsidP="00E40BEE">
            <w:pPr>
              <w:ind w:left="-55"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108,72</w:t>
            </w:r>
          </w:p>
        </w:tc>
      </w:tr>
      <w:tr w:rsidR="00827437" w:rsidRPr="00522104" w14:paraId="29E74ADF" w14:textId="77777777" w:rsidTr="00F12260">
        <w:tc>
          <w:tcPr>
            <w:tcW w:w="1845" w:type="dxa"/>
          </w:tcPr>
          <w:p w14:paraId="757369F7" w14:textId="77777777" w:rsidR="00827437" w:rsidRPr="00522104" w:rsidRDefault="00827437" w:rsidP="00E40BEE">
            <w:pPr>
              <w:ind w:left="-108" w:right="-108"/>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"Развитие дополнительного образования детей и реализация мероприятий молодежной политики"</w:t>
            </w:r>
          </w:p>
        </w:tc>
        <w:tc>
          <w:tcPr>
            <w:tcW w:w="932" w:type="dxa"/>
          </w:tcPr>
          <w:p w14:paraId="67B52901"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301,93</w:t>
            </w:r>
          </w:p>
        </w:tc>
        <w:tc>
          <w:tcPr>
            <w:tcW w:w="999" w:type="dxa"/>
          </w:tcPr>
          <w:p w14:paraId="2BF30A5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363,02</w:t>
            </w:r>
          </w:p>
        </w:tc>
        <w:tc>
          <w:tcPr>
            <w:tcW w:w="898" w:type="dxa"/>
          </w:tcPr>
          <w:p w14:paraId="25E18D6B"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87,85</w:t>
            </w:r>
          </w:p>
        </w:tc>
        <w:tc>
          <w:tcPr>
            <w:tcW w:w="880" w:type="dxa"/>
          </w:tcPr>
          <w:p w14:paraId="58FB1078"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330,74</w:t>
            </w:r>
          </w:p>
        </w:tc>
        <w:tc>
          <w:tcPr>
            <w:tcW w:w="860" w:type="dxa"/>
          </w:tcPr>
          <w:p w14:paraId="32B3BA30"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244,50</w:t>
            </w:r>
          </w:p>
        </w:tc>
        <w:tc>
          <w:tcPr>
            <w:tcW w:w="954" w:type="dxa"/>
          </w:tcPr>
          <w:p w14:paraId="33FAA12D"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245,07</w:t>
            </w:r>
          </w:p>
        </w:tc>
        <w:tc>
          <w:tcPr>
            <w:tcW w:w="888" w:type="dxa"/>
          </w:tcPr>
          <w:p w14:paraId="3105F7B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-32,28</w:t>
            </w:r>
          </w:p>
        </w:tc>
        <w:tc>
          <w:tcPr>
            <w:tcW w:w="709" w:type="dxa"/>
          </w:tcPr>
          <w:p w14:paraId="4CFDF6EF" w14:textId="77777777" w:rsidR="00827437" w:rsidRPr="00522104" w:rsidRDefault="00827437" w:rsidP="00E40BEE">
            <w:pPr>
              <w:ind w:left="-108" w:right="-125"/>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91,11</w:t>
            </w:r>
          </w:p>
        </w:tc>
        <w:tc>
          <w:tcPr>
            <w:tcW w:w="814" w:type="dxa"/>
          </w:tcPr>
          <w:p w14:paraId="45F71088"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242,89</w:t>
            </w:r>
          </w:p>
        </w:tc>
        <w:tc>
          <w:tcPr>
            <w:tcW w:w="620" w:type="dxa"/>
          </w:tcPr>
          <w:p w14:paraId="324205DA" w14:textId="77777777" w:rsidR="00827437" w:rsidRPr="00522104" w:rsidRDefault="00827437" w:rsidP="00E40BEE">
            <w:pPr>
              <w:ind w:left="-55"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376,48</w:t>
            </w:r>
          </w:p>
        </w:tc>
      </w:tr>
      <w:tr w:rsidR="00827437" w:rsidRPr="00522104" w14:paraId="6A7F8B60" w14:textId="77777777" w:rsidTr="00F12260">
        <w:tc>
          <w:tcPr>
            <w:tcW w:w="1845" w:type="dxa"/>
          </w:tcPr>
          <w:p w14:paraId="29301C36" w14:textId="77777777" w:rsidR="00827437" w:rsidRPr="00522104" w:rsidRDefault="00827437" w:rsidP="00E40BEE">
            <w:pPr>
              <w:ind w:left="-108" w:right="-108"/>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p>
        </w:tc>
        <w:tc>
          <w:tcPr>
            <w:tcW w:w="932" w:type="dxa"/>
          </w:tcPr>
          <w:p w14:paraId="35B71D3B"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2 332,22</w:t>
            </w:r>
          </w:p>
        </w:tc>
        <w:tc>
          <w:tcPr>
            <w:tcW w:w="999" w:type="dxa"/>
          </w:tcPr>
          <w:p w14:paraId="4CE94390"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2 616,76</w:t>
            </w:r>
          </w:p>
        </w:tc>
        <w:tc>
          <w:tcPr>
            <w:tcW w:w="898" w:type="dxa"/>
          </w:tcPr>
          <w:p w14:paraId="2BD1D111"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2 437,21</w:t>
            </w:r>
          </w:p>
        </w:tc>
        <w:tc>
          <w:tcPr>
            <w:tcW w:w="880" w:type="dxa"/>
          </w:tcPr>
          <w:p w14:paraId="2B4E4647"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2 988,71</w:t>
            </w:r>
          </w:p>
        </w:tc>
        <w:tc>
          <w:tcPr>
            <w:tcW w:w="860" w:type="dxa"/>
          </w:tcPr>
          <w:p w14:paraId="74EAE81C"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2 829,41</w:t>
            </w:r>
          </w:p>
        </w:tc>
        <w:tc>
          <w:tcPr>
            <w:tcW w:w="954" w:type="dxa"/>
          </w:tcPr>
          <w:p w14:paraId="72D75D99"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2 958,98</w:t>
            </w:r>
          </w:p>
        </w:tc>
        <w:tc>
          <w:tcPr>
            <w:tcW w:w="888" w:type="dxa"/>
          </w:tcPr>
          <w:p w14:paraId="4B2EB848"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371,95</w:t>
            </w:r>
          </w:p>
        </w:tc>
        <w:tc>
          <w:tcPr>
            <w:tcW w:w="709" w:type="dxa"/>
          </w:tcPr>
          <w:p w14:paraId="5A608C2E" w14:textId="77777777" w:rsidR="00827437" w:rsidRPr="00522104" w:rsidRDefault="00827437" w:rsidP="00E40BEE">
            <w:pPr>
              <w:ind w:left="-108" w:right="-125"/>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114,21</w:t>
            </w:r>
          </w:p>
        </w:tc>
        <w:tc>
          <w:tcPr>
            <w:tcW w:w="814" w:type="dxa"/>
          </w:tcPr>
          <w:p w14:paraId="44EE9B60"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551,50</w:t>
            </w:r>
          </w:p>
        </w:tc>
        <w:tc>
          <w:tcPr>
            <w:tcW w:w="620" w:type="dxa"/>
          </w:tcPr>
          <w:p w14:paraId="10CB837A" w14:textId="77777777" w:rsidR="00827437" w:rsidRPr="00522104" w:rsidRDefault="00827437" w:rsidP="00E40BEE">
            <w:pPr>
              <w:ind w:left="-55"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122,63</w:t>
            </w:r>
          </w:p>
        </w:tc>
      </w:tr>
      <w:tr w:rsidR="00827437" w:rsidRPr="00522104" w14:paraId="5299811E" w14:textId="77777777" w:rsidTr="00F12260">
        <w:tc>
          <w:tcPr>
            <w:tcW w:w="1845" w:type="dxa"/>
          </w:tcPr>
          <w:p w14:paraId="3A12DA96" w14:textId="77777777" w:rsidR="00827437" w:rsidRPr="00522104" w:rsidRDefault="00827437" w:rsidP="00E40BEE">
            <w:pPr>
              <w:ind w:left="-108" w:right="-108"/>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"Совершенствование управления системой образования"</w:t>
            </w:r>
          </w:p>
        </w:tc>
        <w:tc>
          <w:tcPr>
            <w:tcW w:w="932" w:type="dxa"/>
          </w:tcPr>
          <w:p w14:paraId="005877E0"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232,24</w:t>
            </w:r>
          </w:p>
        </w:tc>
        <w:tc>
          <w:tcPr>
            <w:tcW w:w="999" w:type="dxa"/>
          </w:tcPr>
          <w:p w14:paraId="5CFB7582"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238,15</w:t>
            </w:r>
          </w:p>
        </w:tc>
        <w:tc>
          <w:tcPr>
            <w:tcW w:w="898" w:type="dxa"/>
          </w:tcPr>
          <w:p w14:paraId="35D7F1B7"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224,02</w:t>
            </w:r>
          </w:p>
        </w:tc>
        <w:tc>
          <w:tcPr>
            <w:tcW w:w="880" w:type="dxa"/>
          </w:tcPr>
          <w:p w14:paraId="3860DA83"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254,48</w:t>
            </w:r>
          </w:p>
        </w:tc>
        <w:tc>
          <w:tcPr>
            <w:tcW w:w="860" w:type="dxa"/>
          </w:tcPr>
          <w:p w14:paraId="76ABB60B"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239,90</w:t>
            </w:r>
          </w:p>
        </w:tc>
        <w:tc>
          <w:tcPr>
            <w:tcW w:w="954" w:type="dxa"/>
          </w:tcPr>
          <w:p w14:paraId="3473B7C3"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248,80</w:t>
            </w:r>
          </w:p>
        </w:tc>
        <w:tc>
          <w:tcPr>
            <w:tcW w:w="888" w:type="dxa"/>
          </w:tcPr>
          <w:p w14:paraId="565D7FB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16,33</w:t>
            </w:r>
          </w:p>
        </w:tc>
        <w:tc>
          <w:tcPr>
            <w:tcW w:w="709" w:type="dxa"/>
          </w:tcPr>
          <w:p w14:paraId="5BFA75F0"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106,86</w:t>
            </w:r>
          </w:p>
        </w:tc>
        <w:tc>
          <w:tcPr>
            <w:tcW w:w="814" w:type="dxa"/>
          </w:tcPr>
          <w:p w14:paraId="328B50D4"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30,46</w:t>
            </w:r>
          </w:p>
        </w:tc>
        <w:tc>
          <w:tcPr>
            <w:tcW w:w="620" w:type="dxa"/>
          </w:tcPr>
          <w:p w14:paraId="25A8AA49"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113,60</w:t>
            </w:r>
          </w:p>
        </w:tc>
      </w:tr>
      <w:tr w:rsidR="00827437" w:rsidRPr="00522104" w14:paraId="68C9E140" w14:textId="77777777" w:rsidTr="00F12260">
        <w:tc>
          <w:tcPr>
            <w:tcW w:w="1845" w:type="dxa"/>
          </w:tcPr>
          <w:p w14:paraId="65FB4A7E" w14:textId="77777777" w:rsidR="00827437" w:rsidRPr="00522104" w:rsidRDefault="00827437" w:rsidP="00E40BEE">
            <w:pPr>
              <w:ind w:left="-108" w:right="-108"/>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"Реализация национальных проектов "Демография" и "Образование"</w:t>
            </w:r>
          </w:p>
        </w:tc>
        <w:tc>
          <w:tcPr>
            <w:tcW w:w="932" w:type="dxa"/>
          </w:tcPr>
          <w:p w14:paraId="7465A181"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3 382,29</w:t>
            </w:r>
          </w:p>
        </w:tc>
        <w:tc>
          <w:tcPr>
            <w:tcW w:w="999" w:type="dxa"/>
          </w:tcPr>
          <w:p w14:paraId="79F1DAFB"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4 339,00</w:t>
            </w:r>
          </w:p>
        </w:tc>
        <w:tc>
          <w:tcPr>
            <w:tcW w:w="898" w:type="dxa"/>
          </w:tcPr>
          <w:p w14:paraId="4E6AB89B"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1 608,08</w:t>
            </w:r>
          </w:p>
        </w:tc>
        <w:tc>
          <w:tcPr>
            <w:tcW w:w="880" w:type="dxa"/>
          </w:tcPr>
          <w:p w14:paraId="6F390206"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1 882,99</w:t>
            </w:r>
          </w:p>
        </w:tc>
        <w:tc>
          <w:tcPr>
            <w:tcW w:w="860" w:type="dxa"/>
          </w:tcPr>
          <w:p w14:paraId="790F99B6"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2 100,94</w:t>
            </w:r>
          </w:p>
        </w:tc>
        <w:tc>
          <w:tcPr>
            <w:tcW w:w="954" w:type="dxa"/>
          </w:tcPr>
          <w:p w14:paraId="6688CCE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1 935,67</w:t>
            </w:r>
          </w:p>
        </w:tc>
        <w:tc>
          <w:tcPr>
            <w:tcW w:w="888" w:type="dxa"/>
          </w:tcPr>
          <w:p w14:paraId="292AC35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-2 456,01</w:t>
            </w:r>
          </w:p>
        </w:tc>
        <w:tc>
          <w:tcPr>
            <w:tcW w:w="709" w:type="dxa"/>
          </w:tcPr>
          <w:p w14:paraId="6895BF1E"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43,40</w:t>
            </w:r>
          </w:p>
        </w:tc>
        <w:tc>
          <w:tcPr>
            <w:tcW w:w="814" w:type="dxa"/>
          </w:tcPr>
          <w:p w14:paraId="53D1D729"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274,91</w:t>
            </w:r>
          </w:p>
        </w:tc>
        <w:tc>
          <w:tcPr>
            <w:tcW w:w="620" w:type="dxa"/>
          </w:tcPr>
          <w:p w14:paraId="34382400" w14:textId="77777777" w:rsidR="00827437" w:rsidRPr="00522104" w:rsidRDefault="00827437" w:rsidP="00E40BEE">
            <w:pPr>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117,09</w:t>
            </w:r>
          </w:p>
        </w:tc>
      </w:tr>
    </w:tbl>
    <w:p w14:paraId="23D33882" w14:textId="77777777" w:rsidR="00827437" w:rsidRPr="00522104" w:rsidRDefault="00827437" w:rsidP="00827437">
      <w:pPr>
        <w:spacing w:after="0" w:line="240" w:lineRule="auto"/>
        <w:ind w:firstLine="709"/>
        <w:jc w:val="both"/>
        <w:rPr>
          <w:rFonts w:ascii="Times New Roman" w:hAnsi="Times New Roman" w:cs="Times New Roman"/>
          <w:sz w:val="28"/>
          <w:szCs w:val="28"/>
        </w:rPr>
      </w:pPr>
    </w:p>
    <w:p w14:paraId="792B880C"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Анализ объемов финансирования ГП, предлагаемых законопроектом на 2022 год, показал следующее.</w:t>
      </w:r>
    </w:p>
    <w:p w14:paraId="160F36BD" w14:textId="1C02F1DC"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"Развитие системы дошкольного образования"</w:t>
      </w:r>
      <w:r w:rsidRPr="00522104">
        <w:rPr>
          <w:rFonts w:ascii="Times New Roman" w:hAnsi="Times New Roman" w:cs="Times New Roman"/>
          <w:sz w:val="28"/>
          <w:szCs w:val="28"/>
        </w:rPr>
        <w:t xml:space="preserve"> предусмотрены расходы в объеме 7 412,97 млн рублей, что на 526,90 млн рублей, или на 7,65 %</w:t>
      </w:r>
      <w:r w:rsidR="00B16802" w:rsidRPr="00522104">
        <w:rPr>
          <w:rFonts w:ascii="Times New Roman" w:hAnsi="Times New Roman" w:cs="Times New Roman"/>
          <w:sz w:val="28"/>
          <w:szCs w:val="28"/>
        </w:rPr>
        <w:t>,</w:t>
      </w:r>
      <w:r w:rsidRPr="00522104">
        <w:rPr>
          <w:rFonts w:ascii="Times New Roman" w:hAnsi="Times New Roman" w:cs="Times New Roman"/>
          <w:sz w:val="28"/>
          <w:szCs w:val="28"/>
        </w:rPr>
        <w:t xml:space="preserve"> больше утвержденных назначений (6 886,07 млн рублей), из них в рамках основного мероприятия "Реализация образовательных программ дошкольного образования":</w:t>
      </w:r>
    </w:p>
    <w:p w14:paraId="60B3A63B" w14:textId="247C30D9"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увеличен объем субвенций муниципальным образованиям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 на 417,23 млн рублей, или на 6,12 % (на 2022 год утверждено 6 813,40 млн рублей</w:t>
      </w:r>
      <w:r w:rsidR="00B16802"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законопроекту – 7 230,63 млн рублей), в связи с учетом индексации заработной платы с 1 октября на 4,0 % и учебных расходов на 4,0 %. </w:t>
      </w:r>
      <w:r w:rsidRPr="00522104">
        <w:rPr>
          <w:rFonts w:ascii="Times New Roman" w:hAnsi="Times New Roman" w:cs="Times New Roman"/>
          <w:i/>
          <w:sz w:val="28"/>
          <w:szCs w:val="28"/>
        </w:rPr>
        <w:t>За 9 месяцев 2021 года бюджетные ассигнования на вышеуказанные цели исполнены на 72,33 % (план на 2021 год – 6 755,65 млн рублей, исполнено 4 757,50 млн рублей);</w:t>
      </w:r>
    </w:p>
    <w:p w14:paraId="66FD20C3" w14:textId="07919E3F"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увеличен объем на предоставление субсидий из краевого бюджета частным дошкольным образовательным организациям на возмещение затрат, связанных с предоставлением дошкольного образования</w:t>
      </w:r>
      <w:r w:rsidR="00B16802" w:rsidRPr="00522104">
        <w:rPr>
          <w:rFonts w:ascii="Times New Roman" w:hAnsi="Times New Roman" w:cs="Times New Roman"/>
          <w:sz w:val="28"/>
          <w:szCs w:val="28"/>
        </w:rPr>
        <w:t>,</w:t>
      </w:r>
      <w:r w:rsidRPr="00522104">
        <w:rPr>
          <w:rFonts w:ascii="Times New Roman" w:hAnsi="Times New Roman" w:cs="Times New Roman"/>
          <w:sz w:val="28"/>
          <w:szCs w:val="28"/>
        </w:rPr>
        <w:t xml:space="preserve"> – на 28,58 млн рублей, или на 39,33 % (на 2022 год предусмотрено законом</w:t>
      </w:r>
      <w:r w:rsidR="00B16802" w:rsidRPr="00522104">
        <w:rPr>
          <w:rFonts w:ascii="Times New Roman" w:hAnsi="Times New Roman" w:cs="Times New Roman"/>
          <w:sz w:val="28"/>
          <w:szCs w:val="28"/>
        </w:rPr>
        <w:t xml:space="preserve"> </w:t>
      </w:r>
      <w:r w:rsidRPr="00522104">
        <w:rPr>
          <w:rFonts w:ascii="Times New Roman" w:hAnsi="Times New Roman" w:cs="Times New Roman"/>
          <w:sz w:val="28"/>
          <w:szCs w:val="28"/>
        </w:rPr>
        <w:t>72,67 млн рублей, законопроектом – 101,25 млн рублей).</w:t>
      </w:r>
    </w:p>
    <w:p w14:paraId="17DED84C"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2022 год планируется доведение средней заработной платы педагогических работников дошкольного образования до уровня прогнозного значения </w:t>
      </w:r>
      <w:r w:rsidRPr="00522104">
        <w:rPr>
          <w:rFonts w:ascii="Times New Roman" w:eastAsia="Times New Roman" w:hAnsi="Times New Roman" w:cs="Times New Roman"/>
          <w:bCs/>
          <w:kern w:val="36"/>
          <w:sz w:val="28"/>
          <w:szCs w:val="28"/>
          <w:lang w:eastAsia="ru-RU"/>
        </w:rPr>
        <w:t>средней заработной платы в сфере общего образования Приморского края в размере 45727,14 рублей,</w:t>
      </w:r>
      <w:r w:rsidRPr="00522104">
        <w:rPr>
          <w:rFonts w:ascii="Times New Roman" w:eastAsia="Times New Roman" w:hAnsi="Times New Roman" w:cs="Times New Roman"/>
          <w:sz w:val="28"/>
          <w:szCs w:val="28"/>
          <w:lang w:eastAsia="ru-RU"/>
        </w:rPr>
        <w:t xml:space="preserve"> то есть с ростом 106,60 % к прогнозному значению на 2021 год – 45759,80 рублей.</w:t>
      </w:r>
    </w:p>
    <w:p w14:paraId="5B1C8DF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Министерством образования Приморского края за 9 месяцев 2021 года не выдержаны параметры, установленные в приложениях к Плану мероприятий ("дорожной карте") по доведению средней заработной платы по категориям работников учреждений дошкольного образования к прогнозу на 2021 год – 42896,20 рублей (за 9 месяцев 2021 года – 41876,30 рублей, или 97,62 %).</w:t>
      </w:r>
    </w:p>
    <w:p w14:paraId="717EF29A" w14:textId="77777777"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В рамках данной подпрограммы законопроектом не предусмотрены бюджетные ассигнования на 2022-2024 годы по основному мероприятию </w:t>
      </w:r>
      <w:r w:rsidRPr="00522104">
        <w:rPr>
          <w:rFonts w:ascii="Times New Roman" w:hAnsi="Times New Roman" w:cs="Times New Roman"/>
          <w:i/>
          <w:sz w:val="28"/>
          <w:szCs w:val="28"/>
        </w:rPr>
        <w:t>"Развитие инфраструктуры организаций дошкольного образования".</w:t>
      </w:r>
    </w:p>
    <w:p w14:paraId="2E2DEECA"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Законом о краевом бюджете на 2021 год по указанному мероприятию утверждены бюджетные ассигнования в объеме 298,08 млн рублей, в том числе субсидии бюджетам муниципальных образований Приморского края на:</w:t>
      </w:r>
    </w:p>
    <w:p w14:paraId="332E8424" w14:textId="37975D7F"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 – 118,36 млн рублей. Бюджетные ассигнования предусмотрены на объект "Детский сад № 5 на 240 мест в жилом комплексе "В" жилого района Снеговая </w:t>
      </w:r>
      <w:r w:rsidR="00B16802" w:rsidRPr="00522104">
        <w:rPr>
          <w:rFonts w:ascii="Times New Roman" w:hAnsi="Times New Roman" w:cs="Times New Roman"/>
          <w:sz w:val="28"/>
          <w:szCs w:val="28"/>
        </w:rPr>
        <w:t>П</w:t>
      </w:r>
      <w:r w:rsidRPr="00522104">
        <w:rPr>
          <w:rFonts w:ascii="Times New Roman" w:hAnsi="Times New Roman" w:cs="Times New Roman"/>
          <w:sz w:val="28"/>
          <w:szCs w:val="28"/>
        </w:rPr>
        <w:t xml:space="preserve">адь" (подрядчик – ООО "Гамма-технология"). </w:t>
      </w:r>
      <w:r w:rsidRPr="00522104">
        <w:rPr>
          <w:rFonts w:ascii="Times New Roman" w:hAnsi="Times New Roman" w:cs="Times New Roman"/>
          <w:i/>
          <w:sz w:val="28"/>
          <w:szCs w:val="28"/>
        </w:rPr>
        <w:t>За 9 месяцев 2021 года исполнено 22,27 млн рублей, что составляет 18,81 % от утвержденного объема ассигнований</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Низкое исполнение бюджетных ассигнований связано с внесением изменений в проектную документацию (проектировщик – ООО "Архибат"), что повлекло отставание от графика строительно-монтажных работ, предусмотренного муниципальным контрактом от 25.12.2020 № 968/291-191/20 (подрядчик – ООО "Гамма-технология");</w:t>
      </w:r>
    </w:p>
    <w:p w14:paraId="1A901AD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 – 97,77 млн рублей. </w:t>
      </w:r>
      <w:r w:rsidRPr="00522104">
        <w:rPr>
          <w:rFonts w:ascii="Times New Roman" w:hAnsi="Times New Roman" w:cs="Times New Roman"/>
          <w:i/>
          <w:sz w:val="28"/>
          <w:szCs w:val="28"/>
        </w:rPr>
        <w:t>По состоянию на 01.10.2021 бюджетные ассигнования не исполнены</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 xml:space="preserve">Согласно Пояснительной записке (форма 0503160) на 01.10.2021, представленной министерством образования Приморского края, в </w:t>
      </w:r>
      <w:r w:rsidRPr="00522104">
        <w:rPr>
          <w:rFonts w:ascii="Times New Roman" w:hAnsi="Times New Roman" w:cs="Times New Roman"/>
          <w:i/>
          <w:sz w:val="28"/>
          <w:szCs w:val="28"/>
          <w:lang w:val="en-US"/>
        </w:rPr>
        <w:t>III</w:t>
      </w:r>
      <w:r w:rsidRPr="00522104">
        <w:rPr>
          <w:rFonts w:ascii="Times New Roman" w:hAnsi="Times New Roman" w:cs="Times New Roman"/>
          <w:i/>
          <w:sz w:val="28"/>
          <w:szCs w:val="28"/>
        </w:rPr>
        <w:t xml:space="preserve"> квартале 2021 года проведены только конкурсные процедуры по выбору подрядных организаций;</w:t>
      </w:r>
    </w:p>
    <w:p w14:paraId="25637C8F" w14:textId="40E5BC62"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капитальный ремонт зданий и благоустройство территорий муниципальных образовательных организаций, оказывающих услуги дошкольного образования в сумме 81,95 млн рублей, исполнено </w:t>
      </w:r>
      <w:r w:rsidRPr="00522104">
        <w:rPr>
          <w:rFonts w:ascii="Times New Roman" w:hAnsi="Times New Roman" w:cs="Times New Roman"/>
          <w:i/>
          <w:sz w:val="28"/>
          <w:szCs w:val="28"/>
        </w:rPr>
        <w:t>за девять месяцев 2021 год</w:t>
      </w:r>
      <w:r w:rsidR="00B16802" w:rsidRPr="00522104">
        <w:rPr>
          <w:rFonts w:ascii="Times New Roman" w:hAnsi="Times New Roman" w:cs="Times New Roman"/>
          <w:i/>
          <w:sz w:val="28"/>
          <w:szCs w:val="28"/>
        </w:rPr>
        <w:t>а</w:t>
      </w:r>
      <w:r w:rsidRPr="00522104">
        <w:rPr>
          <w:rFonts w:ascii="Times New Roman" w:hAnsi="Times New Roman" w:cs="Times New Roman"/>
          <w:i/>
          <w:sz w:val="28"/>
          <w:szCs w:val="28"/>
        </w:rPr>
        <w:t xml:space="preserve"> 32,31 млн рублей, или на 39,43 %</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Согласно информации, пред</w:t>
      </w:r>
      <w:r w:rsidR="00B16802" w:rsidRPr="00522104">
        <w:rPr>
          <w:rFonts w:ascii="Times New Roman" w:hAnsi="Times New Roman" w:cs="Times New Roman"/>
          <w:i/>
          <w:sz w:val="28"/>
          <w:szCs w:val="28"/>
        </w:rPr>
        <w:t>о</w:t>
      </w:r>
      <w:r w:rsidRPr="00522104">
        <w:rPr>
          <w:rFonts w:ascii="Times New Roman" w:hAnsi="Times New Roman" w:cs="Times New Roman"/>
          <w:i/>
          <w:sz w:val="28"/>
          <w:szCs w:val="28"/>
        </w:rPr>
        <w:t>ставленной министерством образования Приморского края, на 01.10.2021 завершен ремонт в 20 учреждениях, что составляет 74,07 % от плана (27 учреждений).</w:t>
      </w:r>
    </w:p>
    <w:p w14:paraId="74AE3F7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Учитывая вышеизложенное, а также в целях недопущения незавершенных ремонтных и строительных работ, рекомендуем предусмотреть бюджетные ассигнования по </w:t>
      </w:r>
      <w:r w:rsidRPr="00522104">
        <w:rPr>
          <w:rFonts w:ascii="Times New Roman" w:hAnsi="Times New Roman" w:cs="Times New Roman"/>
          <w:i/>
          <w:sz w:val="28"/>
          <w:szCs w:val="28"/>
        </w:rPr>
        <w:t>основному мероприятию</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"Развитие инфраструктуры организаций дошкольного образования"</w:t>
      </w:r>
      <w:r w:rsidRPr="00522104">
        <w:rPr>
          <w:rFonts w:ascii="Times New Roman" w:hAnsi="Times New Roman" w:cs="Times New Roman"/>
          <w:sz w:val="28"/>
          <w:szCs w:val="28"/>
        </w:rPr>
        <w:t xml:space="preserve"> с учетом реальной потребности получателей субсидий на 2022 год.</w:t>
      </w:r>
    </w:p>
    <w:p w14:paraId="5BC6411A"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"Развитие системы общего образования"</w:t>
      </w:r>
      <w:r w:rsidRPr="00522104">
        <w:rPr>
          <w:rFonts w:ascii="Times New Roman" w:hAnsi="Times New Roman" w:cs="Times New Roman"/>
          <w:sz w:val="28"/>
          <w:szCs w:val="28"/>
        </w:rPr>
        <w:t xml:space="preserve"> законопроектом на 2022 год предусмотрены расходы в объеме 18 959,67 млн рублей, что превышает утвержденные назначения: на 2021 год (18 404,73 млн рублей) – на 554,94 млн рублей, или на 3,01 %; на 2022 год (17 439,38 млн рублей) – на 1 520,29 млн рублей, или на 8,72 %, из них:</w:t>
      </w:r>
    </w:p>
    <w:p w14:paraId="5FBC602E" w14:textId="4878C794"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основному мероприятию "Реализация образовательных программ начального общего, основного общего и среднего общего образования"</w:t>
      </w:r>
      <w:r w:rsidRPr="00522104">
        <w:rPr>
          <w:rFonts w:ascii="Times New Roman" w:hAnsi="Times New Roman" w:cs="Times New Roman"/>
          <w:sz w:val="28"/>
          <w:szCs w:val="28"/>
        </w:rPr>
        <w:t xml:space="preserve"> законопроектом на 2022 год предусмотрены бюджетные ассигнования в сумме 16 530,60 млн рублей, что на 1 714,13 млн рублей, или на 12,34 %</w:t>
      </w:r>
      <w:r w:rsidR="00B16802"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 xml:space="preserve">превышает </w:t>
      </w:r>
      <w:r w:rsidRPr="00522104">
        <w:rPr>
          <w:rFonts w:ascii="Times New Roman" w:hAnsi="Times New Roman" w:cs="Times New Roman"/>
          <w:sz w:val="28"/>
          <w:szCs w:val="28"/>
        </w:rPr>
        <w:t>утвержденные назначения (14 789,47 млн рублей), из них:</w:t>
      </w:r>
    </w:p>
    <w:p w14:paraId="58C2A777" w14:textId="23E03114"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на организацию бесплатного горячего питания учащихся, получающих начальное общее образование </w:t>
      </w:r>
      <w:r w:rsidRPr="00522104">
        <w:rPr>
          <w:rFonts w:ascii="Times New Roman" w:hAnsi="Times New Roman" w:cs="Times New Roman"/>
          <w:bCs/>
          <w:iCs/>
          <w:sz w:val="28"/>
          <w:szCs w:val="28"/>
        </w:rPr>
        <w:t>увеличены</w:t>
      </w:r>
      <w:r w:rsidRPr="00522104">
        <w:rPr>
          <w:rFonts w:ascii="Times New Roman" w:hAnsi="Times New Roman" w:cs="Times New Roman"/>
          <w:sz w:val="28"/>
          <w:szCs w:val="28"/>
        </w:rPr>
        <w:t xml:space="preserve"> расходы на 1 040,85 млн рублей, или в 4,7 раза (на 2022 год предусмотрено законом 277,95 млн рублей, законопроектом – 1 318,80 млн рублей) в связи с тем, что в рамках данного мероприятия предусмотрены субвенции муниципальным образованиям на организацию бесплатного горячего питания обучающихся, получающих начальное общее образование в муниципальных образовательных организациях (1 040,85 млн рублей). В краевом бюджете на 2021-2023 годы субвенции на указанные цели утверждены в рамках </w:t>
      </w:r>
      <w:r w:rsidRPr="00522104">
        <w:rPr>
          <w:rFonts w:ascii="Times New Roman" w:hAnsi="Times New Roman" w:cs="Times New Roman"/>
          <w:i/>
          <w:sz w:val="28"/>
          <w:szCs w:val="28"/>
        </w:rPr>
        <w:t>основного мероприятия</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"Создание условий для получения качественного общего образования"</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 xml:space="preserve">За 9 месяцев 2021 года бюджетные ассигнования исполнены на 48,29 % (план на 2021 год – 1 040,85 млн рублей, исполнено на 01.10.2021 </w:t>
      </w:r>
      <w:r w:rsidR="00B16802"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502,61 млн рублей)</w:t>
      </w:r>
      <w:r w:rsidRPr="00522104">
        <w:rPr>
          <w:rFonts w:ascii="Times New Roman" w:hAnsi="Times New Roman" w:cs="Times New Roman"/>
          <w:sz w:val="28"/>
          <w:szCs w:val="28"/>
        </w:rPr>
        <w:t>;</w:t>
      </w:r>
    </w:p>
    <w:p w14:paraId="3E9F6981" w14:textId="05706BB0"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Cs/>
          <w:iCs/>
          <w:sz w:val="28"/>
          <w:szCs w:val="28"/>
        </w:rPr>
        <w:t>увеличен</w:t>
      </w:r>
      <w:r w:rsidRPr="00522104">
        <w:rPr>
          <w:rFonts w:ascii="Times New Roman" w:hAnsi="Times New Roman" w:cs="Times New Roman"/>
          <w:sz w:val="28"/>
          <w:szCs w:val="28"/>
        </w:rPr>
        <w:t xml:space="preserve"> объем субвенций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 – на 523,71 млн рублей, или на 4,50 % (на 2022 год предусмотрено законом 11 648,03 млн рублей, законопроектом – 12 171,74 млн рублей). </w:t>
      </w:r>
      <w:r w:rsidRPr="00522104">
        <w:rPr>
          <w:rFonts w:ascii="Times New Roman" w:hAnsi="Times New Roman" w:cs="Times New Roman"/>
          <w:i/>
          <w:sz w:val="28"/>
          <w:szCs w:val="28"/>
        </w:rPr>
        <w:t>За девять месяцев 2021 года на данные цели бюджетные ассигнования исполнены на 71,42 % (утверждено законом на 2021 год – 11 158,10 млн рублей, исполнено 7 968,76 млн рублей)</w:t>
      </w:r>
      <w:r w:rsidRPr="00522104">
        <w:rPr>
          <w:rFonts w:ascii="Times New Roman" w:hAnsi="Times New Roman" w:cs="Times New Roman"/>
          <w:sz w:val="28"/>
          <w:szCs w:val="28"/>
        </w:rPr>
        <w:t>;</w:t>
      </w:r>
    </w:p>
    <w:p w14:paraId="049F5B93" w14:textId="44DFE85F"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Cs/>
          <w:iCs/>
          <w:sz w:val="28"/>
          <w:szCs w:val="28"/>
        </w:rPr>
        <w:t>увеличен</w:t>
      </w:r>
      <w:r w:rsidRPr="00522104">
        <w:rPr>
          <w:rFonts w:ascii="Times New Roman" w:hAnsi="Times New Roman" w:cs="Times New Roman"/>
          <w:sz w:val="28"/>
          <w:szCs w:val="28"/>
        </w:rPr>
        <w:t xml:space="preserve"> объем бюджетных ассигнований на предоставление субсидий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 – на 39,16 млн рублей, или на 34,69 % (на 2022 год предусмотрено законом в сумме 112,88 млн рублей, законопроектом – 152,04 млн рублей).</w:t>
      </w:r>
    </w:p>
    <w:p w14:paraId="7088C47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2022 год планируется доведение средней заработной платы педагогических работников образовательных учреждений общего образования до уровня прогнозного значения </w:t>
      </w:r>
      <w:r w:rsidRPr="00522104">
        <w:rPr>
          <w:rFonts w:ascii="Times New Roman" w:eastAsia="Times New Roman" w:hAnsi="Times New Roman" w:cs="Times New Roman"/>
          <w:bCs/>
          <w:kern w:val="36"/>
          <w:sz w:val="28"/>
          <w:szCs w:val="28"/>
          <w:lang w:eastAsia="ru-RU"/>
        </w:rPr>
        <w:t>среднемесячного дохода от трудовой деятельности Приморского края в размере 48779,90 рублей,</w:t>
      </w:r>
      <w:r w:rsidRPr="00522104">
        <w:rPr>
          <w:rFonts w:ascii="Times New Roman" w:eastAsia="Times New Roman" w:hAnsi="Times New Roman" w:cs="Times New Roman"/>
          <w:sz w:val="28"/>
          <w:szCs w:val="28"/>
          <w:lang w:eastAsia="ru-RU"/>
        </w:rPr>
        <w:t xml:space="preserve"> то есть с ростом 106,60 % к прогнозному значению на 2021 год – 45759,80 рублей. З</w:t>
      </w:r>
      <w:r w:rsidRPr="00522104">
        <w:rPr>
          <w:rFonts w:ascii="Times New Roman" w:hAnsi="Times New Roman" w:cs="Times New Roman"/>
          <w:sz w:val="28"/>
          <w:szCs w:val="28"/>
        </w:rPr>
        <w:t>а 9 месяцев 2021 года – 49010,0 рублей, или 107,10 %);</w:t>
      </w:r>
    </w:p>
    <w:p w14:paraId="49E697B9" w14:textId="5CE26F82"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основному мероприятию "Государственное обеспечение детей-сирот и детей, оставшихся без попечения родителей"</w:t>
      </w:r>
      <w:r w:rsidRPr="00522104">
        <w:rPr>
          <w:rFonts w:ascii="Times New Roman" w:hAnsi="Times New Roman" w:cs="Times New Roman"/>
          <w:sz w:val="28"/>
          <w:szCs w:val="28"/>
        </w:rPr>
        <w:t xml:space="preserve"> законопроектом на 2022 год планируются бюджетные ассигнования в сумме 1 085,40 млн рублей, что на 94,26 млн рублей, или на 9,51 %</w:t>
      </w:r>
      <w:r w:rsidR="00B16802"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 xml:space="preserve">превышает </w:t>
      </w:r>
      <w:r w:rsidRPr="00522104">
        <w:rPr>
          <w:rFonts w:ascii="Times New Roman" w:hAnsi="Times New Roman" w:cs="Times New Roman"/>
          <w:sz w:val="28"/>
          <w:szCs w:val="28"/>
        </w:rPr>
        <w:t>утвержденный объем бюджетных ассигнований (991,14 млн рублей), из них:</w:t>
      </w:r>
    </w:p>
    <w:p w14:paraId="2E57638F" w14:textId="466866FC"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на обеспечение деятельности (оказание услуг, выполнение работ) краевых государственных учреждений законопроектом на 2022 год планируются расходы в сумме 1 071,32 млн рублей, что на 80,18 млн рублей, или на 8,08 %</w:t>
      </w:r>
      <w:r w:rsidR="009110E8" w:rsidRPr="00522104">
        <w:rPr>
          <w:rFonts w:ascii="Times New Roman" w:hAnsi="Times New Roman" w:cs="Times New Roman"/>
          <w:sz w:val="28"/>
          <w:szCs w:val="28"/>
        </w:rPr>
        <w:t>,</w:t>
      </w:r>
      <w:r w:rsidRPr="00522104">
        <w:rPr>
          <w:rFonts w:ascii="Times New Roman" w:hAnsi="Times New Roman" w:cs="Times New Roman"/>
          <w:sz w:val="28"/>
          <w:szCs w:val="28"/>
        </w:rPr>
        <w:t xml:space="preserve"> больше утвержденных назначений (991,14 млн рублей), в том числе увеличены расходы на следующие цели:</w:t>
      </w:r>
    </w:p>
    <w:p w14:paraId="69932622" w14:textId="54707DE0"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на выплаты персоналу казенных учреждений – на 69,77 млн рублей, или на 9,87 % (на 2022 год предусмотрено законом</w:t>
      </w:r>
      <w:r w:rsidR="009110E8" w:rsidRPr="00522104">
        <w:rPr>
          <w:rFonts w:ascii="Times New Roman" w:hAnsi="Times New Roman" w:cs="Times New Roman"/>
          <w:sz w:val="28"/>
          <w:szCs w:val="28"/>
        </w:rPr>
        <w:t xml:space="preserve"> </w:t>
      </w:r>
      <w:r w:rsidRPr="00522104">
        <w:rPr>
          <w:rFonts w:ascii="Times New Roman" w:hAnsi="Times New Roman" w:cs="Times New Roman"/>
          <w:sz w:val="28"/>
          <w:szCs w:val="28"/>
        </w:rPr>
        <w:t xml:space="preserve">706,77 млн рублей; законопроектом – 776,54 млн рублей). </w:t>
      </w:r>
      <w:r w:rsidRPr="00522104">
        <w:rPr>
          <w:rFonts w:ascii="Times New Roman" w:eastAsia="Times New Roman" w:hAnsi="Times New Roman" w:cs="Times New Roman"/>
          <w:sz w:val="28"/>
          <w:szCs w:val="28"/>
          <w:lang w:eastAsia="ru-RU"/>
        </w:rPr>
        <w:t>П</w:t>
      </w:r>
      <w:r w:rsidRPr="00522104">
        <w:rPr>
          <w:rFonts w:ascii="Times New Roman" w:eastAsia="Times New Roman" w:hAnsi="Times New Roman" w:cs="Times New Roman"/>
          <w:sz w:val="28"/>
          <w:szCs w:val="24"/>
          <w:lang w:eastAsia="ru-RU"/>
        </w:rPr>
        <w:t xml:space="preserve">араметры средней заработной платы </w:t>
      </w:r>
      <w:r w:rsidRPr="00522104">
        <w:rPr>
          <w:rFonts w:ascii="Times New Roman" w:eastAsia="Times New Roman" w:hAnsi="Times New Roman" w:cs="Times New Roman"/>
          <w:sz w:val="28"/>
          <w:szCs w:val="28"/>
          <w:lang w:eastAsia="ru-RU"/>
        </w:rPr>
        <w:t>педагогических работников учреждений для детей сирот и детей, оставшихся без попечения родителей,</w:t>
      </w:r>
      <w:r w:rsidRPr="00522104">
        <w:rPr>
          <w:rFonts w:ascii="Times New Roman" w:eastAsia="Times New Roman" w:hAnsi="Times New Roman" w:cs="Times New Roman"/>
          <w:sz w:val="28"/>
          <w:szCs w:val="24"/>
          <w:lang w:eastAsia="ru-RU"/>
        </w:rPr>
        <w:t xml:space="preserve"> н</w:t>
      </w:r>
      <w:r w:rsidRPr="00522104">
        <w:rPr>
          <w:rFonts w:ascii="Times New Roman" w:eastAsia="Times New Roman" w:hAnsi="Times New Roman" w:cs="Times New Roman"/>
          <w:sz w:val="28"/>
          <w:szCs w:val="28"/>
          <w:lang w:eastAsia="ru-RU"/>
        </w:rPr>
        <w:t xml:space="preserve">а 2022 год запланированы на уровне </w:t>
      </w:r>
      <w:r w:rsidRPr="00522104">
        <w:rPr>
          <w:rFonts w:ascii="Times New Roman" w:eastAsia="Times New Roman" w:hAnsi="Times New Roman" w:cs="Times New Roman"/>
          <w:bCs/>
          <w:kern w:val="36"/>
          <w:sz w:val="28"/>
          <w:szCs w:val="28"/>
          <w:lang w:eastAsia="ru-RU"/>
        </w:rPr>
        <w:t>среднемесячного дохода от трудовой деятельности</w:t>
      </w:r>
      <w:r w:rsidRPr="00522104">
        <w:rPr>
          <w:rFonts w:ascii="Times New Roman" w:eastAsia="Times New Roman" w:hAnsi="Times New Roman" w:cs="Times New Roman"/>
          <w:bCs/>
          <w:kern w:val="36"/>
          <w:sz w:val="28"/>
          <w:szCs w:val="28"/>
          <w:u w:val="single"/>
          <w:lang w:eastAsia="ru-RU"/>
        </w:rPr>
        <w:t> </w:t>
      </w:r>
      <w:r w:rsidRPr="00522104">
        <w:rPr>
          <w:rFonts w:ascii="Times New Roman" w:eastAsia="Times New Roman" w:hAnsi="Times New Roman" w:cs="Times New Roman"/>
          <w:sz w:val="28"/>
          <w:szCs w:val="28"/>
          <w:lang w:eastAsia="ru-RU"/>
        </w:rPr>
        <w:t xml:space="preserve">– 48779,90 рублей, то есть с ростом 106,60 % к прогнозному значению на 2021 год – 45759,80 рублей. </w:t>
      </w:r>
    </w:p>
    <w:p w14:paraId="4D2AE79A" w14:textId="25D3244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Министерством образования Приморского края за 9 месяцев 2021 года не выдержаны параметры, установленные в приложениях к Плану мероприятий ("дорожной карте") по доведению средней заработной платы по категориям работников учреждений </w:t>
      </w:r>
      <w:r w:rsidRPr="00522104">
        <w:rPr>
          <w:rFonts w:ascii="Times New Roman" w:eastAsia="Times New Roman" w:hAnsi="Times New Roman" w:cs="Times New Roman"/>
          <w:sz w:val="28"/>
          <w:szCs w:val="28"/>
          <w:lang w:eastAsia="ru-RU"/>
        </w:rPr>
        <w:t>для детей сирот и детей, оставшихся без попечения родителей</w:t>
      </w:r>
      <w:r w:rsidR="009110E8" w:rsidRPr="00522104">
        <w:rPr>
          <w:rFonts w:ascii="Times New Roman" w:hAnsi="Times New Roman" w:cs="Times New Roman"/>
          <w:sz w:val="28"/>
          <w:szCs w:val="28"/>
        </w:rPr>
        <w:t xml:space="preserve">, </w:t>
      </w:r>
      <w:r w:rsidRPr="00522104">
        <w:rPr>
          <w:rFonts w:ascii="Times New Roman" w:hAnsi="Times New Roman" w:cs="Times New Roman"/>
          <w:sz w:val="28"/>
          <w:szCs w:val="28"/>
        </w:rPr>
        <w:t>к прогнозу на 2021 год – 45759,80 рублей (за 9 месяцев 2021 года – 44205,60 рублей, или 96,60 %);</w:t>
      </w:r>
    </w:p>
    <w:p w14:paraId="0203E574" w14:textId="5A818000"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на закупку товаров, работ и услуг для обеспечения государственных и муниципальных нужд – на 6,33 млн рублей, или на 2,37 % (на 2022 год предусмотрено законом 267,23 млн рублей</w:t>
      </w:r>
      <w:r w:rsidR="009110E8"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273,56 млн рублей);</w:t>
      </w:r>
    </w:p>
    <w:p w14:paraId="6A8632D5" w14:textId="7AE89512"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на социальное обеспечение и иные выплаты населению – на 4,08 млн рублей, или в 2,8 раз (на 2022 год предусмотрено законом 2,33 млн рублей</w:t>
      </w:r>
      <w:r w:rsidR="009110E8"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6,41 млн рублей), в связи с тем, что на основании постановления Правительства Приморского края от 05.08.2021 № 506-пп "О внесении изменений в постановление Администрации Приморского края от 31.07.2017 № 310-па "Об обеспечении бесплатным питанием, бесплатным комплектом одежды, обуви, мягким инвентарем, оборудованием и единовременным денежным пособием отдельных категорий лиц" предусмотрено увеличение:</w:t>
      </w:r>
    </w:p>
    <w:p w14:paraId="39590F37"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нормы денежного обеспечения питанием, в рублях в день на одного человека на время пребывания в организациях, при временной передаче в семьи граждан, с января 2022 года – 252 рубля (с 01.01.2019 до 01.01.2022 – 241,50 рубля), с января 2023 года – 263 рубля, с января 2024 года – 274 рубля;</w:t>
      </w:r>
    </w:p>
    <w:p w14:paraId="28A988CC"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денежной компенсации взамен одежды, обуви, мягкого инвентаря и оборудования с января 2022 года – в сумме 47 431 рублей (до 01.01.2022 – 45 606,0 рублей), с января 2023 года – 49 329 рублей, с января 2024 года – 51 303 рублей;</w:t>
      </w:r>
    </w:p>
    <w:p w14:paraId="0AF1CF75"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размер единовременного денежного пособия с января 2022 года – 2 080 рублей (до 01.01.2022 – 2 000,0 рублей), с января 2023 года – 2 164 рублей, с января 2024 года – 2 251 рублей</w:t>
      </w:r>
      <w:r w:rsidRPr="00522104">
        <w:rPr>
          <w:rFonts w:ascii="Times New Roman" w:eastAsia="Times New Roman" w:hAnsi="Times New Roman" w:cs="Times New Roman"/>
          <w:kern w:val="2"/>
          <w:sz w:val="28"/>
          <w:szCs w:val="28"/>
          <w:bdr w:val="none" w:sz="0" w:space="0" w:color="auto" w:frame="1"/>
          <w:lang w:eastAsia="ar-SA"/>
        </w:rPr>
        <w:t>.</w:t>
      </w:r>
    </w:p>
    <w:p w14:paraId="79B06AB5"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Учитывая, что нормы денежной компенсации взамен одежды, обуви, мягкого инвентаря, оборудования и размер единовременного денежного пособия, утвержденные постановлением Администрации Приморского края от 31.07.2017 № 310-па "Об обеспечении бесплатным питанием, бесплатным комплектом одежды, обуви, мягким инвентарем, оборудованием и единовременным денежным пособием отдельных категорий лиц", не пересматривались и не индексировались с 01.01.2018 до 01.01.2022, а нормы денежного обеспечения питанием на время пребывания в организациях, при временной передаче в семьи граждан (в день на одного человека) не индексировались с 01.01.2019, увеличение денежных норм от 4,0 % до 4,3 %, предусмотренное законопроектом на 2022 год, является недостаточным, так как не учитывает удорожание вышеуказанных материальных ценностей за период с 01.01.2018 года;</w:t>
      </w:r>
    </w:p>
    <w:p w14:paraId="7FFA8C39"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основному мероприятию "Создание условий для получения качественного общего образования"</w:t>
      </w:r>
      <w:r w:rsidRPr="00522104">
        <w:rPr>
          <w:rFonts w:ascii="Times New Roman" w:hAnsi="Times New Roman" w:cs="Times New Roman"/>
          <w:sz w:val="28"/>
          <w:szCs w:val="28"/>
        </w:rPr>
        <w:t xml:space="preserve"> на 2022 год планируются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в сумме 44,00 млн рублей, что соответствует уровню утвержденных назначений. </w:t>
      </w:r>
      <w:r w:rsidRPr="00522104">
        <w:rPr>
          <w:rFonts w:ascii="Times New Roman" w:hAnsi="Times New Roman" w:cs="Times New Roman"/>
          <w:i/>
          <w:sz w:val="28"/>
          <w:szCs w:val="28"/>
        </w:rPr>
        <w:t>В краевом бюджете на 2021 год на указанные цели предусмотрено 46,0 млн рублей, исполнено за 9 месяцев 2021 года 36,0 млн рублей, или 78,26 %</w:t>
      </w:r>
      <w:r w:rsidRPr="00522104">
        <w:rPr>
          <w:rFonts w:ascii="Times New Roman" w:hAnsi="Times New Roman" w:cs="Times New Roman"/>
          <w:sz w:val="28"/>
          <w:szCs w:val="28"/>
        </w:rPr>
        <w:t>;</w:t>
      </w:r>
    </w:p>
    <w:p w14:paraId="49E26B41" w14:textId="47ABC787" w:rsidR="00827437" w:rsidRPr="00522104" w:rsidRDefault="00827437" w:rsidP="00827437">
      <w:pPr>
        <w:spacing w:after="0" w:line="240" w:lineRule="auto"/>
        <w:ind w:firstLine="709"/>
        <w:contextualSpacing/>
        <w:jc w:val="both"/>
        <w:rPr>
          <w:rFonts w:ascii="Times New Roman" w:hAnsi="Times New Roman" w:cs="Times New Roman"/>
          <w:bCs/>
          <w:iCs/>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основному мероприятию "Развитие инфраструктуры общеобразовательных организаций"</w:t>
      </w:r>
      <w:r w:rsidRPr="00522104">
        <w:rPr>
          <w:rFonts w:ascii="Times New Roman" w:hAnsi="Times New Roman" w:cs="Times New Roman"/>
          <w:b/>
          <w:i/>
          <w:sz w:val="28"/>
          <w:szCs w:val="28"/>
        </w:rPr>
        <w:t xml:space="preserve"> </w:t>
      </w:r>
      <w:r w:rsidRPr="00522104">
        <w:rPr>
          <w:rFonts w:ascii="Times New Roman" w:hAnsi="Times New Roman" w:cs="Times New Roman"/>
          <w:sz w:val="28"/>
          <w:szCs w:val="28"/>
        </w:rPr>
        <w:t>на 2022 год планируются бюджетные ассигнования в объеме 864,49 млн рублей, что на 671,98 млн рублей, или в 4,5 раз</w:t>
      </w:r>
      <w:r w:rsidR="009110E8"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больше утвержденных назначений (192,51 млн рублей), из них:</w:t>
      </w:r>
    </w:p>
    <w:p w14:paraId="0E3982E5" w14:textId="76F8CA05"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Cs/>
          <w:iCs/>
          <w:sz w:val="28"/>
          <w:szCs w:val="28"/>
        </w:rPr>
        <w:t>увеличены б</w:t>
      </w:r>
      <w:r w:rsidRPr="00522104">
        <w:rPr>
          <w:rFonts w:ascii="Times New Roman" w:hAnsi="Times New Roman" w:cs="Times New Roman"/>
          <w:sz w:val="28"/>
          <w:szCs w:val="28"/>
        </w:rPr>
        <w:t>юджетные ассигнования на строительство, реконструкцию и приобретение зданий муниципальных общеобразовательных организаций – на 235,78 млн рублей, или в 2,2 раза (на 2022 год предусмотрено законом</w:t>
      </w:r>
      <w:r w:rsidR="009110E8" w:rsidRPr="00522104">
        <w:rPr>
          <w:rFonts w:ascii="Times New Roman" w:hAnsi="Times New Roman" w:cs="Times New Roman"/>
          <w:sz w:val="28"/>
          <w:szCs w:val="28"/>
        </w:rPr>
        <w:t xml:space="preserve"> </w:t>
      </w:r>
      <w:r w:rsidRPr="00522104">
        <w:rPr>
          <w:rFonts w:ascii="Times New Roman" w:hAnsi="Times New Roman" w:cs="Times New Roman"/>
          <w:sz w:val="28"/>
          <w:szCs w:val="28"/>
        </w:rPr>
        <w:t>192,51 млн рублей</w:t>
      </w:r>
      <w:r w:rsidR="009110E8"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428,29 млн рублей).</w:t>
      </w:r>
    </w:p>
    <w:p w14:paraId="4F5F3C58" w14:textId="46B163CE"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Законопроектом на 2022 год предусмотрены субсидии в объеме 436,20 млн рублей, в том числе: на капитальный ремонт зданий муниципальных общеобразовательных учреждений – 400,0 млн рублей</w:t>
      </w:r>
      <w:r w:rsidR="009110E8"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 иные цели краевым государственным бюджетным учреждениям – 36,20 млн рублей.</w:t>
      </w:r>
    </w:p>
    <w:p w14:paraId="139ADBCE" w14:textId="4105EE0B"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"Развитие дополнительного образования детей и реализация мероприятий молодежной политики"</w:t>
      </w:r>
      <w:r w:rsidRPr="00522104">
        <w:rPr>
          <w:rFonts w:ascii="Times New Roman" w:hAnsi="Times New Roman" w:cs="Times New Roman"/>
          <w:sz w:val="28"/>
          <w:szCs w:val="28"/>
        </w:rPr>
        <w:t xml:space="preserve"> запланированы расходы в объеме 330,74 млн рублей, что на 32,28 млн рублей, или на 8,89 %</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 xml:space="preserve">меньше </w:t>
      </w:r>
      <w:r w:rsidRPr="00522104">
        <w:rPr>
          <w:rFonts w:ascii="Times New Roman" w:hAnsi="Times New Roman" w:cs="Times New Roman"/>
          <w:sz w:val="28"/>
          <w:szCs w:val="28"/>
        </w:rPr>
        <w:t>утвержденных назначений на 2021 год (363,02 млн рублей), и на 242,89 млн рублей, или в 3,8 раз</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превышает</w:t>
      </w:r>
      <w:r w:rsidRPr="00522104">
        <w:rPr>
          <w:rFonts w:ascii="Times New Roman" w:hAnsi="Times New Roman" w:cs="Times New Roman"/>
          <w:sz w:val="28"/>
          <w:szCs w:val="28"/>
        </w:rPr>
        <w:t xml:space="preserve"> утвержденные назначения на 2022 год (87,85 млн рублей).</w:t>
      </w:r>
    </w:p>
    <w:p w14:paraId="36EF2D87" w14:textId="7C10F323" w:rsidR="00827437" w:rsidRPr="00522104" w:rsidRDefault="00827437" w:rsidP="00827437">
      <w:pPr>
        <w:spacing w:after="0" w:line="240" w:lineRule="auto"/>
        <w:ind w:firstLine="709"/>
        <w:contextualSpacing/>
        <w:jc w:val="both"/>
        <w:rPr>
          <w:rFonts w:ascii="Times New Roman" w:hAnsi="Times New Roman" w:cs="Times New Roman"/>
          <w:bCs/>
          <w:iCs/>
          <w:sz w:val="28"/>
          <w:szCs w:val="28"/>
        </w:rPr>
      </w:pPr>
      <w:r w:rsidRPr="00522104">
        <w:rPr>
          <w:rFonts w:ascii="Times New Roman" w:hAnsi="Times New Roman" w:cs="Times New Roman"/>
          <w:sz w:val="28"/>
          <w:szCs w:val="28"/>
        </w:rPr>
        <w:t xml:space="preserve">Так, по </w:t>
      </w:r>
      <w:r w:rsidRPr="00522104">
        <w:rPr>
          <w:rFonts w:ascii="Times New Roman" w:hAnsi="Times New Roman" w:cs="Times New Roman"/>
          <w:i/>
          <w:iCs/>
          <w:sz w:val="28"/>
          <w:szCs w:val="28"/>
        </w:rPr>
        <w:t>основному мероприятию "Социальная поддержка, направленная на повышение доступности услуг, предоставляемых организациями отдыха и оздоровления детей"</w:t>
      </w:r>
      <w:r w:rsidRPr="00522104">
        <w:rPr>
          <w:rFonts w:ascii="Times New Roman" w:hAnsi="Times New Roman" w:cs="Times New Roman"/>
          <w:sz w:val="28"/>
          <w:szCs w:val="28"/>
        </w:rPr>
        <w:t xml:space="preserve"> законопроектом на 2022 год </w:t>
      </w:r>
      <w:r w:rsidRPr="00522104">
        <w:rPr>
          <w:rFonts w:ascii="Times New Roman" w:hAnsi="Times New Roman" w:cs="Times New Roman"/>
          <w:bCs/>
          <w:iCs/>
          <w:sz w:val="28"/>
          <w:szCs w:val="28"/>
        </w:rPr>
        <w:t>увеличены бюджетные ассигнования на 189,04 млн рублей, или в 5,7 раз (предусмотрено законом 40,43 млн рублей</w:t>
      </w:r>
      <w:r w:rsidR="007A7804" w:rsidRPr="00522104">
        <w:rPr>
          <w:rFonts w:ascii="Times New Roman" w:hAnsi="Times New Roman" w:cs="Times New Roman"/>
          <w:bCs/>
          <w:iCs/>
          <w:sz w:val="28"/>
          <w:szCs w:val="28"/>
        </w:rPr>
        <w:t>,</w:t>
      </w:r>
      <w:r w:rsidRPr="00522104">
        <w:rPr>
          <w:rFonts w:ascii="Times New Roman" w:hAnsi="Times New Roman" w:cs="Times New Roman"/>
          <w:bCs/>
          <w:iCs/>
          <w:sz w:val="28"/>
          <w:szCs w:val="28"/>
        </w:rPr>
        <w:t xml:space="preserve"> законопроектом – 229,47 млн рублей), из них:</w:t>
      </w:r>
    </w:p>
    <w:p w14:paraId="10B256A8" w14:textId="3E227722"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Cs/>
          <w:iCs/>
          <w:sz w:val="28"/>
          <w:szCs w:val="28"/>
        </w:rPr>
        <w:t>на 17,40 млн рублей, или в 1,8 раз</w:t>
      </w:r>
      <w:r w:rsidR="007A7804" w:rsidRPr="00522104">
        <w:rPr>
          <w:rFonts w:ascii="Times New Roman" w:hAnsi="Times New Roman" w:cs="Times New Roman"/>
          <w:bCs/>
          <w:iCs/>
          <w:sz w:val="28"/>
          <w:szCs w:val="28"/>
        </w:rPr>
        <w:t>,</w:t>
      </w:r>
      <w:r w:rsidRPr="00522104">
        <w:rPr>
          <w:rFonts w:ascii="Times New Roman" w:hAnsi="Times New Roman" w:cs="Times New Roman"/>
          <w:bCs/>
          <w:iCs/>
          <w:sz w:val="28"/>
          <w:szCs w:val="28"/>
        </w:rPr>
        <w:t xml:space="preserve"> увеличен</w:t>
      </w:r>
      <w:r w:rsidRPr="00522104">
        <w:rPr>
          <w:rFonts w:ascii="Times New Roman" w:hAnsi="Times New Roman" w:cs="Times New Roman"/>
          <w:iCs/>
          <w:sz w:val="28"/>
          <w:szCs w:val="28"/>
        </w:rPr>
        <w:t xml:space="preserve"> объем субсидий организациям и индивидуальным предпринимателям, оказывающим</w:t>
      </w:r>
      <w:r w:rsidRPr="00522104">
        <w:rPr>
          <w:rFonts w:ascii="Times New Roman" w:hAnsi="Times New Roman" w:cs="Times New Roman"/>
          <w:sz w:val="28"/>
          <w:szCs w:val="28"/>
        </w:rPr>
        <w:t xml:space="preserve"> услуги по организации отдыха и оздоровления детей на территории Приморского края (на 2022 год предусмотрено законом 21,41 млн рублей</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38,81</w:t>
      </w:r>
      <w:r w:rsidR="007A7804" w:rsidRPr="00522104">
        <w:rPr>
          <w:rFonts w:ascii="Times New Roman" w:hAnsi="Times New Roman" w:cs="Times New Roman"/>
          <w:sz w:val="28"/>
          <w:szCs w:val="28"/>
        </w:rPr>
        <w:t> </w:t>
      </w:r>
      <w:r w:rsidRPr="00522104">
        <w:rPr>
          <w:rFonts w:ascii="Times New Roman" w:hAnsi="Times New Roman" w:cs="Times New Roman"/>
          <w:sz w:val="28"/>
          <w:szCs w:val="28"/>
        </w:rPr>
        <w:t>млн рублей).</w:t>
      </w:r>
    </w:p>
    <w:p w14:paraId="24B330DE"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Законопроектом на 2022 год предусмотрены субвенции на обеспечение оздоровления и отдыха детей Приморского края (за исключением организации отдыха детей в каникулярное время) в объеме 163,35 млн рублей.</w:t>
      </w:r>
    </w:p>
    <w:p w14:paraId="09667338"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На </w:t>
      </w:r>
      <w:r w:rsidRPr="00522104">
        <w:rPr>
          <w:rFonts w:ascii="Times New Roman" w:hAnsi="Times New Roman" w:cs="Times New Roman"/>
          <w:bCs/>
          <w:iCs/>
          <w:sz w:val="28"/>
          <w:szCs w:val="28"/>
        </w:rPr>
        <w:t>уровне</w:t>
      </w:r>
      <w:r w:rsidRPr="00522104">
        <w:rPr>
          <w:rFonts w:ascii="Times New Roman" w:hAnsi="Times New Roman" w:cs="Times New Roman"/>
          <w:sz w:val="28"/>
          <w:szCs w:val="28"/>
        </w:rPr>
        <w:t xml:space="preserve"> утвержденных назначений 2021 года законопроектом на 2022-2024 годы предусмотрены расходы на 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 в объеме 19,03 млн рублей.</w:t>
      </w:r>
    </w:p>
    <w:p w14:paraId="3A5ED22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w:t>
      </w:r>
      <w:r w:rsidRPr="00522104">
        <w:rPr>
          <w:rFonts w:ascii="Times New Roman" w:eastAsia="Times New Roman" w:hAnsi="Times New Roman" w:cs="Times New Roman"/>
          <w:sz w:val="28"/>
          <w:szCs w:val="24"/>
          <w:lang w:eastAsia="ru-RU"/>
        </w:rPr>
        <w:t xml:space="preserve">араметры средней заработной платы </w:t>
      </w:r>
      <w:r w:rsidRPr="00522104">
        <w:rPr>
          <w:rFonts w:ascii="Times New Roman" w:eastAsia="Times New Roman" w:hAnsi="Times New Roman" w:cs="Times New Roman"/>
          <w:sz w:val="28"/>
          <w:szCs w:val="28"/>
          <w:lang w:eastAsia="ru-RU"/>
        </w:rPr>
        <w:t>педагогических работников учреждений дополнительного образования</w:t>
      </w:r>
      <w:r w:rsidRPr="00522104">
        <w:rPr>
          <w:rFonts w:ascii="Times New Roman" w:eastAsia="Times New Roman" w:hAnsi="Times New Roman" w:cs="Times New Roman"/>
          <w:sz w:val="28"/>
          <w:szCs w:val="24"/>
          <w:lang w:eastAsia="ru-RU"/>
        </w:rPr>
        <w:t xml:space="preserve"> н</w:t>
      </w:r>
      <w:r w:rsidRPr="00522104">
        <w:rPr>
          <w:rFonts w:ascii="Times New Roman" w:eastAsia="Times New Roman" w:hAnsi="Times New Roman" w:cs="Times New Roman"/>
          <w:sz w:val="28"/>
          <w:szCs w:val="28"/>
          <w:lang w:eastAsia="ru-RU"/>
        </w:rPr>
        <w:t xml:space="preserve">а 2022 год запланированы на уровне </w:t>
      </w:r>
      <w:r w:rsidRPr="00522104">
        <w:rPr>
          <w:rFonts w:ascii="Times New Roman" w:eastAsia="Times New Roman" w:hAnsi="Times New Roman" w:cs="Times New Roman"/>
          <w:bCs/>
          <w:kern w:val="36"/>
          <w:sz w:val="28"/>
          <w:szCs w:val="28"/>
          <w:lang w:eastAsia="ru-RU"/>
        </w:rPr>
        <w:t xml:space="preserve">средней заработной платы учителей в регионе </w:t>
      </w:r>
      <w:r w:rsidRPr="00522104">
        <w:rPr>
          <w:rFonts w:ascii="Times New Roman" w:eastAsia="Times New Roman" w:hAnsi="Times New Roman" w:cs="Times New Roman"/>
          <w:sz w:val="28"/>
          <w:szCs w:val="28"/>
          <w:lang w:eastAsia="ru-RU"/>
        </w:rPr>
        <w:t xml:space="preserve">– 48779,90 рублей, то есть с ростом 106,60 % к прогнозному значению на 2021 год – 45759,80 рублей. </w:t>
      </w:r>
    </w:p>
    <w:p w14:paraId="62B125D1"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Министерством образования Приморского края за 9 месяцев 2021 года не выдержаны параметры, установленные в приложениях к Плану мероприятий ("дорожной карте") по доведению средней заработной платы по категориям работников учреждений дополнительного образования к прогнозу на 2021 год – 45759,80 рублей (за 9 месяцев 2021 года – 44203,10 рублей, или 96,60 %).</w:t>
      </w:r>
    </w:p>
    <w:p w14:paraId="4104A23C" w14:textId="4B411C55"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"Развитие среднего профессионального, дополнительного профессионального образования и реализация мер по поддержке организаций в области образования на территории Приморского края"</w:t>
      </w:r>
      <w:r w:rsidRPr="00522104">
        <w:rPr>
          <w:rFonts w:ascii="Times New Roman" w:hAnsi="Times New Roman" w:cs="Times New Roman"/>
          <w:sz w:val="28"/>
          <w:szCs w:val="28"/>
        </w:rPr>
        <w:t xml:space="preserve"> на 2022 год запланированы расходы в объеме 2 988,71 млн рублей, что на 371,95 млн рублей, или на 14,21 % </w:t>
      </w:r>
      <w:r w:rsidRPr="00522104">
        <w:rPr>
          <w:rFonts w:ascii="Times New Roman" w:hAnsi="Times New Roman" w:cs="Times New Roman"/>
          <w:bCs/>
          <w:iCs/>
          <w:sz w:val="28"/>
          <w:szCs w:val="28"/>
        </w:rPr>
        <w:t>больше</w:t>
      </w:r>
      <w:r w:rsidRPr="00522104">
        <w:rPr>
          <w:rFonts w:ascii="Times New Roman" w:hAnsi="Times New Roman" w:cs="Times New Roman"/>
          <w:b/>
          <w:i/>
          <w:sz w:val="28"/>
          <w:szCs w:val="28"/>
        </w:rPr>
        <w:t xml:space="preserve"> </w:t>
      </w:r>
      <w:r w:rsidRPr="00522104">
        <w:rPr>
          <w:rFonts w:ascii="Times New Roman" w:hAnsi="Times New Roman" w:cs="Times New Roman"/>
          <w:sz w:val="28"/>
          <w:szCs w:val="28"/>
        </w:rPr>
        <w:t>утвержденных назначений на 2021 год (2 616,76 млн рублей), и на 114,21 млн рублей, или на 22,63 %</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больше</w:t>
      </w:r>
      <w:r w:rsidRPr="00522104">
        <w:rPr>
          <w:rFonts w:ascii="Times New Roman" w:hAnsi="Times New Roman" w:cs="Times New Roman"/>
          <w:sz w:val="28"/>
          <w:szCs w:val="28"/>
        </w:rPr>
        <w:t xml:space="preserve"> утвержденных назначений на 2022 год (2 437,21 млн рублей), из них:</w:t>
      </w:r>
    </w:p>
    <w:p w14:paraId="69D0B36F" w14:textId="76C615EA"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основному мероприятию "Реализация образовательных программ среднего профессионального образования"</w:t>
      </w:r>
      <w:r w:rsidRPr="00522104">
        <w:rPr>
          <w:rFonts w:ascii="Times New Roman" w:hAnsi="Times New Roman" w:cs="Times New Roman"/>
          <w:sz w:val="28"/>
          <w:szCs w:val="28"/>
        </w:rPr>
        <w:t xml:space="preserve"> планируется </w:t>
      </w:r>
      <w:r w:rsidRPr="00522104">
        <w:rPr>
          <w:rFonts w:ascii="Times New Roman" w:hAnsi="Times New Roman" w:cs="Times New Roman"/>
          <w:bCs/>
          <w:iCs/>
          <w:sz w:val="28"/>
          <w:szCs w:val="28"/>
        </w:rPr>
        <w:t xml:space="preserve">увеличение </w:t>
      </w:r>
      <w:r w:rsidRPr="00522104">
        <w:rPr>
          <w:rFonts w:ascii="Times New Roman" w:hAnsi="Times New Roman" w:cs="Times New Roman"/>
          <w:sz w:val="28"/>
          <w:szCs w:val="28"/>
        </w:rPr>
        <w:t>бюджетных ассигнований на 75,38 млн рублей, или на 3,89 % (на 2022 год предусмотрено законом 1 937,69 млн рублей</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2 013,07 млн рублей)</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 обеспечение деятельности (оказание услуг, выполнение работ) краевых государственных учреждений (на 2022 год утверждено 1 931,70 млн рублей</w:t>
      </w:r>
      <w:r w:rsidR="007A7804" w:rsidRPr="00522104">
        <w:rPr>
          <w:rFonts w:ascii="Times New Roman" w:hAnsi="Times New Roman" w:cs="Times New Roman"/>
          <w:sz w:val="28"/>
          <w:szCs w:val="28"/>
        </w:rPr>
        <w:t>,</w:t>
      </w:r>
      <w:r w:rsidRPr="00522104">
        <w:rPr>
          <w:rFonts w:ascii="Times New Roman" w:hAnsi="Times New Roman" w:cs="Times New Roman"/>
          <w:sz w:val="28"/>
          <w:szCs w:val="28"/>
        </w:rPr>
        <w:t xml:space="preserve"> предусмотрено законопроектом 2 007,08 млн рублей).</w:t>
      </w:r>
    </w:p>
    <w:p w14:paraId="068088C9" w14:textId="4824213C"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w:t>
      </w:r>
      <w:r w:rsidRPr="00522104">
        <w:rPr>
          <w:rFonts w:ascii="Times New Roman" w:eastAsia="Times New Roman" w:hAnsi="Times New Roman" w:cs="Times New Roman"/>
          <w:sz w:val="28"/>
          <w:szCs w:val="24"/>
          <w:lang w:eastAsia="ru-RU"/>
        </w:rPr>
        <w:t xml:space="preserve">араметры средней заработной платы </w:t>
      </w:r>
      <w:r w:rsidRPr="00522104">
        <w:rPr>
          <w:rFonts w:ascii="Times New Roman" w:eastAsia="Times New Roman" w:hAnsi="Times New Roman" w:cs="Times New Roman"/>
          <w:sz w:val="28"/>
          <w:szCs w:val="28"/>
          <w:lang w:eastAsia="ru-RU"/>
        </w:rPr>
        <w:t>преподавателей и мастеров производственного обучения образовательных организаций среднего профессионального образования</w:t>
      </w:r>
      <w:r w:rsidRPr="00522104">
        <w:rPr>
          <w:rFonts w:ascii="Times New Roman" w:eastAsia="Times New Roman" w:hAnsi="Times New Roman" w:cs="Times New Roman"/>
          <w:sz w:val="28"/>
          <w:szCs w:val="24"/>
          <w:lang w:eastAsia="ru-RU"/>
        </w:rPr>
        <w:t xml:space="preserve"> </w:t>
      </w:r>
      <w:r w:rsidRPr="00522104">
        <w:rPr>
          <w:rFonts w:ascii="Times New Roman" w:eastAsia="Times New Roman" w:hAnsi="Times New Roman" w:cs="Times New Roman"/>
          <w:sz w:val="28"/>
          <w:szCs w:val="28"/>
          <w:lang w:eastAsia="ru-RU"/>
        </w:rPr>
        <w:t>в соответствии с планом мероприятий ("дорожной картой") на 2022 год запланированы на уровне</w:t>
      </w:r>
      <w:r w:rsidRPr="00522104">
        <w:rPr>
          <w:rFonts w:ascii="Times New Roman" w:eastAsia="Times New Roman" w:hAnsi="Times New Roman" w:cs="Times New Roman"/>
          <w:b/>
          <w:bCs/>
          <w:kern w:val="36"/>
          <w:sz w:val="28"/>
          <w:szCs w:val="28"/>
          <w:lang w:eastAsia="ru-RU"/>
        </w:rPr>
        <w:t xml:space="preserve"> </w:t>
      </w:r>
      <w:r w:rsidRPr="00522104">
        <w:rPr>
          <w:rFonts w:ascii="Times New Roman" w:eastAsia="Times New Roman" w:hAnsi="Times New Roman" w:cs="Times New Roman"/>
          <w:bCs/>
          <w:kern w:val="36"/>
          <w:sz w:val="28"/>
          <w:szCs w:val="28"/>
          <w:lang w:eastAsia="ru-RU"/>
        </w:rPr>
        <w:t xml:space="preserve">среднемесячного дохода от трудовой деятельности – 48779,90 рублей, </w:t>
      </w:r>
      <w:r w:rsidRPr="00522104">
        <w:rPr>
          <w:rFonts w:ascii="Times New Roman" w:eastAsia="Times New Roman" w:hAnsi="Times New Roman" w:cs="Times New Roman"/>
          <w:sz w:val="28"/>
          <w:szCs w:val="28"/>
          <w:lang w:eastAsia="ru-RU"/>
        </w:rPr>
        <w:t>исполнение показателя за 9 месяцев 2021 года – 46792,60 рублей, или 102,26</w:t>
      </w:r>
      <w:r w:rsidRPr="00522104">
        <w:rPr>
          <w:rFonts w:ascii="Times New Roman" w:eastAsia="Times New Roman" w:hAnsi="Times New Roman" w:cs="Times New Roman"/>
          <w:sz w:val="28"/>
          <w:szCs w:val="28"/>
          <w:lang w:val="en-US" w:eastAsia="ru-RU"/>
        </w:rPr>
        <w:t> </w:t>
      </w:r>
      <w:r w:rsidRPr="00522104">
        <w:rPr>
          <w:rFonts w:ascii="Times New Roman" w:eastAsia="Times New Roman" w:hAnsi="Times New Roman" w:cs="Times New Roman"/>
          <w:sz w:val="28"/>
          <w:szCs w:val="28"/>
          <w:lang w:eastAsia="ru-RU"/>
        </w:rPr>
        <w:t>% от планируемого показателя 45759,80 рублей</w:t>
      </w:r>
      <w:r w:rsidR="007A780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w:t>
      </w:r>
    </w:p>
    <w:p w14:paraId="0C0C4A3C" w14:textId="53E49FA9"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основному мероприятию "Обеспечение социальной поддержки обучающихся в организациях профессионального образования"</w:t>
      </w:r>
      <w:r w:rsidRPr="00522104">
        <w:rPr>
          <w:rFonts w:ascii="Times New Roman" w:hAnsi="Times New Roman" w:cs="Times New Roman"/>
          <w:sz w:val="28"/>
          <w:szCs w:val="28"/>
        </w:rPr>
        <w:t xml:space="preserve"> на 2022 год предусмотрено </w:t>
      </w:r>
      <w:r w:rsidRPr="00522104">
        <w:rPr>
          <w:rFonts w:ascii="Times New Roman" w:hAnsi="Times New Roman" w:cs="Times New Roman"/>
          <w:bCs/>
          <w:iCs/>
          <w:sz w:val="28"/>
          <w:szCs w:val="28"/>
        </w:rPr>
        <w:t>увеличение</w:t>
      </w:r>
      <w:r w:rsidRPr="00522104">
        <w:rPr>
          <w:rFonts w:ascii="Times New Roman" w:hAnsi="Times New Roman" w:cs="Times New Roman"/>
          <w:sz w:val="28"/>
          <w:szCs w:val="28"/>
        </w:rPr>
        <w:t xml:space="preserve"> бюджетных ассигнований на 174,33 млн рублей, или на 48,02 % (предусмотрено законом 363,06 млн рублей</w:t>
      </w:r>
      <w:r w:rsidR="00FB3AC4"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537,39 млн рублей), их них:</w:t>
      </w:r>
    </w:p>
    <w:p w14:paraId="4E8890A6" w14:textId="715448E0"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на 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r w:rsidR="00FB3AC4" w:rsidRPr="00522104">
        <w:rPr>
          <w:rFonts w:ascii="Times New Roman" w:hAnsi="Times New Roman" w:cs="Times New Roman"/>
          <w:sz w:val="28"/>
          <w:szCs w:val="28"/>
        </w:rPr>
        <w:t> </w:t>
      </w:r>
      <w:r w:rsidRPr="00522104">
        <w:rPr>
          <w:rFonts w:ascii="Times New Roman" w:hAnsi="Times New Roman" w:cs="Times New Roman"/>
          <w:sz w:val="28"/>
          <w:szCs w:val="28"/>
        </w:rPr>
        <w:t>– на 66,76 млн рублей, или на 36,82 % (предусмотрено законом 181,34 млн рублей</w:t>
      </w:r>
      <w:r w:rsidR="00FB3AC4"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248,10 млн рублей);</w:t>
      </w:r>
    </w:p>
    <w:p w14:paraId="68221AA0" w14:textId="4C5FE456"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 xml:space="preserve">основному мероприятию "Реализация дополнительных профессиональных программ" </w:t>
      </w:r>
      <w:r w:rsidR="00FB3AC4" w:rsidRPr="00522104">
        <w:rPr>
          <w:rFonts w:ascii="Times New Roman" w:hAnsi="Times New Roman" w:cs="Times New Roman"/>
          <w:i/>
          <w:iCs/>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увеличение</w:t>
      </w:r>
      <w:r w:rsidRPr="00522104">
        <w:rPr>
          <w:rFonts w:ascii="Times New Roman" w:hAnsi="Times New Roman" w:cs="Times New Roman"/>
          <w:sz w:val="28"/>
          <w:szCs w:val="28"/>
        </w:rPr>
        <w:t xml:space="preserve"> на 23,26 млн рублей, или на 28,21 % (на 2022 год утверждено 87,00 млн рублей</w:t>
      </w:r>
      <w:r w:rsidR="00FB3AC4" w:rsidRPr="00522104">
        <w:rPr>
          <w:rFonts w:ascii="Times New Roman" w:hAnsi="Times New Roman" w:cs="Times New Roman"/>
          <w:sz w:val="28"/>
          <w:szCs w:val="28"/>
        </w:rPr>
        <w:t>,</w:t>
      </w:r>
      <w:r w:rsidRPr="00522104">
        <w:rPr>
          <w:rFonts w:ascii="Times New Roman" w:hAnsi="Times New Roman" w:cs="Times New Roman"/>
          <w:sz w:val="28"/>
          <w:szCs w:val="28"/>
        </w:rPr>
        <w:t xml:space="preserve"> предусмотрено зак</w:t>
      </w:r>
      <w:r w:rsidR="00FB3AC4" w:rsidRPr="00522104">
        <w:rPr>
          <w:rFonts w:ascii="Times New Roman" w:hAnsi="Times New Roman" w:cs="Times New Roman"/>
          <w:sz w:val="28"/>
          <w:szCs w:val="28"/>
        </w:rPr>
        <w:t xml:space="preserve">онопроектом </w:t>
      </w:r>
      <w:r w:rsidRPr="00522104">
        <w:rPr>
          <w:rFonts w:ascii="Times New Roman" w:hAnsi="Times New Roman" w:cs="Times New Roman"/>
          <w:sz w:val="28"/>
          <w:szCs w:val="28"/>
        </w:rPr>
        <w:t>110,26 млн рублей), их них: на обеспечение деятельности (оказание услуг, выполнение работ) краевых государственных учреждений – увеличение составляет 9,06 млн рублей, или 10,41 % (на 2022 год предусмотрено законом 87,00 млн рублей</w:t>
      </w:r>
      <w:r w:rsidR="00FB3AC4"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96,06 млн рублей).</w:t>
      </w:r>
    </w:p>
    <w:p w14:paraId="7F6462A8" w14:textId="24D35BC4"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В рамках данного мероприятия законопроектом на 2022 год предусмотрены бюджетные ассигнования в сумме 14,20 млн рублей, на следующие цели: субсидии автономным учреждениям на иные цели – 10,0 млн рублей</w:t>
      </w:r>
      <w:r w:rsidR="00FB3AC4" w:rsidRPr="00522104">
        <w:rPr>
          <w:rFonts w:ascii="Times New Roman" w:hAnsi="Times New Roman" w:cs="Times New Roman"/>
          <w:sz w:val="28"/>
          <w:szCs w:val="28"/>
        </w:rPr>
        <w:t>,</w:t>
      </w:r>
      <w:r w:rsidRPr="00522104">
        <w:rPr>
          <w:rFonts w:ascii="Times New Roman" w:hAnsi="Times New Roman" w:cs="Times New Roman"/>
          <w:sz w:val="28"/>
          <w:szCs w:val="28"/>
        </w:rPr>
        <w:t xml:space="preserve"> стипендии Правительства Приморского края учителям – участникам Программы "Учитель для России" – 4,20 млн рублей (новая целевая статья 0240481670);</w:t>
      </w:r>
    </w:p>
    <w:p w14:paraId="4929D4DF" w14:textId="314BF146"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i/>
          <w:iCs/>
          <w:sz w:val="28"/>
          <w:szCs w:val="28"/>
        </w:rPr>
        <w:t>основному мероприятию "Реализация комплекса мер по поддержке образовательных, научных и иных организаций в области образования, в том числе обучающихся"</w:t>
      </w:r>
      <w:r w:rsidRPr="00522104">
        <w:rPr>
          <w:rFonts w:ascii="Times New Roman" w:hAnsi="Times New Roman" w:cs="Times New Roman"/>
          <w:sz w:val="28"/>
          <w:szCs w:val="28"/>
        </w:rPr>
        <w:t xml:space="preserve"> планируется </w:t>
      </w:r>
      <w:r w:rsidRPr="00522104">
        <w:rPr>
          <w:rFonts w:ascii="Times New Roman" w:hAnsi="Times New Roman" w:cs="Times New Roman"/>
          <w:bCs/>
          <w:iCs/>
          <w:sz w:val="28"/>
          <w:szCs w:val="28"/>
        </w:rPr>
        <w:t>увеличение</w:t>
      </w:r>
      <w:r w:rsidRPr="00522104">
        <w:rPr>
          <w:rFonts w:ascii="Times New Roman" w:hAnsi="Times New Roman" w:cs="Times New Roman"/>
          <w:sz w:val="28"/>
          <w:szCs w:val="28"/>
        </w:rPr>
        <w:t xml:space="preserve"> бюджетных ассигнований на 29,43 млн рублей, или в 3,9 раза (предусмотрено законом на 2022 год 9,96 млн рублей; предусмотрено законопроектом 39,39 млн рублей), их них:</w:t>
      </w:r>
    </w:p>
    <w:p w14:paraId="64D84301" w14:textId="1A05EB38"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на выплату стипендий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 </w:t>
      </w:r>
      <w:r w:rsidRPr="00522104">
        <w:rPr>
          <w:rFonts w:ascii="Times New Roman" w:hAnsi="Times New Roman" w:cs="Times New Roman"/>
          <w:bCs/>
          <w:iCs/>
          <w:sz w:val="28"/>
          <w:szCs w:val="28"/>
        </w:rPr>
        <w:t>увеличение</w:t>
      </w:r>
      <w:r w:rsidRPr="00522104">
        <w:rPr>
          <w:rFonts w:ascii="Times New Roman" w:hAnsi="Times New Roman" w:cs="Times New Roman"/>
          <w:sz w:val="28"/>
          <w:szCs w:val="28"/>
        </w:rPr>
        <w:t xml:space="preserve"> составляет 22,20 млн рублей, или в 3,2 раза (на 2022 год утверждено 9,96 млн рублей</w:t>
      </w:r>
      <w:r w:rsidR="00FB3AC4" w:rsidRPr="00522104">
        <w:rPr>
          <w:rFonts w:ascii="Times New Roman" w:hAnsi="Times New Roman" w:cs="Times New Roman"/>
          <w:sz w:val="28"/>
          <w:szCs w:val="28"/>
        </w:rPr>
        <w:t>,</w:t>
      </w:r>
      <w:r w:rsidRPr="00522104">
        <w:rPr>
          <w:rFonts w:ascii="Times New Roman" w:hAnsi="Times New Roman" w:cs="Times New Roman"/>
          <w:sz w:val="28"/>
          <w:szCs w:val="28"/>
        </w:rPr>
        <w:t xml:space="preserve"> предусмотрено законопроектом 32,16 млн рублей).</w:t>
      </w:r>
    </w:p>
    <w:p w14:paraId="578F6EF4"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В рамках данного мероприятия законопроектом на 2022 год предусмотрены бюджетные ассигнования в сумме 7,23 млн рублей, на следующие цели:</w:t>
      </w:r>
    </w:p>
    <w:p w14:paraId="34A06E91" w14:textId="77777777" w:rsidR="00827437" w:rsidRPr="00522104" w:rsidRDefault="00827437" w:rsidP="00827437">
      <w:pPr>
        <w:spacing w:after="0" w:line="240" w:lineRule="auto"/>
        <w:ind w:firstLine="709"/>
        <w:contextualSpacing/>
        <w:jc w:val="both"/>
        <w:rPr>
          <w:rFonts w:ascii="Times New Roman" w:hAnsi="Times New Roman" w:cs="Times New Roman"/>
          <w:i/>
          <w:iCs/>
          <w:sz w:val="28"/>
          <w:szCs w:val="28"/>
        </w:rPr>
      </w:pPr>
      <w:r w:rsidRPr="00522104">
        <w:rPr>
          <w:rFonts w:ascii="Times New Roman" w:hAnsi="Times New Roman" w:cs="Times New Roman"/>
          <w:sz w:val="28"/>
          <w:szCs w:val="28"/>
        </w:rPr>
        <w:t xml:space="preserve">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 – 2,23 млн рублей. </w:t>
      </w:r>
      <w:r w:rsidRPr="00522104">
        <w:rPr>
          <w:rFonts w:ascii="Times New Roman" w:hAnsi="Times New Roman" w:cs="Times New Roman"/>
          <w:i/>
          <w:iCs/>
          <w:sz w:val="28"/>
          <w:szCs w:val="28"/>
        </w:rPr>
        <w:t>За девять месяцев 2021 года бюджетные ассигнования, предусмотренные законом на 2021 год на данные цели, исполнены на 100,0 % (683,74 млн рублей);</w:t>
      </w:r>
    </w:p>
    <w:p w14:paraId="09BE880C" w14:textId="3A310D4B"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предоставление грантов из краевого бюджета в форме субсидий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r w:rsidR="00DF2458" w:rsidRPr="00522104">
        <w:rPr>
          <w:rFonts w:ascii="Times New Roman" w:hAnsi="Times New Roman" w:cs="Times New Roman"/>
          <w:sz w:val="28"/>
          <w:szCs w:val="28"/>
        </w:rPr>
        <w:t>,</w:t>
      </w:r>
      <w:r w:rsidRPr="00522104">
        <w:rPr>
          <w:rFonts w:ascii="Times New Roman" w:hAnsi="Times New Roman" w:cs="Times New Roman"/>
          <w:sz w:val="28"/>
          <w:szCs w:val="28"/>
        </w:rPr>
        <w:t xml:space="preserve"> – 5,0 млн рублей (новая целевая статья 0240662470).</w:t>
      </w:r>
    </w:p>
    <w:p w14:paraId="6D75DFE4" w14:textId="2150C26A"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"Совершенствование управления системой образования"</w:t>
      </w:r>
      <w:r w:rsidRPr="00522104">
        <w:rPr>
          <w:rFonts w:ascii="Times New Roman" w:hAnsi="Times New Roman" w:cs="Times New Roman"/>
          <w:sz w:val="28"/>
          <w:szCs w:val="28"/>
        </w:rPr>
        <w:t xml:space="preserve"> предусмотрено </w:t>
      </w:r>
      <w:r w:rsidRPr="00522104">
        <w:rPr>
          <w:rFonts w:ascii="Times New Roman" w:hAnsi="Times New Roman" w:cs="Times New Roman"/>
          <w:i/>
          <w:iCs/>
          <w:sz w:val="28"/>
          <w:szCs w:val="28"/>
        </w:rPr>
        <w:t>основное мероприятие "Обеспечение функций государственного управления в сфере образования на территории Приморского края",</w:t>
      </w:r>
      <w:r w:rsidRPr="00522104">
        <w:rPr>
          <w:rFonts w:ascii="Times New Roman" w:hAnsi="Times New Roman" w:cs="Times New Roman"/>
          <w:sz w:val="28"/>
          <w:szCs w:val="28"/>
        </w:rPr>
        <w:t xml:space="preserve"> в рамках которого законопроектом на 2022 год запланированы расходы в объеме 254,48 млн рублей, что на 16,33 млн рублей, или на 6,86 %</w:t>
      </w:r>
      <w:r w:rsidR="00DF2458"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Pr="00522104">
        <w:rPr>
          <w:rFonts w:ascii="Times New Roman" w:hAnsi="Times New Roman" w:cs="Times New Roman"/>
          <w:bCs/>
          <w:iCs/>
          <w:sz w:val="28"/>
          <w:szCs w:val="28"/>
        </w:rPr>
        <w:t>больше утвержденных назначений на 2021 год (238,15 млн рублей), и на 30,46 млн рублей, или на 13,60 %</w:t>
      </w:r>
      <w:r w:rsidR="00DF2458" w:rsidRPr="00522104">
        <w:rPr>
          <w:rFonts w:ascii="Times New Roman" w:hAnsi="Times New Roman" w:cs="Times New Roman"/>
          <w:bCs/>
          <w:iCs/>
          <w:sz w:val="28"/>
          <w:szCs w:val="28"/>
        </w:rPr>
        <w:t>,</w:t>
      </w:r>
      <w:r w:rsidRPr="00522104">
        <w:rPr>
          <w:rFonts w:ascii="Times New Roman" w:hAnsi="Times New Roman" w:cs="Times New Roman"/>
          <w:bCs/>
          <w:iCs/>
          <w:sz w:val="28"/>
          <w:szCs w:val="28"/>
        </w:rPr>
        <w:t xml:space="preserve"> больше </w:t>
      </w:r>
      <w:r w:rsidRPr="00522104">
        <w:rPr>
          <w:rFonts w:ascii="Times New Roman" w:hAnsi="Times New Roman" w:cs="Times New Roman"/>
          <w:sz w:val="28"/>
          <w:szCs w:val="28"/>
        </w:rPr>
        <w:t>утвержденных назначений на 2022 год (224,02 млн рублей), из них:</w:t>
      </w:r>
    </w:p>
    <w:p w14:paraId="5E1B1C1F" w14:textId="4FAC7E3B"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расходы на руководство и управление в сфере установленных функций органов государственной власти Приморского края </w:t>
      </w:r>
      <w:r w:rsidRPr="00522104">
        <w:rPr>
          <w:rFonts w:ascii="Times New Roman" w:hAnsi="Times New Roman" w:cs="Times New Roman"/>
          <w:bCs/>
          <w:iCs/>
          <w:sz w:val="28"/>
          <w:szCs w:val="28"/>
        </w:rPr>
        <w:t>увеличены</w:t>
      </w:r>
      <w:r w:rsidRPr="00522104">
        <w:rPr>
          <w:rFonts w:ascii="Times New Roman" w:hAnsi="Times New Roman" w:cs="Times New Roman"/>
          <w:sz w:val="28"/>
          <w:szCs w:val="28"/>
        </w:rPr>
        <w:t xml:space="preserve"> на 2,53 млн рублей, или на 3,75 % (предусмотрено законом на 2022 год 67,40 млн рублей</w:t>
      </w:r>
      <w:r w:rsidR="00DF2458"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69,93 млн рублей);</w:t>
      </w:r>
    </w:p>
    <w:p w14:paraId="5112B97C" w14:textId="40307CC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на осуществление государственных полномочий органов опеки и попечительства в отношении несовершеннолетних бюджетные ассигнования </w:t>
      </w:r>
      <w:r w:rsidRPr="00522104">
        <w:rPr>
          <w:rFonts w:ascii="Times New Roman" w:hAnsi="Times New Roman" w:cs="Times New Roman"/>
          <w:b/>
          <w:i/>
          <w:sz w:val="28"/>
          <w:szCs w:val="28"/>
        </w:rPr>
        <w:t>увеличены</w:t>
      </w:r>
      <w:r w:rsidRPr="00522104">
        <w:rPr>
          <w:rFonts w:ascii="Times New Roman" w:hAnsi="Times New Roman" w:cs="Times New Roman"/>
          <w:sz w:val="28"/>
          <w:szCs w:val="28"/>
        </w:rPr>
        <w:t xml:space="preserve"> на 5,11 млн рублей, или на 3,58 % (предусмотрено законом на 2022 год 142,79 млн рублей</w:t>
      </w:r>
      <w:r w:rsidR="00DF2458"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147,90 млн рублей).</w:t>
      </w:r>
    </w:p>
    <w:p w14:paraId="5662BD49"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В рамках данного мероприятия планируются бюджетные ассигнования на развитие информационно-технической и телекоммуникационной инфраструктуры образования в сумме 21,09 млн рублей (новая целевая статья 0250124760).</w:t>
      </w:r>
    </w:p>
    <w:p w14:paraId="2504814C" w14:textId="1F2FC566" w:rsidR="00827437" w:rsidRPr="00522104" w:rsidRDefault="00827437" w:rsidP="00827437">
      <w:pPr>
        <w:spacing w:after="0" w:line="240" w:lineRule="auto"/>
        <w:ind w:firstLine="709"/>
        <w:contextualSpacing/>
        <w:jc w:val="both"/>
        <w:outlineLvl w:val="4"/>
        <w:rPr>
          <w:rFonts w:ascii="Times New Roman" w:eastAsia="Times New Roman" w:hAnsi="Times New Roman" w:cs="Times New Roman"/>
          <w:sz w:val="28"/>
          <w:szCs w:val="28"/>
          <w:lang w:eastAsia="ru-RU"/>
        </w:rPr>
      </w:pPr>
      <w:r w:rsidRPr="00522104">
        <w:rPr>
          <w:rFonts w:ascii="Times New Roman" w:hAnsi="Times New Roman" w:cs="Times New Roman"/>
          <w:b/>
          <w:i/>
          <w:sz w:val="28"/>
          <w:szCs w:val="28"/>
        </w:rPr>
        <w:t xml:space="preserve">По подпрограмме </w:t>
      </w:r>
      <w:r w:rsidRPr="00522104">
        <w:rPr>
          <w:rFonts w:ascii="Times New Roman" w:eastAsia="Times New Roman" w:hAnsi="Times New Roman" w:cs="Times New Roman"/>
          <w:b/>
          <w:i/>
          <w:sz w:val="28"/>
          <w:szCs w:val="28"/>
          <w:lang w:eastAsia="ru-RU"/>
        </w:rPr>
        <w:t>"Реализация национальных проектов "Демография" и "Образование"</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законопроектом на 2022 год предусмотрена реализация двух НП с объемом финансирования в размере 1 882,99 млн рублей, что на 274,91 млн рублей, или на 17,09 %</w:t>
      </w:r>
      <w:r w:rsidR="00DF2458"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bCs/>
          <w:iCs/>
          <w:sz w:val="28"/>
          <w:szCs w:val="28"/>
          <w:lang w:eastAsia="ru-RU"/>
        </w:rPr>
        <w:t xml:space="preserve">превышает </w:t>
      </w:r>
      <w:r w:rsidRPr="00522104">
        <w:rPr>
          <w:rFonts w:ascii="Times New Roman" w:eastAsia="Times New Roman" w:hAnsi="Times New Roman" w:cs="Times New Roman"/>
          <w:sz w:val="28"/>
          <w:szCs w:val="28"/>
          <w:lang w:eastAsia="ru-RU"/>
        </w:rPr>
        <w:t>объем финансирования по данной подпрограмме, предусмотренный законом на 2022 год (1 608,08 млн рублей).</w:t>
      </w:r>
    </w:p>
    <w:p w14:paraId="38E10A0A" w14:textId="574A7037" w:rsidR="00827437" w:rsidRPr="00522104" w:rsidRDefault="00827437" w:rsidP="00827437">
      <w:pPr>
        <w:spacing w:after="0" w:line="240" w:lineRule="auto"/>
        <w:ind w:firstLine="709"/>
        <w:contextualSpacing/>
        <w:jc w:val="both"/>
        <w:outlineLvl w:val="4"/>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Анализ изменения бюджетных назначений, утвержденных Законом №</w:t>
      </w:r>
      <w:r w:rsidR="00DF2458"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969-КЗ на 2022 год и законопроектом на 2022 год на реализацию НП чрез ФП, встроенных в механизм ГП, приведен в таблице.</w:t>
      </w:r>
    </w:p>
    <w:tbl>
      <w:tblPr>
        <w:tblW w:w="9351" w:type="dxa"/>
        <w:jc w:val="center"/>
        <w:tblLayout w:type="fixed"/>
        <w:tblLook w:val="04A0" w:firstRow="1" w:lastRow="0" w:firstColumn="1" w:lastColumn="0" w:noHBand="0" w:noVBand="1"/>
      </w:tblPr>
      <w:tblGrid>
        <w:gridCol w:w="4531"/>
        <w:gridCol w:w="1701"/>
        <w:gridCol w:w="1275"/>
        <w:gridCol w:w="993"/>
        <w:gridCol w:w="851"/>
      </w:tblGrid>
      <w:tr w:rsidR="00827437" w:rsidRPr="005942F8" w14:paraId="12DCA8F6" w14:textId="77777777" w:rsidTr="00E40BEE">
        <w:trPr>
          <w:trHeight w:val="300"/>
          <w:tblHeader/>
          <w:jc w:val="center"/>
        </w:trPr>
        <w:tc>
          <w:tcPr>
            <w:tcW w:w="4531" w:type="dxa"/>
            <w:tcBorders>
              <w:bottom w:val="single" w:sz="4" w:space="0" w:color="auto"/>
            </w:tcBorders>
            <w:shd w:val="clear" w:color="auto" w:fill="auto"/>
            <w:vAlign w:val="center"/>
          </w:tcPr>
          <w:p w14:paraId="2C4AFBC6" w14:textId="77777777" w:rsidR="00827437" w:rsidRPr="00522104" w:rsidRDefault="00827437" w:rsidP="00E40BEE">
            <w:pPr>
              <w:spacing w:after="0" w:line="240" w:lineRule="auto"/>
              <w:ind w:left="1055" w:right="-108"/>
              <w:jc w:val="center"/>
              <w:rPr>
                <w:rFonts w:ascii="Times New Roman" w:eastAsia="Times New Roman" w:hAnsi="Times New Roman" w:cs="Times New Roman"/>
                <w:sz w:val="20"/>
                <w:szCs w:val="20"/>
                <w:lang w:eastAsia="ru-RU"/>
              </w:rPr>
            </w:pPr>
          </w:p>
        </w:tc>
        <w:tc>
          <w:tcPr>
            <w:tcW w:w="1701" w:type="dxa"/>
            <w:tcBorders>
              <w:bottom w:val="single" w:sz="4" w:space="0" w:color="auto"/>
            </w:tcBorders>
            <w:shd w:val="clear" w:color="auto" w:fill="auto"/>
            <w:vAlign w:val="center"/>
          </w:tcPr>
          <w:p w14:paraId="53A9A21C" w14:textId="77777777" w:rsidR="00827437" w:rsidRPr="00522104" w:rsidRDefault="00827437" w:rsidP="00E40BEE">
            <w:pPr>
              <w:spacing w:after="0" w:line="240" w:lineRule="auto"/>
              <w:ind w:left="-108" w:right="-108"/>
              <w:jc w:val="center"/>
              <w:rPr>
                <w:rFonts w:ascii="Times New Roman" w:eastAsia="Times New Roman" w:hAnsi="Times New Roman" w:cs="Times New Roman"/>
                <w:sz w:val="20"/>
                <w:szCs w:val="20"/>
                <w:lang w:eastAsia="ru-RU"/>
              </w:rPr>
            </w:pPr>
          </w:p>
        </w:tc>
        <w:tc>
          <w:tcPr>
            <w:tcW w:w="1275" w:type="dxa"/>
            <w:tcBorders>
              <w:bottom w:val="single" w:sz="4" w:space="0" w:color="auto"/>
            </w:tcBorders>
            <w:shd w:val="clear" w:color="auto" w:fill="auto"/>
            <w:vAlign w:val="center"/>
          </w:tcPr>
          <w:p w14:paraId="2DBCFB71" w14:textId="77777777" w:rsidR="00827437" w:rsidRPr="00522104" w:rsidRDefault="00827437" w:rsidP="00E40BEE">
            <w:pPr>
              <w:spacing w:after="0" w:line="240" w:lineRule="auto"/>
              <w:ind w:left="-108" w:right="-135"/>
              <w:jc w:val="center"/>
              <w:rPr>
                <w:rFonts w:ascii="Times New Roman" w:eastAsia="Times New Roman" w:hAnsi="Times New Roman" w:cs="Times New Roman"/>
                <w:sz w:val="20"/>
                <w:szCs w:val="20"/>
                <w:lang w:eastAsia="ru-RU"/>
              </w:rPr>
            </w:pPr>
          </w:p>
        </w:tc>
        <w:tc>
          <w:tcPr>
            <w:tcW w:w="1844" w:type="dxa"/>
            <w:gridSpan w:val="2"/>
            <w:tcBorders>
              <w:bottom w:val="single" w:sz="4" w:space="0" w:color="auto"/>
            </w:tcBorders>
            <w:shd w:val="clear" w:color="auto" w:fill="auto"/>
            <w:vAlign w:val="center"/>
          </w:tcPr>
          <w:p w14:paraId="4606EDC6"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(млн рублей)</w:t>
            </w:r>
          </w:p>
        </w:tc>
      </w:tr>
      <w:tr w:rsidR="00827437" w:rsidRPr="00522104" w14:paraId="4ADBF31C" w14:textId="77777777" w:rsidTr="00E40BEE">
        <w:trPr>
          <w:trHeight w:val="300"/>
          <w:tblHeader/>
          <w:jc w:val="center"/>
        </w:trPr>
        <w:tc>
          <w:tcPr>
            <w:tcW w:w="45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4AABA7" w14:textId="77777777" w:rsidR="00827437" w:rsidRPr="00522104" w:rsidRDefault="00827437" w:rsidP="00E40BEE">
            <w:pPr>
              <w:spacing w:after="0" w:line="240" w:lineRule="auto"/>
              <w:ind w:left="1055"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Наименование</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A7E7AD" w14:textId="77777777" w:rsidR="00827437" w:rsidRPr="00522104" w:rsidRDefault="00827437" w:rsidP="00E40BEE">
            <w:pPr>
              <w:spacing w:after="0" w:line="240" w:lineRule="auto"/>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 xml:space="preserve">Утверждено </w:t>
            </w:r>
          </w:p>
          <w:p w14:paraId="696FD906" w14:textId="77777777" w:rsidR="00827437" w:rsidRPr="00522104" w:rsidRDefault="00827437" w:rsidP="00E40BEE">
            <w:pPr>
              <w:spacing w:after="0" w:line="240" w:lineRule="auto"/>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Законом № 969-КЗ на 2022 год</w:t>
            </w:r>
          </w:p>
          <w:p w14:paraId="02E59AB8" w14:textId="77777777" w:rsidR="00827437" w:rsidRPr="00522104" w:rsidRDefault="00827437" w:rsidP="00E40BEE">
            <w:pPr>
              <w:spacing w:after="0" w:line="240" w:lineRule="auto"/>
              <w:ind w:left="-108" w:right="-108"/>
              <w:jc w:val="center"/>
              <w:rPr>
                <w:rFonts w:ascii="Times New Roman" w:eastAsia="Times New Roman" w:hAnsi="Times New Roman" w:cs="Times New Roman"/>
                <w:sz w:val="20"/>
                <w:szCs w:val="20"/>
                <w:lang w:eastAsia="ru-RU"/>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6D28A9" w14:textId="77777777" w:rsidR="00827437" w:rsidRPr="00522104" w:rsidRDefault="00827437" w:rsidP="00E40BEE">
            <w:pPr>
              <w:spacing w:after="0" w:line="240" w:lineRule="auto"/>
              <w:ind w:left="-108" w:right="-135"/>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Законопроект на 2022 год</w:t>
            </w:r>
          </w:p>
        </w:tc>
        <w:tc>
          <w:tcPr>
            <w:tcW w:w="1844" w:type="dxa"/>
            <w:gridSpan w:val="2"/>
            <w:tcBorders>
              <w:top w:val="single" w:sz="4" w:space="0" w:color="auto"/>
              <w:left w:val="nil"/>
              <w:bottom w:val="single" w:sz="4" w:space="0" w:color="auto"/>
              <w:right w:val="single" w:sz="4" w:space="0" w:color="auto"/>
            </w:tcBorders>
            <w:shd w:val="clear" w:color="auto" w:fill="auto"/>
            <w:vAlign w:val="center"/>
            <w:hideMark/>
          </w:tcPr>
          <w:p w14:paraId="1FBDAE7F"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 xml:space="preserve">Отклонения </w:t>
            </w:r>
          </w:p>
        </w:tc>
      </w:tr>
      <w:tr w:rsidR="00827437" w:rsidRPr="00522104" w14:paraId="5C66733E" w14:textId="77777777" w:rsidTr="00E40BEE">
        <w:trPr>
          <w:trHeight w:val="300"/>
          <w:tblHeader/>
          <w:jc w:val="center"/>
        </w:trPr>
        <w:tc>
          <w:tcPr>
            <w:tcW w:w="4531" w:type="dxa"/>
            <w:vMerge/>
            <w:tcBorders>
              <w:top w:val="single" w:sz="4" w:space="0" w:color="auto"/>
              <w:left w:val="single" w:sz="4" w:space="0" w:color="auto"/>
              <w:bottom w:val="single" w:sz="4" w:space="0" w:color="auto"/>
              <w:right w:val="single" w:sz="4" w:space="0" w:color="auto"/>
            </w:tcBorders>
            <w:vAlign w:val="center"/>
            <w:hideMark/>
          </w:tcPr>
          <w:p w14:paraId="730A631E" w14:textId="77777777" w:rsidR="00827437" w:rsidRPr="00522104" w:rsidRDefault="00827437" w:rsidP="00E40BEE">
            <w:pPr>
              <w:spacing w:after="0" w:line="240" w:lineRule="auto"/>
              <w:ind w:left="-108" w:right="-108"/>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0896FF4" w14:textId="77777777" w:rsidR="00827437" w:rsidRPr="00522104" w:rsidRDefault="00827437" w:rsidP="00E40BEE">
            <w:pPr>
              <w:spacing w:after="0" w:line="240" w:lineRule="auto"/>
              <w:ind w:left="-108" w:right="-108"/>
              <w:rPr>
                <w:rFonts w:ascii="Times New Roman" w:eastAsia="Times New Roman" w:hAnsi="Times New Roman" w:cs="Times New Roman"/>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398DFCC" w14:textId="77777777" w:rsidR="00827437" w:rsidRPr="00522104" w:rsidRDefault="00827437" w:rsidP="00E40BEE">
            <w:pPr>
              <w:spacing w:after="0" w:line="240" w:lineRule="auto"/>
              <w:ind w:left="-108" w:right="-135"/>
              <w:rPr>
                <w:rFonts w:ascii="Times New Roman" w:eastAsia="Times New Roman" w:hAnsi="Times New Roman" w:cs="Times New Roman"/>
                <w:sz w:val="20"/>
                <w:szCs w:val="20"/>
                <w:lang w:eastAsia="ru-RU"/>
              </w:rPr>
            </w:pPr>
          </w:p>
        </w:tc>
        <w:tc>
          <w:tcPr>
            <w:tcW w:w="1844" w:type="dxa"/>
            <w:gridSpan w:val="2"/>
            <w:tcBorders>
              <w:top w:val="single" w:sz="4" w:space="0" w:color="auto"/>
              <w:left w:val="nil"/>
              <w:bottom w:val="single" w:sz="4" w:space="0" w:color="auto"/>
              <w:right w:val="single" w:sz="4" w:space="0" w:color="auto"/>
            </w:tcBorders>
            <w:shd w:val="clear" w:color="auto" w:fill="auto"/>
            <w:vAlign w:val="center"/>
            <w:hideMark/>
          </w:tcPr>
          <w:p w14:paraId="7ACE6E32" w14:textId="77777777" w:rsidR="00827437" w:rsidRPr="00522104" w:rsidRDefault="00827437" w:rsidP="00E40BEE">
            <w:pPr>
              <w:spacing w:after="0" w:line="240" w:lineRule="auto"/>
              <w:contextualSpacing/>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 xml:space="preserve">(+ увеличение, </w:t>
            </w:r>
          </w:p>
        </w:tc>
      </w:tr>
      <w:tr w:rsidR="00827437" w:rsidRPr="00522104" w14:paraId="5D90CC6E" w14:textId="77777777" w:rsidTr="00E40BEE">
        <w:trPr>
          <w:trHeight w:val="300"/>
          <w:tblHeader/>
          <w:jc w:val="center"/>
        </w:trPr>
        <w:tc>
          <w:tcPr>
            <w:tcW w:w="4531" w:type="dxa"/>
            <w:vMerge/>
            <w:tcBorders>
              <w:top w:val="single" w:sz="4" w:space="0" w:color="auto"/>
              <w:left w:val="single" w:sz="4" w:space="0" w:color="auto"/>
              <w:bottom w:val="single" w:sz="4" w:space="0" w:color="auto"/>
              <w:right w:val="single" w:sz="4" w:space="0" w:color="auto"/>
            </w:tcBorders>
            <w:vAlign w:val="center"/>
            <w:hideMark/>
          </w:tcPr>
          <w:p w14:paraId="615FEDC2" w14:textId="77777777" w:rsidR="00827437" w:rsidRPr="00522104" w:rsidRDefault="00827437" w:rsidP="00E40BEE">
            <w:pPr>
              <w:spacing w:after="0" w:line="240" w:lineRule="auto"/>
              <w:ind w:left="-108" w:right="-108"/>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8311C52" w14:textId="77777777" w:rsidR="00827437" w:rsidRPr="00522104" w:rsidRDefault="00827437" w:rsidP="00E40BEE">
            <w:pPr>
              <w:spacing w:after="0" w:line="240" w:lineRule="auto"/>
              <w:ind w:left="-108" w:right="-108"/>
              <w:rPr>
                <w:rFonts w:ascii="Times New Roman" w:eastAsia="Times New Roman" w:hAnsi="Times New Roman" w:cs="Times New Roman"/>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F183E65" w14:textId="77777777" w:rsidR="00827437" w:rsidRPr="00522104" w:rsidRDefault="00827437" w:rsidP="00E40BEE">
            <w:pPr>
              <w:spacing w:after="0" w:line="240" w:lineRule="auto"/>
              <w:ind w:left="-108" w:right="-135"/>
              <w:rPr>
                <w:rFonts w:ascii="Times New Roman" w:eastAsia="Times New Roman" w:hAnsi="Times New Roman" w:cs="Times New Roman"/>
                <w:sz w:val="20"/>
                <w:szCs w:val="20"/>
                <w:lang w:eastAsia="ru-RU"/>
              </w:rPr>
            </w:pPr>
          </w:p>
        </w:tc>
        <w:tc>
          <w:tcPr>
            <w:tcW w:w="1844" w:type="dxa"/>
            <w:gridSpan w:val="2"/>
            <w:tcBorders>
              <w:top w:val="single" w:sz="4" w:space="0" w:color="auto"/>
              <w:left w:val="nil"/>
              <w:bottom w:val="single" w:sz="4" w:space="0" w:color="auto"/>
              <w:right w:val="single" w:sz="4" w:space="0" w:color="auto"/>
            </w:tcBorders>
            <w:shd w:val="clear" w:color="auto" w:fill="auto"/>
            <w:vAlign w:val="center"/>
            <w:hideMark/>
          </w:tcPr>
          <w:p w14:paraId="701E82E7" w14:textId="77777777" w:rsidR="00827437" w:rsidRPr="00522104" w:rsidRDefault="00827437" w:rsidP="00E40BEE">
            <w:pPr>
              <w:spacing w:after="0" w:line="240" w:lineRule="auto"/>
              <w:contextualSpacing/>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 xml:space="preserve"> – снижение)</w:t>
            </w:r>
          </w:p>
        </w:tc>
      </w:tr>
      <w:tr w:rsidR="00827437" w:rsidRPr="00522104" w14:paraId="426D7E16" w14:textId="77777777" w:rsidTr="00E40BEE">
        <w:trPr>
          <w:trHeight w:val="60"/>
          <w:tblHeader/>
          <w:jc w:val="center"/>
        </w:trPr>
        <w:tc>
          <w:tcPr>
            <w:tcW w:w="4531" w:type="dxa"/>
            <w:vMerge/>
            <w:tcBorders>
              <w:top w:val="single" w:sz="4" w:space="0" w:color="auto"/>
              <w:left w:val="single" w:sz="4" w:space="0" w:color="auto"/>
              <w:bottom w:val="single" w:sz="4" w:space="0" w:color="auto"/>
              <w:right w:val="single" w:sz="4" w:space="0" w:color="auto"/>
            </w:tcBorders>
            <w:vAlign w:val="center"/>
            <w:hideMark/>
          </w:tcPr>
          <w:p w14:paraId="16FF8330" w14:textId="77777777" w:rsidR="00827437" w:rsidRPr="00522104" w:rsidRDefault="00827437" w:rsidP="00E40BEE">
            <w:pPr>
              <w:spacing w:after="0" w:line="240" w:lineRule="auto"/>
              <w:ind w:left="-108" w:right="-108"/>
              <w:rPr>
                <w:rFonts w:ascii="Times New Roman" w:eastAsia="Times New Roman" w:hAnsi="Times New Roman" w:cs="Times New Roman"/>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3587924" w14:textId="77777777" w:rsidR="00827437" w:rsidRPr="00522104" w:rsidRDefault="00827437" w:rsidP="00E40BEE">
            <w:pPr>
              <w:spacing w:after="0" w:line="240" w:lineRule="auto"/>
              <w:ind w:left="-108" w:right="-108"/>
              <w:rPr>
                <w:rFonts w:ascii="Times New Roman" w:eastAsia="Times New Roman" w:hAnsi="Times New Roman" w:cs="Times New Roman"/>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42C3677" w14:textId="77777777" w:rsidR="00827437" w:rsidRPr="00522104" w:rsidRDefault="00827437" w:rsidP="00E40BEE">
            <w:pPr>
              <w:spacing w:after="0" w:line="240" w:lineRule="auto"/>
              <w:ind w:left="-108" w:right="-135"/>
              <w:rPr>
                <w:rFonts w:ascii="Times New Roman" w:eastAsia="Times New Roman" w:hAnsi="Times New Roman" w:cs="Times New Roman"/>
                <w:sz w:val="20"/>
                <w:szCs w:val="20"/>
                <w:lang w:eastAsia="ru-RU"/>
              </w:rPr>
            </w:pP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F324BA5" w14:textId="6409ADE7" w:rsidR="00827437" w:rsidRPr="00522104" w:rsidRDefault="001363AF" w:rsidP="00E40BEE">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сумма</w:t>
            </w:r>
            <w:r w:rsidR="00827437" w:rsidRPr="00522104">
              <w:rPr>
                <w:rFonts w:ascii="Times New Roman" w:eastAsia="Times New Roman" w:hAnsi="Times New Roman" w:cs="Times New Roman"/>
                <w:sz w:val="20"/>
                <w:szCs w:val="20"/>
                <w:lang w:eastAsia="ru-RU"/>
              </w:rPr>
              <w:t xml:space="preserve"> </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78CDFAC"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w:t>
            </w:r>
          </w:p>
        </w:tc>
      </w:tr>
      <w:tr w:rsidR="00827437" w:rsidRPr="00522104" w14:paraId="48115EA9" w14:textId="77777777" w:rsidTr="00E40BEE">
        <w:trPr>
          <w:trHeight w:val="359"/>
          <w:jc w:val="center"/>
        </w:trPr>
        <w:tc>
          <w:tcPr>
            <w:tcW w:w="4531" w:type="dxa"/>
            <w:tcBorders>
              <w:top w:val="single" w:sz="4" w:space="0" w:color="auto"/>
              <w:left w:val="single" w:sz="4" w:space="0" w:color="auto"/>
              <w:bottom w:val="single" w:sz="4" w:space="0" w:color="auto"/>
              <w:right w:val="single" w:sz="4" w:space="0" w:color="auto"/>
            </w:tcBorders>
            <w:shd w:val="clear" w:color="000000" w:fill="FFFFFF"/>
            <w:hideMark/>
          </w:tcPr>
          <w:p w14:paraId="7D8AD919" w14:textId="5DBFD827" w:rsidR="00827437" w:rsidRPr="00522104" w:rsidRDefault="00827437" w:rsidP="00DF2458">
            <w:pPr>
              <w:spacing w:after="0" w:line="240" w:lineRule="auto"/>
              <w:ind w:left="62" w:right="-108"/>
              <w:jc w:val="both"/>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Государственная программа "Развитие образования Приморского края"</w:t>
            </w:r>
          </w:p>
        </w:tc>
        <w:tc>
          <w:tcPr>
            <w:tcW w:w="1701" w:type="dxa"/>
            <w:tcBorders>
              <w:top w:val="single" w:sz="4" w:space="0" w:color="auto"/>
              <w:left w:val="nil"/>
              <w:bottom w:val="single" w:sz="4" w:space="0" w:color="auto"/>
              <w:right w:val="single" w:sz="4" w:space="0" w:color="auto"/>
            </w:tcBorders>
            <w:shd w:val="clear" w:color="auto" w:fill="auto"/>
            <w:noWrap/>
          </w:tcPr>
          <w:p w14:paraId="52B77C62" w14:textId="77777777" w:rsidR="00827437" w:rsidRPr="00522104" w:rsidRDefault="00827437" w:rsidP="00E40BEE">
            <w:pPr>
              <w:spacing w:after="0" w:line="240" w:lineRule="auto"/>
              <w:ind w:left="-108" w:right="-108"/>
              <w:jc w:val="center"/>
              <w:rPr>
                <w:rFonts w:ascii="Times New Roman" w:eastAsia="Times New Roman" w:hAnsi="Times New Roman" w:cs="Times New Roman"/>
                <w:b/>
                <w:sz w:val="20"/>
                <w:szCs w:val="20"/>
                <w:lang w:eastAsia="ru-RU"/>
              </w:rPr>
            </w:pPr>
            <w:r w:rsidRPr="00522104">
              <w:rPr>
                <w:rFonts w:ascii="Times New Roman" w:eastAsia="Times New Roman" w:hAnsi="Times New Roman" w:cs="Times New Roman"/>
                <w:b/>
                <w:sz w:val="20"/>
                <w:szCs w:val="20"/>
                <w:lang w:eastAsia="ru-RU"/>
              </w:rPr>
              <w:t>28 682,61</w:t>
            </w:r>
          </w:p>
        </w:tc>
        <w:tc>
          <w:tcPr>
            <w:tcW w:w="1275" w:type="dxa"/>
            <w:tcBorders>
              <w:top w:val="single" w:sz="4" w:space="0" w:color="auto"/>
              <w:left w:val="nil"/>
              <w:bottom w:val="single" w:sz="4" w:space="0" w:color="auto"/>
              <w:right w:val="single" w:sz="4" w:space="0" w:color="auto"/>
            </w:tcBorders>
            <w:shd w:val="clear" w:color="auto" w:fill="auto"/>
            <w:noWrap/>
          </w:tcPr>
          <w:p w14:paraId="642B8F72" w14:textId="77777777" w:rsidR="00827437" w:rsidRPr="00522104" w:rsidRDefault="00827437" w:rsidP="00E40BEE">
            <w:pPr>
              <w:spacing w:after="0" w:line="240" w:lineRule="auto"/>
              <w:ind w:left="-108" w:right="-135"/>
              <w:jc w:val="center"/>
              <w:rPr>
                <w:rFonts w:ascii="Times New Roman" w:eastAsia="Times New Roman" w:hAnsi="Times New Roman" w:cs="Times New Roman"/>
                <w:b/>
                <w:sz w:val="20"/>
                <w:szCs w:val="20"/>
                <w:lang w:eastAsia="ru-RU"/>
              </w:rPr>
            </w:pPr>
            <w:r w:rsidRPr="00522104">
              <w:rPr>
                <w:rFonts w:ascii="Times New Roman" w:eastAsia="Times New Roman" w:hAnsi="Times New Roman" w:cs="Times New Roman"/>
                <w:b/>
                <w:sz w:val="20"/>
                <w:szCs w:val="20"/>
                <w:lang w:eastAsia="ru-RU"/>
              </w:rPr>
              <w:t>31 829,56</w:t>
            </w:r>
          </w:p>
        </w:tc>
        <w:tc>
          <w:tcPr>
            <w:tcW w:w="993" w:type="dxa"/>
            <w:tcBorders>
              <w:top w:val="single" w:sz="4" w:space="0" w:color="auto"/>
              <w:left w:val="nil"/>
              <w:bottom w:val="single" w:sz="4" w:space="0" w:color="auto"/>
              <w:right w:val="single" w:sz="4" w:space="0" w:color="auto"/>
            </w:tcBorders>
            <w:shd w:val="clear" w:color="auto" w:fill="auto"/>
            <w:noWrap/>
          </w:tcPr>
          <w:p w14:paraId="762AEC11" w14:textId="77777777" w:rsidR="00827437" w:rsidRPr="00522104" w:rsidRDefault="00827437" w:rsidP="00E40BEE">
            <w:pPr>
              <w:spacing w:after="0" w:line="240" w:lineRule="auto"/>
              <w:ind w:left="-107" w:right="-108"/>
              <w:jc w:val="center"/>
              <w:rPr>
                <w:rFonts w:ascii="Times New Roman" w:eastAsia="Times New Roman" w:hAnsi="Times New Roman" w:cs="Times New Roman"/>
                <w:b/>
                <w:sz w:val="20"/>
                <w:szCs w:val="20"/>
                <w:lang w:eastAsia="ru-RU"/>
              </w:rPr>
            </w:pPr>
            <w:r w:rsidRPr="00522104">
              <w:rPr>
                <w:rFonts w:ascii="Times New Roman" w:eastAsia="Times New Roman" w:hAnsi="Times New Roman" w:cs="Times New Roman"/>
                <w:b/>
                <w:sz w:val="20"/>
                <w:szCs w:val="20"/>
                <w:lang w:eastAsia="ru-RU"/>
              </w:rPr>
              <w:t>+3 146,95</w:t>
            </w:r>
          </w:p>
        </w:tc>
        <w:tc>
          <w:tcPr>
            <w:tcW w:w="851" w:type="dxa"/>
            <w:tcBorders>
              <w:top w:val="single" w:sz="4" w:space="0" w:color="auto"/>
              <w:left w:val="nil"/>
              <w:bottom w:val="single" w:sz="4" w:space="0" w:color="auto"/>
              <w:right w:val="single" w:sz="4" w:space="0" w:color="auto"/>
            </w:tcBorders>
            <w:shd w:val="clear" w:color="auto" w:fill="auto"/>
          </w:tcPr>
          <w:p w14:paraId="67AF3857" w14:textId="77777777" w:rsidR="00827437" w:rsidRPr="00522104" w:rsidRDefault="00827437" w:rsidP="00E40BEE">
            <w:pPr>
              <w:spacing w:after="0" w:line="240" w:lineRule="auto"/>
              <w:ind w:left="-108" w:right="-91"/>
              <w:jc w:val="center"/>
              <w:rPr>
                <w:rFonts w:ascii="Times New Roman" w:eastAsia="Times New Roman" w:hAnsi="Times New Roman" w:cs="Times New Roman"/>
                <w:b/>
                <w:sz w:val="20"/>
                <w:szCs w:val="20"/>
                <w:lang w:eastAsia="ru-RU"/>
              </w:rPr>
            </w:pPr>
            <w:r w:rsidRPr="00522104">
              <w:rPr>
                <w:rFonts w:ascii="Times New Roman" w:eastAsia="Times New Roman" w:hAnsi="Times New Roman" w:cs="Times New Roman"/>
                <w:b/>
                <w:sz w:val="20"/>
                <w:szCs w:val="20"/>
                <w:lang w:eastAsia="ru-RU"/>
              </w:rPr>
              <w:t>+10,97</w:t>
            </w:r>
          </w:p>
        </w:tc>
      </w:tr>
      <w:tr w:rsidR="00827437" w:rsidRPr="00522104" w14:paraId="5E79B59E"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5D69594D" w14:textId="77777777" w:rsidR="00827437" w:rsidRPr="005942F8" w:rsidRDefault="00827437" w:rsidP="00E40BEE">
            <w:pPr>
              <w:spacing w:after="0" w:line="240" w:lineRule="auto"/>
              <w:ind w:left="62" w:right="-108"/>
              <w:jc w:val="both"/>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 xml:space="preserve">НП "Демография", </w:t>
            </w:r>
          </w:p>
          <w:p w14:paraId="2D93CBFF" w14:textId="4FBF1676" w:rsidR="00827437" w:rsidRPr="005942F8" w:rsidRDefault="00827437" w:rsidP="00DF2458">
            <w:pPr>
              <w:spacing w:after="0" w:line="240" w:lineRule="auto"/>
              <w:ind w:left="62" w:right="-108"/>
              <w:jc w:val="both"/>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в том числе ФП</w:t>
            </w:r>
            <w:r w:rsidR="001363AF" w:rsidRPr="005942F8">
              <w:rPr>
                <w:rFonts w:ascii="Times New Roman" w:eastAsia="Times New Roman" w:hAnsi="Times New Roman" w:cs="Times New Roman"/>
                <w:b/>
                <w:sz w:val="20"/>
                <w:szCs w:val="20"/>
                <w:lang w:eastAsia="ru-RU"/>
              </w:rPr>
              <w:t>:</w:t>
            </w:r>
          </w:p>
        </w:tc>
        <w:tc>
          <w:tcPr>
            <w:tcW w:w="1701" w:type="dxa"/>
            <w:tcBorders>
              <w:top w:val="nil"/>
              <w:left w:val="nil"/>
              <w:bottom w:val="single" w:sz="4" w:space="0" w:color="auto"/>
              <w:right w:val="single" w:sz="4" w:space="0" w:color="auto"/>
            </w:tcBorders>
            <w:shd w:val="clear" w:color="auto" w:fill="auto"/>
            <w:noWrap/>
          </w:tcPr>
          <w:p w14:paraId="1A05B421" w14:textId="77777777" w:rsidR="00827437" w:rsidRPr="005942F8" w:rsidRDefault="00827437" w:rsidP="00E40BEE">
            <w:pPr>
              <w:spacing w:after="0" w:line="240" w:lineRule="auto"/>
              <w:ind w:left="-108" w:right="-135"/>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295,90</w:t>
            </w:r>
          </w:p>
        </w:tc>
        <w:tc>
          <w:tcPr>
            <w:tcW w:w="1275" w:type="dxa"/>
            <w:tcBorders>
              <w:top w:val="nil"/>
              <w:left w:val="nil"/>
              <w:bottom w:val="single" w:sz="4" w:space="0" w:color="auto"/>
              <w:right w:val="single" w:sz="4" w:space="0" w:color="auto"/>
            </w:tcBorders>
            <w:shd w:val="clear" w:color="auto" w:fill="auto"/>
            <w:noWrap/>
          </w:tcPr>
          <w:p w14:paraId="67DC1C32" w14:textId="77777777" w:rsidR="00827437" w:rsidRPr="005942F8" w:rsidRDefault="00827437" w:rsidP="00E40BEE">
            <w:pPr>
              <w:spacing w:after="0" w:line="240" w:lineRule="auto"/>
              <w:ind w:left="-108" w:right="-135"/>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223,93</w:t>
            </w:r>
          </w:p>
        </w:tc>
        <w:tc>
          <w:tcPr>
            <w:tcW w:w="993" w:type="dxa"/>
            <w:tcBorders>
              <w:top w:val="nil"/>
              <w:left w:val="nil"/>
              <w:bottom w:val="single" w:sz="4" w:space="0" w:color="auto"/>
              <w:right w:val="single" w:sz="4" w:space="0" w:color="auto"/>
            </w:tcBorders>
            <w:shd w:val="clear" w:color="auto" w:fill="auto"/>
            <w:noWrap/>
          </w:tcPr>
          <w:p w14:paraId="02328B93" w14:textId="77777777" w:rsidR="00827437" w:rsidRPr="005942F8" w:rsidRDefault="00827437" w:rsidP="00E40BEE">
            <w:pPr>
              <w:spacing w:after="0" w:line="240" w:lineRule="auto"/>
              <w:ind w:left="-107" w:right="-108"/>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-71,97</w:t>
            </w:r>
          </w:p>
        </w:tc>
        <w:tc>
          <w:tcPr>
            <w:tcW w:w="851" w:type="dxa"/>
            <w:tcBorders>
              <w:top w:val="nil"/>
              <w:left w:val="nil"/>
              <w:bottom w:val="single" w:sz="4" w:space="0" w:color="auto"/>
              <w:right w:val="single" w:sz="4" w:space="0" w:color="auto"/>
            </w:tcBorders>
            <w:shd w:val="clear" w:color="auto" w:fill="auto"/>
          </w:tcPr>
          <w:p w14:paraId="68213EF9" w14:textId="77777777" w:rsidR="00827437" w:rsidRPr="005942F8" w:rsidRDefault="00827437" w:rsidP="00E40BEE">
            <w:pPr>
              <w:spacing w:after="0" w:line="240" w:lineRule="auto"/>
              <w:ind w:left="-108" w:right="-91"/>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-24,32</w:t>
            </w:r>
          </w:p>
        </w:tc>
      </w:tr>
      <w:tr w:rsidR="00827437" w:rsidRPr="00522104" w14:paraId="53654101"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7E395319" w14:textId="1F92A6EC" w:rsidR="00827437" w:rsidRPr="005942F8" w:rsidRDefault="00827437" w:rsidP="00DF2458">
            <w:pPr>
              <w:spacing w:after="0" w:line="240" w:lineRule="auto"/>
              <w:ind w:left="62" w:right="-108"/>
              <w:jc w:val="both"/>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"Финансовая поддержка семей при рождении детей"</w:t>
            </w:r>
          </w:p>
        </w:tc>
        <w:tc>
          <w:tcPr>
            <w:tcW w:w="1701" w:type="dxa"/>
            <w:tcBorders>
              <w:top w:val="nil"/>
              <w:left w:val="nil"/>
              <w:bottom w:val="single" w:sz="4" w:space="0" w:color="auto"/>
              <w:right w:val="single" w:sz="4" w:space="0" w:color="auto"/>
            </w:tcBorders>
            <w:shd w:val="clear" w:color="auto" w:fill="auto"/>
            <w:noWrap/>
          </w:tcPr>
          <w:p w14:paraId="7835EB14"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12,0</w:t>
            </w:r>
          </w:p>
        </w:tc>
        <w:tc>
          <w:tcPr>
            <w:tcW w:w="1275" w:type="dxa"/>
            <w:tcBorders>
              <w:top w:val="nil"/>
              <w:left w:val="nil"/>
              <w:bottom w:val="single" w:sz="4" w:space="0" w:color="auto"/>
              <w:right w:val="single" w:sz="4" w:space="0" w:color="auto"/>
            </w:tcBorders>
            <w:shd w:val="clear" w:color="auto" w:fill="auto"/>
            <w:noWrap/>
          </w:tcPr>
          <w:p w14:paraId="478847FD"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12,0</w:t>
            </w:r>
          </w:p>
        </w:tc>
        <w:tc>
          <w:tcPr>
            <w:tcW w:w="993" w:type="dxa"/>
            <w:tcBorders>
              <w:top w:val="nil"/>
              <w:left w:val="nil"/>
              <w:bottom w:val="single" w:sz="4" w:space="0" w:color="auto"/>
              <w:right w:val="single" w:sz="4" w:space="0" w:color="auto"/>
            </w:tcBorders>
            <w:shd w:val="clear" w:color="auto" w:fill="auto"/>
            <w:noWrap/>
          </w:tcPr>
          <w:p w14:paraId="523E9A23" w14:textId="77777777" w:rsidR="00827437" w:rsidRPr="005942F8" w:rsidRDefault="00827437" w:rsidP="00E40BEE">
            <w:pPr>
              <w:spacing w:after="0" w:line="240" w:lineRule="auto"/>
              <w:ind w:left="-107" w:right="-108"/>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0</w:t>
            </w:r>
          </w:p>
        </w:tc>
        <w:tc>
          <w:tcPr>
            <w:tcW w:w="851" w:type="dxa"/>
            <w:tcBorders>
              <w:top w:val="nil"/>
              <w:left w:val="nil"/>
              <w:bottom w:val="single" w:sz="4" w:space="0" w:color="auto"/>
              <w:right w:val="single" w:sz="4" w:space="0" w:color="auto"/>
            </w:tcBorders>
            <w:shd w:val="clear" w:color="auto" w:fill="auto"/>
          </w:tcPr>
          <w:p w14:paraId="46AC19C4" w14:textId="77777777" w:rsidR="00827437" w:rsidRPr="005942F8" w:rsidRDefault="00827437" w:rsidP="00E40BEE">
            <w:pPr>
              <w:spacing w:after="0" w:line="240" w:lineRule="auto"/>
              <w:ind w:left="-108" w:right="-91"/>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0</w:t>
            </w:r>
          </w:p>
        </w:tc>
      </w:tr>
      <w:tr w:rsidR="00827437" w:rsidRPr="00522104" w14:paraId="4B094CA6"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6E7BA42B" w14:textId="2FAEA0DF" w:rsidR="00827437" w:rsidRPr="005942F8" w:rsidRDefault="00827437" w:rsidP="00DF2458">
            <w:pPr>
              <w:spacing w:after="0" w:line="240" w:lineRule="auto"/>
              <w:ind w:left="62" w:right="-108"/>
              <w:jc w:val="both"/>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"Содействие занятости"</w:t>
            </w:r>
          </w:p>
        </w:tc>
        <w:tc>
          <w:tcPr>
            <w:tcW w:w="1701" w:type="dxa"/>
            <w:tcBorders>
              <w:top w:val="nil"/>
              <w:left w:val="nil"/>
              <w:bottom w:val="single" w:sz="4" w:space="0" w:color="auto"/>
              <w:right w:val="single" w:sz="4" w:space="0" w:color="auto"/>
            </w:tcBorders>
            <w:shd w:val="clear" w:color="auto" w:fill="auto"/>
            <w:noWrap/>
          </w:tcPr>
          <w:p w14:paraId="1855F98A"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283,90</w:t>
            </w:r>
          </w:p>
        </w:tc>
        <w:tc>
          <w:tcPr>
            <w:tcW w:w="1275" w:type="dxa"/>
            <w:tcBorders>
              <w:top w:val="nil"/>
              <w:left w:val="nil"/>
              <w:bottom w:val="single" w:sz="4" w:space="0" w:color="auto"/>
              <w:right w:val="single" w:sz="4" w:space="0" w:color="auto"/>
            </w:tcBorders>
            <w:shd w:val="clear" w:color="auto" w:fill="auto"/>
            <w:noWrap/>
          </w:tcPr>
          <w:p w14:paraId="3552D69C"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211,93</w:t>
            </w:r>
          </w:p>
        </w:tc>
        <w:tc>
          <w:tcPr>
            <w:tcW w:w="993" w:type="dxa"/>
            <w:tcBorders>
              <w:top w:val="nil"/>
              <w:left w:val="nil"/>
              <w:bottom w:val="single" w:sz="4" w:space="0" w:color="auto"/>
              <w:right w:val="single" w:sz="4" w:space="0" w:color="auto"/>
            </w:tcBorders>
            <w:shd w:val="clear" w:color="auto" w:fill="auto"/>
            <w:noWrap/>
          </w:tcPr>
          <w:p w14:paraId="45FFF058" w14:textId="77777777" w:rsidR="00827437" w:rsidRPr="005942F8" w:rsidRDefault="00827437" w:rsidP="00E40BEE">
            <w:pPr>
              <w:spacing w:after="0" w:line="240" w:lineRule="auto"/>
              <w:ind w:left="-107" w:right="-108"/>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-71,97</w:t>
            </w:r>
          </w:p>
        </w:tc>
        <w:tc>
          <w:tcPr>
            <w:tcW w:w="851" w:type="dxa"/>
            <w:tcBorders>
              <w:top w:val="nil"/>
              <w:left w:val="nil"/>
              <w:bottom w:val="single" w:sz="4" w:space="0" w:color="auto"/>
              <w:right w:val="single" w:sz="4" w:space="0" w:color="auto"/>
            </w:tcBorders>
            <w:shd w:val="clear" w:color="auto" w:fill="auto"/>
          </w:tcPr>
          <w:p w14:paraId="06B4395D" w14:textId="77777777" w:rsidR="00827437" w:rsidRPr="005942F8" w:rsidRDefault="00827437" w:rsidP="00E40BEE">
            <w:pPr>
              <w:spacing w:after="0" w:line="240" w:lineRule="auto"/>
              <w:ind w:left="-108" w:right="-91"/>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-25,35</w:t>
            </w:r>
          </w:p>
        </w:tc>
      </w:tr>
      <w:tr w:rsidR="00827437" w:rsidRPr="00522104" w14:paraId="4DF364D2"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3ECE480F" w14:textId="77777777" w:rsidR="00827437" w:rsidRPr="005942F8" w:rsidRDefault="00827437" w:rsidP="00E40BEE">
            <w:pPr>
              <w:spacing w:after="0" w:line="240" w:lineRule="auto"/>
              <w:ind w:left="62" w:right="-108"/>
              <w:jc w:val="both"/>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 xml:space="preserve">НП "Образование", </w:t>
            </w:r>
          </w:p>
          <w:p w14:paraId="0AAF336E" w14:textId="6261747F" w:rsidR="00827437" w:rsidRPr="005942F8" w:rsidRDefault="00DF2458" w:rsidP="00E40BEE">
            <w:pPr>
              <w:spacing w:after="0" w:line="240" w:lineRule="auto"/>
              <w:ind w:left="62" w:right="-108"/>
              <w:jc w:val="both"/>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в том числе ФП</w:t>
            </w:r>
            <w:r w:rsidR="001363AF" w:rsidRPr="005942F8">
              <w:rPr>
                <w:rFonts w:ascii="Times New Roman" w:eastAsia="Times New Roman" w:hAnsi="Times New Roman" w:cs="Times New Roman"/>
                <w:b/>
                <w:sz w:val="20"/>
                <w:szCs w:val="20"/>
                <w:lang w:eastAsia="ru-RU"/>
              </w:rPr>
              <w:t>:</w:t>
            </w:r>
          </w:p>
        </w:tc>
        <w:tc>
          <w:tcPr>
            <w:tcW w:w="1701" w:type="dxa"/>
            <w:tcBorders>
              <w:top w:val="nil"/>
              <w:left w:val="nil"/>
              <w:bottom w:val="single" w:sz="4" w:space="0" w:color="auto"/>
              <w:right w:val="single" w:sz="4" w:space="0" w:color="auto"/>
            </w:tcBorders>
            <w:shd w:val="clear" w:color="auto" w:fill="auto"/>
            <w:noWrap/>
          </w:tcPr>
          <w:p w14:paraId="7E54BD7A" w14:textId="77777777" w:rsidR="00827437" w:rsidRPr="005942F8" w:rsidRDefault="00827437" w:rsidP="00E40BEE">
            <w:pPr>
              <w:spacing w:after="0" w:line="240" w:lineRule="auto"/>
              <w:ind w:left="-108" w:right="-135"/>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1 312,18</w:t>
            </w:r>
          </w:p>
        </w:tc>
        <w:tc>
          <w:tcPr>
            <w:tcW w:w="1275" w:type="dxa"/>
            <w:tcBorders>
              <w:top w:val="nil"/>
              <w:left w:val="nil"/>
              <w:bottom w:val="single" w:sz="4" w:space="0" w:color="auto"/>
              <w:right w:val="single" w:sz="4" w:space="0" w:color="auto"/>
            </w:tcBorders>
            <w:shd w:val="clear" w:color="auto" w:fill="auto"/>
            <w:noWrap/>
          </w:tcPr>
          <w:p w14:paraId="13F5EC35" w14:textId="77777777" w:rsidR="00827437" w:rsidRPr="005942F8" w:rsidRDefault="00827437" w:rsidP="00E40BEE">
            <w:pPr>
              <w:spacing w:after="0" w:line="240" w:lineRule="auto"/>
              <w:ind w:left="-108" w:right="-135"/>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1 659,06</w:t>
            </w:r>
          </w:p>
        </w:tc>
        <w:tc>
          <w:tcPr>
            <w:tcW w:w="993" w:type="dxa"/>
            <w:tcBorders>
              <w:top w:val="nil"/>
              <w:left w:val="nil"/>
              <w:bottom w:val="single" w:sz="4" w:space="0" w:color="auto"/>
              <w:right w:val="single" w:sz="4" w:space="0" w:color="auto"/>
            </w:tcBorders>
            <w:shd w:val="clear" w:color="auto" w:fill="auto"/>
            <w:noWrap/>
          </w:tcPr>
          <w:p w14:paraId="5C735C88" w14:textId="77777777" w:rsidR="00827437" w:rsidRPr="005942F8" w:rsidRDefault="00827437" w:rsidP="00E40BEE">
            <w:pPr>
              <w:spacing w:after="0" w:line="240" w:lineRule="auto"/>
              <w:ind w:left="-107" w:right="-108"/>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+346,88</w:t>
            </w:r>
          </w:p>
        </w:tc>
        <w:tc>
          <w:tcPr>
            <w:tcW w:w="851" w:type="dxa"/>
            <w:tcBorders>
              <w:top w:val="nil"/>
              <w:left w:val="nil"/>
              <w:bottom w:val="single" w:sz="4" w:space="0" w:color="auto"/>
              <w:right w:val="single" w:sz="4" w:space="0" w:color="auto"/>
            </w:tcBorders>
            <w:shd w:val="clear" w:color="auto" w:fill="auto"/>
          </w:tcPr>
          <w:p w14:paraId="50B1BED9" w14:textId="77777777" w:rsidR="00827437" w:rsidRPr="005942F8" w:rsidRDefault="00827437" w:rsidP="00E40BEE">
            <w:pPr>
              <w:spacing w:after="0" w:line="240" w:lineRule="auto"/>
              <w:ind w:left="-108" w:right="-91"/>
              <w:jc w:val="center"/>
              <w:rPr>
                <w:rFonts w:ascii="Times New Roman" w:eastAsia="Times New Roman" w:hAnsi="Times New Roman" w:cs="Times New Roman"/>
                <w:b/>
                <w:sz w:val="20"/>
                <w:szCs w:val="20"/>
                <w:lang w:eastAsia="ru-RU"/>
              </w:rPr>
            </w:pPr>
            <w:r w:rsidRPr="005942F8">
              <w:rPr>
                <w:rFonts w:ascii="Times New Roman" w:eastAsia="Times New Roman" w:hAnsi="Times New Roman" w:cs="Times New Roman"/>
                <w:b/>
                <w:sz w:val="20"/>
                <w:szCs w:val="20"/>
                <w:lang w:eastAsia="ru-RU"/>
              </w:rPr>
              <w:t>+26,43</w:t>
            </w:r>
          </w:p>
        </w:tc>
      </w:tr>
      <w:tr w:rsidR="00827437" w:rsidRPr="00522104" w14:paraId="5DE91D5A"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0D6FABE7" w14:textId="77777777" w:rsidR="00827437" w:rsidRPr="005942F8" w:rsidRDefault="00827437" w:rsidP="00E40BEE">
            <w:pPr>
              <w:spacing w:after="0" w:line="240" w:lineRule="auto"/>
              <w:ind w:left="62" w:right="-108"/>
              <w:jc w:val="both"/>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"Современная школа"</w:t>
            </w:r>
          </w:p>
        </w:tc>
        <w:tc>
          <w:tcPr>
            <w:tcW w:w="1701" w:type="dxa"/>
            <w:tcBorders>
              <w:top w:val="nil"/>
              <w:left w:val="nil"/>
              <w:bottom w:val="single" w:sz="4" w:space="0" w:color="auto"/>
              <w:right w:val="single" w:sz="4" w:space="0" w:color="auto"/>
            </w:tcBorders>
            <w:shd w:val="clear" w:color="auto" w:fill="auto"/>
            <w:noWrap/>
          </w:tcPr>
          <w:p w14:paraId="102267B5"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1 085,46</w:t>
            </w:r>
          </w:p>
        </w:tc>
        <w:tc>
          <w:tcPr>
            <w:tcW w:w="1275" w:type="dxa"/>
            <w:tcBorders>
              <w:top w:val="nil"/>
              <w:left w:val="nil"/>
              <w:bottom w:val="single" w:sz="4" w:space="0" w:color="auto"/>
              <w:right w:val="single" w:sz="4" w:space="0" w:color="auto"/>
            </w:tcBorders>
            <w:shd w:val="clear" w:color="auto" w:fill="auto"/>
            <w:noWrap/>
          </w:tcPr>
          <w:p w14:paraId="12F1335E"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1 304,29</w:t>
            </w:r>
          </w:p>
        </w:tc>
        <w:tc>
          <w:tcPr>
            <w:tcW w:w="993" w:type="dxa"/>
            <w:tcBorders>
              <w:top w:val="nil"/>
              <w:left w:val="nil"/>
              <w:bottom w:val="single" w:sz="4" w:space="0" w:color="auto"/>
              <w:right w:val="single" w:sz="4" w:space="0" w:color="auto"/>
            </w:tcBorders>
            <w:shd w:val="clear" w:color="auto" w:fill="auto"/>
            <w:noWrap/>
          </w:tcPr>
          <w:p w14:paraId="4A4C61DB" w14:textId="77777777" w:rsidR="00827437" w:rsidRPr="005942F8" w:rsidRDefault="00827437" w:rsidP="00E40BEE">
            <w:pPr>
              <w:spacing w:after="0" w:line="240" w:lineRule="auto"/>
              <w:ind w:left="-107" w:right="-108"/>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+218,83</w:t>
            </w:r>
          </w:p>
        </w:tc>
        <w:tc>
          <w:tcPr>
            <w:tcW w:w="851" w:type="dxa"/>
            <w:tcBorders>
              <w:top w:val="nil"/>
              <w:left w:val="nil"/>
              <w:bottom w:val="single" w:sz="4" w:space="0" w:color="auto"/>
              <w:right w:val="single" w:sz="4" w:space="0" w:color="auto"/>
            </w:tcBorders>
            <w:shd w:val="clear" w:color="auto" w:fill="auto"/>
          </w:tcPr>
          <w:p w14:paraId="6F52FE0D" w14:textId="77777777" w:rsidR="00827437" w:rsidRPr="005942F8" w:rsidRDefault="00827437" w:rsidP="00E40BEE">
            <w:pPr>
              <w:spacing w:after="0" w:line="240" w:lineRule="auto"/>
              <w:ind w:left="-108" w:right="-91"/>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+20,16</w:t>
            </w:r>
          </w:p>
        </w:tc>
      </w:tr>
      <w:tr w:rsidR="00827437" w:rsidRPr="00522104" w14:paraId="1F8D3175"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5317DD6F" w14:textId="7C3BE9DD" w:rsidR="00827437" w:rsidRPr="005942F8" w:rsidRDefault="00827437" w:rsidP="00E40BEE">
            <w:pPr>
              <w:spacing w:after="0" w:line="240" w:lineRule="auto"/>
              <w:ind w:left="62" w:right="-108"/>
              <w:jc w:val="both"/>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"Молодые профессионалы (повышение конкурентоспособности и про</w:t>
            </w:r>
            <w:r w:rsidR="00DF2458" w:rsidRPr="005942F8">
              <w:rPr>
                <w:rFonts w:ascii="Times New Roman" w:eastAsia="Times New Roman" w:hAnsi="Times New Roman" w:cs="Times New Roman"/>
                <w:i/>
                <w:sz w:val="20"/>
                <w:szCs w:val="20"/>
                <w:lang w:eastAsia="ru-RU"/>
              </w:rPr>
              <w:t>фессионального образования)"</w:t>
            </w:r>
          </w:p>
        </w:tc>
        <w:tc>
          <w:tcPr>
            <w:tcW w:w="1701" w:type="dxa"/>
            <w:tcBorders>
              <w:top w:val="nil"/>
              <w:left w:val="nil"/>
              <w:bottom w:val="single" w:sz="4" w:space="0" w:color="auto"/>
              <w:right w:val="single" w:sz="4" w:space="0" w:color="auto"/>
            </w:tcBorders>
            <w:shd w:val="clear" w:color="auto" w:fill="auto"/>
            <w:noWrap/>
          </w:tcPr>
          <w:p w14:paraId="5596E010"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8,91</w:t>
            </w:r>
          </w:p>
        </w:tc>
        <w:tc>
          <w:tcPr>
            <w:tcW w:w="1275" w:type="dxa"/>
            <w:tcBorders>
              <w:top w:val="nil"/>
              <w:left w:val="nil"/>
              <w:bottom w:val="single" w:sz="4" w:space="0" w:color="auto"/>
              <w:right w:val="single" w:sz="4" w:space="0" w:color="auto"/>
            </w:tcBorders>
            <w:shd w:val="clear" w:color="auto" w:fill="auto"/>
            <w:noWrap/>
          </w:tcPr>
          <w:p w14:paraId="181E9F81"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123,24</w:t>
            </w:r>
          </w:p>
        </w:tc>
        <w:tc>
          <w:tcPr>
            <w:tcW w:w="993" w:type="dxa"/>
            <w:tcBorders>
              <w:top w:val="nil"/>
              <w:left w:val="nil"/>
              <w:bottom w:val="single" w:sz="4" w:space="0" w:color="auto"/>
              <w:right w:val="single" w:sz="4" w:space="0" w:color="auto"/>
            </w:tcBorders>
            <w:shd w:val="clear" w:color="auto" w:fill="auto"/>
            <w:noWrap/>
          </w:tcPr>
          <w:p w14:paraId="69D9DB99" w14:textId="77777777" w:rsidR="00827437" w:rsidRPr="005942F8" w:rsidRDefault="00827437" w:rsidP="00E40BEE">
            <w:pPr>
              <w:spacing w:after="0" w:line="240" w:lineRule="auto"/>
              <w:ind w:left="-107" w:right="-108"/>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+114,33</w:t>
            </w:r>
          </w:p>
        </w:tc>
        <w:tc>
          <w:tcPr>
            <w:tcW w:w="851" w:type="dxa"/>
            <w:tcBorders>
              <w:top w:val="nil"/>
              <w:left w:val="nil"/>
              <w:bottom w:val="single" w:sz="4" w:space="0" w:color="auto"/>
              <w:right w:val="single" w:sz="4" w:space="0" w:color="auto"/>
            </w:tcBorders>
            <w:shd w:val="clear" w:color="auto" w:fill="auto"/>
          </w:tcPr>
          <w:p w14:paraId="65CA5E36" w14:textId="77777777" w:rsidR="00827437" w:rsidRPr="005942F8" w:rsidRDefault="00827437" w:rsidP="00E40BEE">
            <w:pPr>
              <w:spacing w:after="0" w:line="240" w:lineRule="auto"/>
              <w:ind w:left="-108" w:right="-91"/>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менее 0,01 %</w:t>
            </w:r>
          </w:p>
        </w:tc>
      </w:tr>
      <w:tr w:rsidR="00827437" w:rsidRPr="00522104" w14:paraId="24989803"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06AF284E" w14:textId="6FC26B66" w:rsidR="00827437" w:rsidRPr="005942F8" w:rsidRDefault="00DF2458" w:rsidP="00E40BEE">
            <w:pPr>
              <w:spacing w:after="0" w:line="240" w:lineRule="auto"/>
              <w:ind w:left="62" w:right="-108"/>
              <w:jc w:val="both"/>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"Успех каждого ребенка"</w:t>
            </w:r>
          </w:p>
        </w:tc>
        <w:tc>
          <w:tcPr>
            <w:tcW w:w="1701" w:type="dxa"/>
            <w:tcBorders>
              <w:top w:val="nil"/>
              <w:left w:val="nil"/>
              <w:bottom w:val="single" w:sz="4" w:space="0" w:color="auto"/>
              <w:right w:val="single" w:sz="4" w:space="0" w:color="auto"/>
            </w:tcBorders>
            <w:shd w:val="clear" w:color="auto" w:fill="auto"/>
            <w:noWrap/>
          </w:tcPr>
          <w:p w14:paraId="08A9E0CD"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34,61</w:t>
            </w:r>
          </w:p>
        </w:tc>
        <w:tc>
          <w:tcPr>
            <w:tcW w:w="1275" w:type="dxa"/>
            <w:tcBorders>
              <w:top w:val="nil"/>
              <w:left w:val="nil"/>
              <w:bottom w:val="single" w:sz="4" w:space="0" w:color="auto"/>
              <w:right w:val="single" w:sz="4" w:space="0" w:color="auto"/>
            </w:tcBorders>
            <w:shd w:val="clear" w:color="auto" w:fill="auto"/>
            <w:noWrap/>
          </w:tcPr>
          <w:p w14:paraId="7821CF3E"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42,74</w:t>
            </w:r>
          </w:p>
        </w:tc>
        <w:tc>
          <w:tcPr>
            <w:tcW w:w="993" w:type="dxa"/>
            <w:tcBorders>
              <w:top w:val="nil"/>
              <w:left w:val="nil"/>
              <w:bottom w:val="single" w:sz="4" w:space="0" w:color="auto"/>
              <w:right w:val="single" w:sz="4" w:space="0" w:color="auto"/>
            </w:tcBorders>
            <w:shd w:val="clear" w:color="auto" w:fill="auto"/>
            <w:noWrap/>
          </w:tcPr>
          <w:p w14:paraId="44187542" w14:textId="77777777" w:rsidR="00827437" w:rsidRPr="005942F8" w:rsidRDefault="00827437" w:rsidP="00E40BEE">
            <w:pPr>
              <w:spacing w:after="0" w:line="240" w:lineRule="auto"/>
              <w:ind w:left="-107" w:right="-108"/>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+8,13</w:t>
            </w:r>
          </w:p>
        </w:tc>
        <w:tc>
          <w:tcPr>
            <w:tcW w:w="851" w:type="dxa"/>
            <w:tcBorders>
              <w:top w:val="nil"/>
              <w:left w:val="nil"/>
              <w:bottom w:val="single" w:sz="4" w:space="0" w:color="auto"/>
              <w:right w:val="single" w:sz="4" w:space="0" w:color="auto"/>
            </w:tcBorders>
            <w:shd w:val="clear" w:color="auto" w:fill="auto"/>
          </w:tcPr>
          <w:p w14:paraId="79574901" w14:textId="77777777" w:rsidR="00827437" w:rsidRPr="005942F8" w:rsidRDefault="00827437" w:rsidP="00E40BEE">
            <w:pPr>
              <w:spacing w:after="0" w:line="240" w:lineRule="auto"/>
              <w:ind w:left="-108" w:right="-91"/>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+23,49</w:t>
            </w:r>
          </w:p>
        </w:tc>
      </w:tr>
      <w:tr w:rsidR="00827437" w:rsidRPr="00522104" w14:paraId="0D1B36E9"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0D0C6D41" w14:textId="402993BA" w:rsidR="00827437" w:rsidRPr="005942F8" w:rsidRDefault="00DF2458" w:rsidP="00E40BEE">
            <w:pPr>
              <w:spacing w:after="0" w:line="240" w:lineRule="auto"/>
              <w:ind w:left="62" w:right="-108"/>
              <w:jc w:val="both"/>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"Социальная активность"</w:t>
            </w:r>
          </w:p>
        </w:tc>
        <w:tc>
          <w:tcPr>
            <w:tcW w:w="1701" w:type="dxa"/>
            <w:tcBorders>
              <w:top w:val="nil"/>
              <w:left w:val="nil"/>
              <w:bottom w:val="single" w:sz="4" w:space="0" w:color="auto"/>
              <w:right w:val="single" w:sz="4" w:space="0" w:color="auto"/>
            </w:tcBorders>
            <w:shd w:val="clear" w:color="auto" w:fill="auto"/>
            <w:noWrap/>
          </w:tcPr>
          <w:p w14:paraId="30C81900"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31,08</w:t>
            </w:r>
          </w:p>
        </w:tc>
        <w:tc>
          <w:tcPr>
            <w:tcW w:w="1275" w:type="dxa"/>
            <w:tcBorders>
              <w:top w:val="nil"/>
              <w:left w:val="nil"/>
              <w:bottom w:val="single" w:sz="4" w:space="0" w:color="auto"/>
              <w:right w:val="single" w:sz="4" w:space="0" w:color="auto"/>
            </w:tcBorders>
            <w:shd w:val="clear" w:color="auto" w:fill="auto"/>
            <w:noWrap/>
          </w:tcPr>
          <w:p w14:paraId="0773EC4C"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36,67</w:t>
            </w:r>
          </w:p>
        </w:tc>
        <w:tc>
          <w:tcPr>
            <w:tcW w:w="993" w:type="dxa"/>
            <w:tcBorders>
              <w:top w:val="nil"/>
              <w:left w:val="nil"/>
              <w:bottom w:val="single" w:sz="4" w:space="0" w:color="auto"/>
              <w:right w:val="single" w:sz="4" w:space="0" w:color="auto"/>
            </w:tcBorders>
            <w:shd w:val="clear" w:color="auto" w:fill="auto"/>
            <w:noWrap/>
          </w:tcPr>
          <w:p w14:paraId="053CC42E" w14:textId="77777777" w:rsidR="00827437" w:rsidRPr="005942F8" w:rsidRDefault="00827437" w:rsidP="00E40BEE">
            <w:pPr>
              <w:spacing w:after="0" w:line="240" w:lineRule="auto"/>
              <w:ind w:left="-107" w:right="-108"/>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+5,59</w:t>
            </w:r>
          </w:p>
        </w:tc>
        <w:tc>
          <w:tcPr>
            <w:tcW w:w="851" w:type="dxa"/>
            <w:tcBorders>
              <w:top w:val="nil"/>
              <w:left w:val="nil"/>
              <w:bottom w:val="single" w:sz="4" w:space="0" w:color="auto"/>
              <w:right w:val="single" w:sz="4" w:space="0" w:color="auto"/>
            </w:tcBorders>
            <w:shd w:val="clear" w:color="auto" w:fill="auto"/>
          </w:tcPr>
          <w:p w14:paraId="073EBE67" w14:textId="77777777" w:rsidR="00827437" w:rsidRPr="005942F8" w:rsidRDefault="00827437" w:rsidP="00E40BEE">
            <w:pPr>
              <w:spacing w:after="0" w:line="240" w:lineRule="auto"/>
              <w:ind w:left="-108" w:right="-91"/>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+17,98</w:t>
            </w:r>
          </w:p>
        </w:tc>
      </w:tr>
      <w:tr w:rsidR="00827437" w:rsidRPr="00522104" w14:paraId="27D5737E" w14:textId="77777777" w:rsidTr="00E40BEE">
        <w:trPr>
          <w:trHeight w:val="240"/>
          <w:jc w:val="center"/>
        </w:trPr>
        <w:tc>
          <w:tcPr>
            <w:tcW w:w="4531" w:type="dxa"/>
            <w:tcBorders>
              <w:top w:val="nil"/>
              <w:left w:val="single" w:sz="4" w:space="0" w:color="auto"/>
              <w:bottom w:val="single" w:sz="4" w:space="0" w:color="auto"/>
              <w:right w:val="single" w:sz="4" w:space="0" w:color="auto"/>
            </w:tcBorders>
            <w:shd w:val="clear" w:color="000000" w:fill="FFFFFF"/>
            <w:hideMark/>
          </w:tcPr>
          <w:p w14:paraId="681632AD" w14:textId="4460C41E" w:rsidR="00827437" w:rsidRPr="005942F8" w:rsidRDefault="00827437" w:rsidP="00E40BEE">
            <w:pPr>
              <w:spacing w:after="0" w:line="240" w:lineRule="auto"/>
              <w:ind w:left="62" w:right="-108"/>
              <w:jc w:val="both"/>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w:t>
            </w:r>
            <w:r w:rsidR="00DF2458" w:rsidRPr="005942F8">
              <w:rPr>
                <w:rFonts w:ascii="Times New Roman" w:eastAsia="Times New Roman" w:hAnsi="Times New Roman" w:cs="Times New Roman"/>
                <w:i/>
                <w:sz w:val="20"/>
                <w:szCs w:val="20"/>
                <w:lang w:eastAsia="ru-RU"/>
              </w:rPr>
              <w:t>Цифровая образовательная среда"</w:t>
            </w:r>
          </w:p>
        </w:tc>
        <w:tc>
          <w:tcPr>
            <w:tcW w:w="1701" w:type="dxa"/>
            <w:tcBorders>
              <w:top w:val="nil"/>
              <w:left w:val="nil"/>
              <w:bottom w:val="single" w:sz="4" w:space="0" w:color="auto"/>
              <w:right w:val="single" w:sz="4" w:space="0" w:color="auto"/>
            </w:tcBorders>
            <w:shd w:val="clear" w:color="auto" w:fill="auto"/>
            <w:noWrap/>
          </w:tcPr>
          <w:p w14:paraId="36A3133B"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152,12</w:t>
            </w:r>
          </w:p>
        </w:tc>
        <w:tc>
          <w:tcPr>
            <w:tcW w:w="1275" w:type="dxa"/>
            <w:tcBorders>
              <w:top w:val="nil"/>
              <w:left w:val="nil"/>
              <w:bottom w:val="single" w:sz="4" w:space="0" w:color="auto"/>
              <w:right w:val="single" w:sz="4" w:space="0" w:color="auto"/>
            </w:tcBorders>
            <w:shd w:val="clear" w:color="auto" w:fill="auto"/>
            <w:noWrap/>
          </w:tcPr>
          <w:p w14:paraId="292585FE" w14:textId="77777777" w:rsidR="00827437" w:rsidRPr="005942F8" w:rsidRDefault="00827437" w:rsidP="00E40BEE">
            <w:pPr>
              <w:spacing w:after="0" w:line="240" w:lineRule="auto"/>
              <w:ind w:left="-108" w:right="-135"/>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152,12</w:t>
            </w:r>
          </w:p>
        </w:tc>
        <w:tc>
          <w:tcPr>
            <w:tcW w:w="993" w:type="dxa"/>
            <w:tcBorders>
              <w:top w:val="nil"/>
              <w:left w:val="nil"/>
              <w:bottom w:val="single" w:sz="4" w:space="0" w:color="auto"/>
              <w:right w:val="single" w:sz="4" w:space="0" w:color="auto"/>
            </w:tcBorders>
            <w:shd w:val="clear" w:color="auto" w:fill="auto"/>
            <w:noWrap/>
          </w:tcPr>
          <w:p w14:paraId="1F9226A9" w14:textId="77777777" w:rsidR="00827437" w:rsidRPr="005942F8" w:rsidRDefault="00827437" w:rsidP="00E40BEE">
            <w:pPr>
              <w:spacing w:after="0" w:line="240" w:lineRule="auto"/>
              <w:ind w:left="-107" w:right="-108"/>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0</w:t>
            </w:r>
          </w:p>
        </w:tc>
        <w:tc>
          <w:tcPr>
            <w:tcW w:w="851" w:type="dxa"/>
            <w:tcBorders>
              <w:top w:val="nil"/>
              <w:left w:val="nil"/>
              <w:bottom w:val="single" w:sz="4" w:space="0" w:color="auto"/>
              <w:right w:val="single" w:sz="4" w:space="0" w:color="auto"/>
            </w:tcBorders>
            <w:shd w:val="clear" w:color="auto" w:fill="auto"/>
          </w:tcPr>
          <w:p w14:paraId="44E1DC83" w14:textId="77777777" w:rsidR="00827437" w:rsidRPr="005942F8" w:rsidRDefault="00827437" w:rsidP="00E40BEE">
            <w:pPr>
              <w:spacing w:after="0" w:line="240" w:lineRule="auto"/>
              <w:ind w:left="-108" w:right="-91"/>
              <w:jc w:val="center"/>
              <w:rPr>
                <w:rFonts w:ascii="Times New Roman" w:eastAsia="Times New Roman" w:hAnsi="Times New Roman" w:cs="Times New Roman"/>
                <w:i/>
                <w:sz w:val="20"/>
                <w:szCs w:val="20"/>
                <w:lang w:eastAsia="ru-RU"/>
              </w:rPr>
            </w:pPr>
            <w:r w:rsidRPr="005942F8">
              <w:rPr>
                <w:rFonts w:ascii="Times New Roman" w:eastAsia="Times New Roman" w:hAnsi="Times New Roman" w:cs="Times New Roman"/>
                <w:i/>
                <w:sz w:val="20"/>
                <w:szCs w:val="20"/>
                <w:lang w:eastAsia="ru-RU"/>
              </w:rPr>
              <w:t>0</w:t>
            </w:r>
          </w:p>
        </w:tc>
      </w:tr>
    </w:tbl>
    <w:p w14:paraId="42BC83D0"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p>
    <w:p w14:paraId="551990A3" w14:textId="4365114C"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Приведенные в таблице данные показывают, что законопроектом на 2022 год предусмотрено </w:t>
      </w:r>
      <w:r w:rsidRPr="00522104">
        <w:rPr>
          <w:rFonts w:ascii="Times New Roman" w:hAnsi="Times New Roman" w:cs="Times New Roman"/>
          <w:bCs/>
          <w:iCs/>
          <w:sz w:val="28"/>
          <w:szCs w:val="28"/>
        </w:rPr>
        <w:t>увеличение</w:t>
      </w:r>
      <w:r w:rsidRPr="00522104">
        <w:rPr>
          <w:rFonts w:ascii="Times New Roman" w:hAnsi="Times New Roman" w:cs="Times New Roman"/>
          <w:sz w:val="28"/>
          <w:szCs w:val="28"/>
        </w:rPr>
        <w:t xml:space="preserve"> бюджетных ассигнований по </w:t>
      </w:r>
      <w:r w:rsidRPr="00522104">
        <w:rPr>
          <w:rFonts w:ascii="Times New Roman" w:hAnsi="Times New Roman" w:cs="Times New Roman"/>
          <w:b/>
          <w:i/>
          <w:sz w:val="28"/>
          <w:szCs w:val="28"/>
        </w:rPr>
        <w:t>НП "Образование"</w:t>
      </w:r>
      <w:r w:rsidRPr="00522104">
        <w:rPr>
          <w:rFonts w:ascii="Times New Roman" w:hAnsi="Times New Roman" w:cs="Times New Roman"/>
          <w:sz w:val="28"/>
          <w:szCs w:val="28"/>
        </w:rPr>
        <w:t xml:space="preserve"> – на 346,88 млн рублей, или на 26,43 % (предусмотрено законом на 2022 год </w:t>
      </w:r>
      <w:r w:rsidR="00DF2458" w:rsidRPr="00522104">
        <w:rPr>
          <w:rFonts w:ascii="Times New Roman" w:hAnsi="Times New Roman" w:cs="Times New Roman"/>
          <w:sz w:val="28"/>
          <w:szCs w:val="28"/>
        </w:rPr>
        <w:t>1 312,18 млн рублей,</w:t>
      </w:r>
      <w:r w:rsidRPr="00522104">
        <w:rPr>
          <w:rFonts w:ascii="Times New Roman" w:hAnsi="Times New Roman" w:cs="Times New Roman"/>
          <w:sz w:val="28"/>
          <w:szCs w:val="28"/>
        </w:rPr>
        <w:t xml:space="preserve"> законопроектом – 1 659,06 млн рублей), из них на реализацию мероприятий:</w:t>
      </w:r>
    </w:p>
    <w:p w14:paraId="50CEA165" w14:textId="29774025"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b/>
          <w:i/>
          <w:sz w:val="28"/>
          <w:szCs w:val="28"/>
        </w:rPr>
        <w:t>ФП "Современная школа"</w:t>
      </w:r>
      <w:r w:rsidRPr="00522104">
        <w:rPr>
          <w:rFonts w:ascii="Times New Roman" w:hAnsi="Times New Roman" w:cs="Times New Roman"/>
          <w:sz w:val="28"/>
          <w:szCs w:val="28"/>
        </w:rPr>
        <w:t xml:space="preserve"> – на 218,83 млн рублей, или на 20,16 % (на 2022 год утверждено 1 085,46 млн рублей</w:t>
      </w:r>
      <w:r w:rsidR="00DF2458"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законопроекту – 1 304,29 млн рублей), из них:</w:t>
      </w:r>
    </w:p>
    <w:p w14:paraId="221273EA" w14:textId="69DEA6A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на создание новых мест в общеобразовательных организациях – на 149,52 млн рублей, или на 24,46 % (на 2022 год предусмотрено законом 611,20</w:t>
      </w:r>
      <w:r w:rsidR="00DF2458" w:rsidRPr="00522104">
        <w:rPr>
          <w:rFonts w:ascii="Times New Roman" w:hAnsi="Times New Roman" w:cs="Times New Roman"/>
          <w:sz w:val="28"/>
          <w:szCs w:val="28"/>
        </w:rPr>
        <w:t> </w:t>
      </w:r>
      <w:r w:rsidRPr="00522104">
        <w:rPr>
          <w:rFonts w:ascii="Times New Roman" w:hAnsi="Times New Roman" w:cs="Times New Roman"/>
          <w:sz w:val="28"/>
          <w:szCs w:val="28"/>
        </w:rPr>
        <w:t>млн рублей</w:t>
      </w:r>
      <w:r w:rsidR="00DF2458"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760,72 млн рублей);</w:t>
      </w:r>
    </w:p>
    <w:p w14:paraId="38F591C7" w14:textId="06A31D3F"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на предоставление субвенций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 – на 13,81 млн рублей, или на 5,53 % (на 2022 год предусмотрено законом 249,95 млн рублей</w:t>
      </w:r>
      <w:r w:rsidR="00BA30A0"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263,76 млн рублей);</w:t>
      </w:r>
    </w:p>
    <w:p w14:paraId="3FE65ADB" w14:textId="13CDD3BD"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на предоставление мер социальной поддержки педагогическим работникам краевых государственных образовательных организаций – на 6,00</w:t>
      </w:r>
      <w:r w:rsidR="00BA30A0" w:rsidRPr="00522104">
        <w:rPr>
          <w:rFonts w:ascii="Times New Roman" w:hAnsi="Times New Roman" w:cs="Times New Roman"/>
          <w:sz w:val="28"/>
          <w:szCs w:val="28"/>
        </w:rPr>
        <w:t> </w:t>
      </w:r>
      <w:r w:rsidRPr="00522104">
        <w:rPr>
          <w:rFonts w:ascii="Times New Roman" w:hAnsi="Times New Roman" w:cs="Times New Roman"/>
          <w:sz w:val="28"/>
          <w:szCs w:val="28"/>
        </w:rPr>
        <w:t xml:space="preserve">млн рублей, или на 56,60 % (предусмотрено законом </w:t>
      </w:r>
      <w:r w:rsidR="00BA30A0" w:rsidRPr="00522104">
        <w:rPr>
          <w:rFonts w:ascii="Times New Roman" w:hAnsi="Times New Roman" w:cs="Times New Roman"/>
          <w:sz w:val="28"/>
          <w:szCs w:val="28"/>
        </w:rPr>
        <w:t>10,60 млн рублей,</w:t>
      </w:r>
      <w:r w:rsidRPr="00522104">
        <w:rPr>
          <w:rFonts w:ascii="Times New Roman" w:hAnsi="Times New Roman" w:cs="Times New Roman"/>
          <w:sz w:val="28"/>
          <w:szCs w:val="28"/>
        </w:rPr>
        <w:t xml:space="preserve"> законопроектом – 16,60 млн рублей).</w:t>
      </w:r>
    </w:p>
    <w:p w14:paraId="03385C0E" w14:textId="720B7C98"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В рамках данного ФП бюджетные средства будут направлены на обновление содержания и методов обучения предметных областей – 49,50 млн рублей (на уровне бюджета 2021 года)</w:t>
      </w:r>
      <w:r w:rsidR="00BA30A0" w:rsidRPr="00522104">
        <w:rPr>
          <w:rFonts w:ascii="Times New Roman" w:hAnsi="Times New Roman" w:cs="Times New Roman"/>
          <w:sz w:val="28"/>
          <w:szCs w:val="28"/>
        </w:rPr>
        <w:t>;</w:t>
      </w:r>
    </w:p>
    <w:p w14:paraId="2430260E" w14:textId="194074EC"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ФП "Молодые профессионалы (повышение конкурентоспособности и профессионального образования)"</w:t>
      </w:r>
      <w:r w:rsidRPr="00522104">
        <w:rPr>
          <w:rFonts w:ascii="Times New Roman" w:eastAsia="Times New Roman" w:hAnsi="Times New Roman" w:cs="Times New Roman"/>
          <w:sz w:val="28"/>
          <w:szCs w:val="28"/>
          <w:lang w:eastAsia="ru-RU"/>
        </w:rPr>
        <w:t xml:space="preserve"> законопроектом на 2022 год предусмотрены бюджетные ассигнования в объеме 123,24 млн рублей, что на 114,33 млн рублей, или в 13,8 раз</w:t>
      </w:r>
      <w:r w:rsidR="00BA30A0"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превышает объем ассигнований, предусмотренный законом на 2022 год (8,91 млн рублей), из них:</w:t>
      </w:r>
    </w:p>
    <w:p w14:paraId="6630BDEE" w14:textId="14CEBB5F"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на выплату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 </w:t>
      </w:r>
      <w:r w:rsidRPr="00522104">
        <w:rPr>
          <w:rFonts w:ascii="Times New Roman" w:eastAsia="Times New Roman" w:hAnsi="Times New Roman" w:cs="Times New Roman"/>
          <w:bCs/>
          <w:iCs/>
          <w:sz w:val="28"/>
          <w:szCs w:val="28"/>
          <w:lang w:eastAsia="ru-RU"/>
        </w:rPr>
        <w:t>увеличение</w:t>
      </w:r>
      <w:r w:rsidRPr="00522104">
        <w:rPr>
          <w:rFonts w:ascii="Times New Roman" w:eastAsia="Times New Roman" w:hAnsi="Times New Roman" w:cs="Times New Roman"/>
          <w:sz w:val="28"/>
          <w:szCs w:val="28"/>
          <w:lang w:eastAsia="ru-RU"/>
        </w:rPr>
        <w:t xml:space="preserve"> составляет 2,93 млн рублей, или 32,88 % </w:t>
      </w:r>
      <w:r w:rsidRPr="00522104">
        <w:rPr>
          <w:rFonts w:ascii="Times New Roman" w:hAnsi="Times New Roman" w:cs="Times New Roman"/>
          <w:sz w:val="28"/>
          <w:szCs w:val="28"/>
        </w:rPr>
        <w:t>(предусмотрено законом на 2022 год 8,91 млн рублей</w:t>
      </w:r>
      <w:r w:rsidR="00BA30A0"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11,84 млн рублей).</w:t>
      </w:r>
    </w:p>
    <w:p w14:paraId="76F331F1"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В рамках данного ФП на 2022 год предусмотрены бюджетные ассигнования в объеме 111,40 млн рублей, в том числе на:</w:t>
      </w:r>
    </w:p>
    <w:p w14:paraId="6ACFECA0"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создание (обновление) материально-технической базы образовательных организаций, реализующих программы среднего профессионального образования – 62,21 млн рублей (новая целевая статья 026Е653590);</w:t>
      </w:r>
    </w:p>
    <w:p w14:paraId="45B59C8D"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 – 26,52 млн рублей (новая целевая статья 026Е67160В);</w:t>
      </w:r>
    </w:p>
    <w:p w14:paraId="6343B2C0"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организацию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 22,67 млн рублей (новая целевая статья 026Е67160Г);</w:t>
      </w:r>
    </w:p>
    <w:p w14:paraId="372D4E4F" w14:textId="3DB7B740"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hAnsi="Times New Roman" w:cs="Times New Roman"/>
          <w:b/>
          <w:i/>
          <w:sz w:val="28"/>
          <w:szCs w:val="28"/>
        </w:rPr>
        <w:t>ФП "Социальная активность"</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на 2022 год планируется 36,67 млн рублей, что на 5,59 млн рублей, или на 17,98 %</w:t>
      </w:r>
      <w:r w:rsidR="00BA30A0"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превышает объем ассигнований, предусмотренный законом на 2022 год (31,08 млн рублей), в связи с тем, что в рамках данного ФП предусмотрено предоставление субсидий из краевого бюджета в целях финансового обеспечения затрат на развитие общественно значимых проектов:</w:t>
      </w:r>
    </w:p>
    <w:p w14:paraId="60220F61"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Приморскому региональному отделению молодежной общероссийской общественной организации "Российские Студенческие Отряды" – 2,0 млн рублей (</w:t>
      </w:r>
      <w:r w:rsidRPr="00522104">
        <w:rPr>
          <w:rFonts w:ascii="Times New Roman" w:hAnsi="Times New Roman" w:cs="Times New Roman"/>
          <w:sz w:val="28"/>
          <w:szCs w:val="28"/>
        </w:rPr>
        <w:t>новая целевая статья 026Е861760</w:t>
      </w:r>
      <w:r w:rsidRPr="00522104">
        <w:rPr>
          <w:rFonts w:ascii="Times New Roman" w:eastAsia="Times New Roman" w:hAnsi="Times New Roman" w:cs="Times New Roman"/>
          <w:sz w:val="28"/>
          <w:szCs w:val="28"/>
          <w:lang w:eastAsia="ru-RU"/>
        </w:rPr>
        <w:t>);</w:t>
      </w:r>
    </w:p>
    <w:p w14:paraId="15B4DE8C"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краевой молодежной общественной организации "Приморский клуб веселых и находчивых" – 3,59 млн рублей (</w:t>
      </w:r>
      <w:r w:rsidRPr="00522104">
        <w:rPr>
          <w:rFonts w:ascii="Times New Roman" w:hAnsi="Times New Roman" w:cs="Times New Roman"/>
          <w:sz w:val="28"/>
          <w:szCs w:val="28"/>
        </w:rPr>
        <w:t>новая целевая статья 026Е861770</w:t>
      </w:r>
      <w:r w:rsidRPr="00522104">
        <w:rPr>
          <w:rFonts w:ascii="Times New Roman" w:eastAsia="Times New Roman" w:hAnsi="Times New Roman" w:cs="Times New Roman"/>
          <w:sz w:val="28"/>
          <w:szCs w:val="28"/>
          <w:lang w:eastAsia="ru-RU"/>
        </w:rPr>
        <w:t>).</w:t>
      </w:r>
    </w:p>
    <w:p w14:paraId="56CA6053"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 xml:space="preserve">Законопроектом на 2022 год предусмотрены бюджетные ассигнования </w:t>
      </w:r>
      <w:r w:rsidRPr="00522104">
        <w:rPr>
          <w:rFonts w:ascii="Times New Roman" w:hAnsi="Times New Roman" w:cs="Times New Roman"/>
          <w:b/>
          <w:i/>
          <w:sz w:val="28"/>
          <w:szCs w:val="28"/>
        </w:rPr>
        <w:t>ФП "Цифровая образовательная среда"</w:t>
      </w:r>
      <w:r w:rsidRPr="00522104">
        <w:rPr>
          <w:rFonts w:ascii="Times New Roman" w:hAnsi="Times New Roman" w:cs="Times New Roman"/>
          <w:sz w:val="28"/>
          <w:szCs w:val="28"/>
        </w:rPr>
        <w:t xml:space="preserve"> в объеме 152,12 млн рублей, что соответствует объему, утвержденному в краевом бюджете на 2022 год.</w:t>
      </w:r>
    </w:p>
    <w:p w14:paraId="2CDE2439" w14:textId="1C920884"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b/>
          <w:i/>
          <w:sz w:val="28"/>
          <w:szCs w:val="28"/>
        </w:rPr>
        <w:t>НП "Демография"</w:t>
      </w:r>
      <w:r w:rsidRPr="00522104">
        <w:rPr>
          <w:rFonts w:ascii="Times New Roman" w:hAnsi="Times New Roman" w:cs="Times New Roman"/>
          <w:sz w:val="28"/>
          <w:szCs w:val="28"/>
        </w:rPr>
        <w:t xml:space="preserve"> законопроектом на 2022 год предусмотрено </w:t>
      </w:r>
      <w:r w:rsidRPr="00522104">
        <w:rPr>
          <w:rFonts w:ascii="Times New Roman" w:hAnsi="Times New Roman" w:cs="Times New Roman"/>
          <w:b/>
          <w:i/>
          <w:sz w:val="28"/>
          <w:szCs w:val="28"/>
        </w:rPr>
        <w:t>уменьшение</w:t>
      </w:r>
      <w:r w:rsidRPr="00522104">
        <w:rPr>
          <w:rFonts w:ascii="Times New Roman" w:hAnsi="Times New Roman" w:cs="Times New Roman"/>
          <w:sz w:val="28"/>
          <w:szCs w:val="28"/>
        </w:rPr>
        <w:t xml:space="preserve"> бюджетных ассигнований на 71,97 млн рублей, или на 24,32 % (предусмотрено законом на 2022 год </w:t>
      </w:r>
      <w:r w:rsidR="00BA30A0" w:rsidRPr="00522104">
        <w:rPr>
          <w:rFonts w:ascii="Times New Roman" w:hAnsi="Times New Roman" w:cs="Times New Roman"/>
          <w:sz w:val="28"/>
          <w:szCs w:val="28"/>
        </w:rPr>
        <w:t>295,90 млн рублей,</w:t>
      </w:r>
      <w:r w:rsidRPr="00522104">
        <w:rPr>
          <w:rFonts w:ascii="Times New Roman" w:hAnsi="Times New Roman" w:cs="Times New Roman"/>
          <w:sz w:val="28"/>
          <w:szCs w:val="28"/>
        </w:rPr>
        <w:t xml:space="preserve"> законопроектом – 223,93 млн рублей) на реализацию мероприятий </w:t>
      </w:r>
      <w:r w:rsidRPr="00522104">
        <w:rPr>
          <w:rFonts w:ascii="Times New Roman" w:hAnsi="Times New Roman" w:cs="Times New Roman"/>
          <w:b/>
          <w:bCs/>
          <w:i/>
          <w:iCs/>
          <w:sz w:val="28"/>
          <w:szCs w:val="28"/>
        </w:rPr>
        <w:t xml:space="preserve">ФП </w:t>
      </w:r>
      <w:r w:rsidRPr="00522104">
        <w:rPr>
          <w:rFonts w:ascii="Times New Roman" w:hAnsi="Times New Roman" w:cs="Times New Roman"/>
          <w:b/>
          <w:i/>
          <w:sz w:val="28"/>
          <w:szCs w:val="28"/>
        </w:rPr>
        <w:t>"Содействие занятости"</w:t>
      </w:r>
      <w:r w:rsidRPr="00522104">
        <w:rPr>
          <w:rFonts w:ascii="Times New Roman" w:hAnsi="Times New Roman" w:cs="Times New Roman"/>
          <w:sz w:val="28"/>
          <w:szCs w:val="28"/>
        </w:rPr>
        <w:t xml:space="preserve"> (предусмотрено законом на 2022 год 283,90 млн рублей</w:t>
      </w:r>
      <w:r w:rsidR="00AD4D4E"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211,93 млн рублей), в том числе уменьшены бюджетные ассигнования на:</w:t>
      </w:r>
    </w:p>
    <w:p w14:paraId="612070E7" w14:textId="3B62A95B"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предоставление субсидий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 на 71,97 млн рублей, или на 26,50 % (предусмотрено законом на 2022 год </w:t>
      </w:r>
      <w:r w:rsidR="00AD4D4E" w:rsidRPr="00522104">
        <w:rPr>
          <w:rFonts w:ascii="Times New Roman" w:hAnsi="Times New Roman" w:cs="Times New Roman"/>
          <w:sz w:val="28"/>
          <w:szCs w:val="28"/>
        </w:rPr>
        <w:t>271,56 млн рублей,</w:t>
      </w:r>
      <w:r w:rsidRPr="00522104">
        <w:rPr>
          <w:rFonts w:ascii="Times New Roman" w:hAnsi="Times New Roman" w:cs="Times New Roman"/>
          <w:sz w:val="28"/>
          <w:szCs w:val="28"/>
        </w:rPr>
        <w:t xml:space="preserve"> законопроектом – 199,59 млн рублей).</w:t>
      </w:r>
    </w:p>
    <w:p w14:paraId="349831B9"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Законопроектом на 2022 год предусмотрены расходы на </w:t>
      </w:r>
      <w:r w:rsidRPr="00522104">
        <w:rPr>
          <w:rFonts w:ascii="Times New Roman" w:hAnsi="Times New Roman" w:cs="Times New Roman"/>
          <w:b/>
          <w:i/>
          <w:sz w:val="28"/>
          <w:szCs w:val="28"/>
        </w:rPr>
        <w:t>ФП "Финансовая поддержка семей при рождении детей"</w:t>
      </w:r>
      <w:r w:rsidRPr="00522104">
        <w:rPr>
          <w:rFonts w:ascii="Times New Roman" w:hAnsi="Times New Roman" w:cs="Times New Roman"/>
          <w:sz w:val="28"/>
          <w:szCs w:val="28"/>
        </w:rPr>
        <w:t xml:space="preserve"> в объеме 12,0 млн рублей, что соответствует утвержденным назначениям.</w:t>
      </w:r>
    </w:p>
    <w:p w14:paraId="4DB85DF3" w14:textId="77777777" w:rsidR="00827437" w:rsidRPr="00522104" w:rsidRDefault="00827437" w:rsidP="00827437">
      <w:pPr>
        <w:spacing w:after="0" w:line="240" w:lineRule="auto"/>
        <w:ind w:firstLine="720"/>
        <w:jc w:val="center"/>
        <w:rPr>
          <w:rFonts w:ascii="Times New Roman" w:eastAsia="Times New Roman" w:hAnsi="Times New Roman" w:cs="Times New Roman"/>
          <w:sz w:val="28"/>
          <w:szCs w:val="28"/>
          <w:lang w:eastAsia="ru-RU"/>
        </w:rPr>
      </w:pPr>
    </w:p>
    <w:p w14:paraId="34F901A7"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12512" behindDoc="0" locked="0" layoutInCell="1" allowOverlap="1" wp14:anchorId="5CE69EE3" wp14:editId="166A51A5">
            <wp:simplePos x="0" y="0"/>
            <wp:positionH relativeFrom="column">
              <wp:posOffset>242570</wp:posOffset>
            </wp:positionH>
            <wp:positionV relativeFrom="paragraph">
              <wp:posOffset>76200</wp:posOffset>
            </wp:positionV>
            <wp:extent cx="1381125" cy="962660"/>
            <wp:effectExtent l="0" t="0" r="0" b="0"/>
            <wp:wrapSquare wrapText="bothSides"/>
            <wp:docPr id="21" name="Рисунок 21" descr="C:\Users\zavzyataya_sv\Desktop\Картинки\people-infographic-png-1-png-image-infographic-people-png-1280_720.png"/>
            <wp:cNvGraphicFramePr/>
            <a:graphic xmlns:a="http://schemas.openxmlformats.org/drawingml/2006/main">
              <a:graphicData uri="http://schemas.openxmlformats.org/drawingml/2006/picture">
                <pic:pic xmlns:pic="http://schemas.openxmlformats.org/drawingml/2006/picture">
                  <pic:nvPicPr>
                    <pic:cNvPr id="10" name="Рисунок 10" descr="C:\Users\zavzyataya_sv\Desktop\Картинки\people-infographic-png-1-png-image-infographic-people-png-1280_720.png"/>
                    <pic:cNvPicPr/>
                  </pic:nvPicPr>
                  <pic:blipFill rotWithShape="1">
                    <a:blip r:embed="rId32" cstate="print">
                      <a:extLst>
                        <a:ext uri="{28A0092B-C50C-407E-A947-70E740481C1C}">
                          <a14:useLocalDpi xmlns:a14="http://schemas.microsoft.com/office/drawing/2010/main" val="0"/>
                        </a:ext>
                      </a:extLst>
                    </a:blip>
                    <a:srcRect l="9482" t="15552" r="11364"/>
                    <a:stretch/>
                  </pic:blipFill>
                  <pic:spPr bwMode="auto">
                    <a:xfrm>
                      <a:off x="0" y="0"/>
                      <a:ext cx="1381125" cy="962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"Социальная поддержка населения Приморского края"</w:t>
      </w:r>
    </w:p>
    <w:p w14:paraId="4FC13D5B"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бюджетные ассигнования на реализацию ГП на 2022 год предусмотрены в объеме 30552,28 млн рублей, из них за счет средств федерального бюджета – 15782,67 млн рублей, краевого бюджета –14769,61 млн рублей.</w:t>
      </w:r>
      <w:r w:rsidRPr="00522104">
        <w:rPr>
          <w:rFonts w:ascii="Times New Roman" w:eastAsia="Times New Roman" w:hAnsi="Times New Roman" w:cs="Times New Roman"/>
          <w:sz w:val="28"/>
          <w:szCs w:val="28"/>
          <w:lang w:eastAsia="ru-RU"/>
        </w:rPr>
        <w:tab/>
      </w:r>
    </w:p>
    <w:p w14:paraId="435BB62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на исполнение мероприятий ГП предусмотрены по министерству труда и социальной политики Приморского края (28642,30 млн рублей), министерству образования и науки Приморского края (1476,62 млн рублей), министерству физической культуры и спорта Приморского края (9,13 млн рублей), министерству культуры и архивного дела Приморского края (1,89 млн рублей), </w:t>
      </w:r>
      <w:r w:rsidRPr="00522104">
        <w:rPr>
          <w:rFonts w:ascii="Times New Roman" w:eastAsia="Times New Roman" w:hAnsi="Times New Roman" w:cs="Times New Roman"/>
          <w:sz w:val="28"/>
          <w:szCs w:val="24"/>
          <w:lang w:eastAsia="ru-RU"/>
        </w:rPr>
        <w:t>министерству здравоохранения Приморского</w:t>
      </w:r>
      <w:r w:rsidRPr="00522104">
        <w:rPr>
          <w:rFonts w:ascii="Times New Roman" w:eastAsia="Times New Roman" w:hAnsi="Times New Roman" w:cs="Times New Roman"/>
          <w:sz w:val="28"/>
          <w:szCs w:val="28"/>
          <w:lang w:eastAsia="ru-RU"/>
        </w:rPr>
        <w:t xml:space="preserve"> края (5,45 млн рублей), министерству строительства (411,83 млн рублей), министерству земельных и имущественных отношений Приморского края (4,59 млн рублей), министерству профессионального образования и занятости (0,47 млн рублей).</w:t>
      </w:r>
    </w:p>
    <w:p w14:paraId="3067FE2A" w14:textId="3536E2E5"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на 2022 год в рамках мероприятий ГП предусмотрена реализация НП "Демография" в объеме 6362,11 млн рублей (ФП "Финансовая поддержка семей при рождении детей" и "Старшее поколение"), что составляет 21,09 % в общем объеме расходов на реализацию мероприятий программы в целом. Объем средств на 2022 год, предлагаемый законопроектом, на 81,1</w:t>
      </w:r>
      <w:r w:rsidR="00C514E1" w:rsidRPr="00522104">
        <w:rPr>
          <w:rFonts w:ascii="Times New Roman" w:eastAsia="Times New Roman" w:hAnsi="Times New Roman" w:cs="Times New Roman"/>
          <w:sz w:val="28"/>
          <w:szCs w:val="28"/>
          <w:lang w:eastAsia="ru-RU"/>
        </w:rPr>
        <w:t>1</w:t>
      </w:r>
      <w:r w:rsidRPr="00522104">
        <w:rPr>
          <w:rFonts w:ascii="Times New Roman" w:eastAsia="Times New Roman" w:hAnsi="Times New Roman" w:cs="Times New Roman"/>
          <w:sz w:val="28"/>
          <w:szCs w:val="28"/>
          <w:lang w:eastAsia="ru-RU"/>
        </w:rPr>
        <w:t xml:space="preserve"> млн рублей ниже утвержденных назначений (6443,23 млн рублей), но на 546,83 млн рублей выше, чем утверждено на 2021 год (5815,28 млн рублей). </w:t>
      </w:r>
    </w:p>
    <w:p w14:paraId="208E5EBC"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Распределение бюджетных ассигнований на финансовое обеспечение ГП в разрезе подпрограмм с указанием федеральных проектов на 2022 год представлено в таблице. </w:t>
      </w:r>
    </w:p>
    <w:p w14:paraId="10D52519" w14:textId="55AD7A3D" w:rsidR="00827437" w:rsidRPr="00522104" w:rsidRDefault="00827437" w:rsidP="00827437">
      <w:pPr>
        <w:spacing w:after="0" w:line="240" w:lineRule="auto"/>
        <w:jc w:val="both"/>
        <w:rPr>
          <w:rFonts w:ascii="Times New Roman" w:eastAsia="Times New Roman" w:hAnsi="Times New Roman" w:cs="Times New Roman"/>
          <w:lang w:eastAsia="ru-RU"/>
        </w:rPr>
      </w:pPr>
      <w:r w:rsidRPr="00522104">
        <w:rPr>
          <w:rFonts w:ascii="Times New Roman" w:eastAsia="Times New Roman" w:hAnsi="Times New Roman" w:cs="Times New Roman"/>
          <w:sz w:val="28"/>
          <w:szCs w:val="28"/>
          <w:lang w:eastAsia="ru-RU"/>
        </w:rPr>
        <w:tab/>
      </w:r>
      <w:r w:rsidRPr="00522104">
        <w:rPr>
          <w:rFonts w:ascii="Times New Roman" w:eastAsia="Times New Roman" w:hAnsi="Times New Roman" w:cs="Times New Roman"/>
          <w:sz w:val="28"/>
          <w:szCs w:val="28"/>
          <w:lang w:eastAsia="ru-RU"/>
        </w:rPr>
        <w:tab/>
      </w:r>
      <w:r w:rsidRPr="00522104">
        <w:rPr>
          <w:rFonts w:ascii="Times New Roman" w:eastAsia="Times New Roman" w:hAnsi="Times New Roman" w:cs="Times New Roman"/>
          <w:sz w:val="28"/>
          <w:szCs w:val="28"/>
          <w:lang w:eastAsia="ru-RU"/>
        </w:rPr>
        <w:tab/>
      </w:r>
      <w:r w:rsidRPr="00522104">
        <w:rPr>
          <w:rFonts w:ascii="Times New Roman" w:eastAsia="Times New Roman" w:hAnsi="Times New Roman" w:cs="Times New Roman"/>
          <w:sz w:val="28"/>
          <w:szCs w:val="28"/>
          <w:lang w:eastAsia="ru-RU"/>
        </w:rPr>
        <w:tab/>
      </w:r>
      <w:r w:rsidRPr="00522104">
        <w:rPr>
          <w:rFonts w:ascii="Times New Roman" w:eastAsia="Times New Roman" w:hAnsi="Times New Roman" w:cs="Times New Roman"/>
          <w:sz w:val="28"/>
          <w:szCs w:val="28"/>
          <w:lang w:eastAsia="ru-RU"/>
        </w:rPr>
        <w:tab/>
      </w:r>
    </w:p>
    <w:tbl>
      <w:tblPr>
        <w:tblStyle w:val="af2"/>
        <w:tblW w:w="10096" w:type="dxa"/>
        <w:tblInd w:w="-567" w:type="dxa"/>
        <w:tblLayout w:type="fixed"/>
        <w:tblLook w:val="04A0" w:firstRow="1" w:lastRow="0" w:firstColumn="1" w:lastColumn="0" w:noHBand="0" w:noVBand="1"/>
      </w:tblPr>
      <w:tblGrid>
        <w:gridCol w:w="1848"/>
        <w:gridCol w:w="851"/>
        <w:gridCol w:w="851"/>
        <w:gridCol w:w="850"/>
        <w:gridCol w:w="851"/>
        <w:gridCol w:w="876"/>
        <w:gridCol w:w="850"/>
        <w:gridCol w:w="851"/>
        <w:gridCol w:w="762"/>
        <w:gridCol w:w="797"/>
        <w:gridCol w:w="709"/>
      </w:tblGrid>
      <w:tr w:rsidR="00827437" w:rsidRPr="005942F8" w14:paraId="4C5CF433" w14:textId="77777777" w:rsidTr="00E879D0">
        <w:trPr>
          <w:trHeight w:val="300"/>
          <w:tblHeader/>
        </w:trPr>
        <w:tc>
          <w:tcPr>
            <w:tcW w:w="1848" w:type="dxa"/>
            <w:tcBorders>
              <w:top w:val="nil"/>
              <w:left w:val="nil"/>
              <w:bottom w:val="single" w:sz="4" w:space="0" w:color="auto"/>
              <w:right w:val="nil"/>
            </w:tcBorders>
          </w:tcPr>
          <w:p w14:paraId="5BFCD88B" w14:textId="77777777" w:rsidR="00827437" w:rsidRPr="00522104" w:rsidRDefault="00827437" w:rsidP="00E40BEE">
            <w:pPr>
              <w:jc w:val="center"/>
              <w:rPr>
                <w:rFonts w:ascii="Times New Roman" w:eastAsia="Times New Roman" w:hAnsi="Times New Roman" w:cs="Times New Roman"/>
                <w:bCs/>
                <w:sz w:val="18"/>
                <w:szCs w:val="18"/>
                <w:lang w:eastAsia="ru-RU"/>
              </w:rPr>
            </w:pPr>
          </w:p>
        </w:tc>
        <w:tc>
          <w:tcPr>
            <w:tcW w:w="2552" w:type="dxa"/>
            <w:gridSpan w:val="3"/>
            <w:tcBorders>
              <w:top w:val="nil"/>
              <w:left w:val="nil"/>
              <w:bottom w:val="single" w:sz="4" w:space="0" w:color="auto"/>
              <w:right w:val="nil"/>
            </w:tcBorders>
          </w:tcPr>
          <w:p w14:paraId="0E0C29A3" w14:textId="77777777" w:rsidR="00827437" w:rsidRPr="00522104" w:rsidRDefault="00827437" w:rsidP="00E40BEE">
            <w:pPr>
              <w:jc w:val="center"/>
              <w:rPr>
                <w:rFonts w:ascii="Times New Roman" w:eastAsia="Times New Roman" w:hAnsi="Times New Roman" w:cs="Times New Roman"/>
                <w:bCs/>
                <w:sz w:val="18"/>
                <w:szCs w:val="18"/>
                <w:lang w:eastAsia="ru-RU"/>
              </w:rPr>
            </w:pPr>
          </w:p>
        </w:tc>
        <w:tc>
          <w:tcPr>
            <w:tcW w:w="2577" w:type="dxa"/>
            <w:gridSpan w:val="3"/>
            <w:tcBorders>
              <w:top w:val="nil"/>
              <w:left w:val="nil"/>
              <w:bottom w:val="single" w:sz="4" w:space="0" w:color="auto"/>
              <w:right w:val="nil"/>
            </w:tcBorders>
          </w:tcPr>
          <w:p w14:paraId="03A5FD3A" w14:textId="77777777" w:rsidR="00827437" w:rsidRPr="00522104" w:rsidRDefault="00827437" w:rsidP="00E40BEE">
            <w:pPr>
              <w:jc w:val="center"/>
              <w:rPr>
                <w:rFonts w:ascii="Times New Roman" w:eastAsia="Times New Roman" w:hAnsi="Times New Roman" w:cs="Times New Roman"/>
                <w:bCs/>
                <w:sz w:val="18"/>
                <w:szCs w:val="18"/>
                <w:lang w:eastAsia="ru-RU"/>
              </w:rPr>
            </w:pPr>
          </w:p>
        </w:tc>
        <w:tc>
          <w:tcPr>
            <w:tcW w:w="3119" w:type="dxa"/>
            <w:gridSpan w:val="4"/>
            <w:tcBorders>
              <w:top w:val="nil"/>
              <w:left w:val="nil"/>
              <w:bottom w:val="single" w:sz="4" w:space="0" w:color="auto"/>
              <w:right w:val="nil"/>
            </w:tcBorders>
          </w:tcPr>
          <w:p w14:paraId="11F05797" w14:textId="77777777" w:rsidR="00827437" w:rsidRPr="005942F8" w:rsidRDefault="00827437" w:rsidP="00E40BEE">
            <w:pPr>
              <w:jc w:val="right"/>
              <w:rPr>
                <w:rFonts w:ascii="Times New Roman" w:eastAsia="Times New Roman" w:hAnsi="Times New Roman" w:cs="Times New Roman"/>
                <w:bCs/>
                <w:sz w:val="20"/>
                <w:szCs w:val="20"/>
                <w:lang w:eastAsia="ru-RU"/>
              </w:rPr>
            </w:pPr>
            <w:r w:rsidRPr="005942F8">
              <w:rPr>
                <w:rFonts w:ascii="Times New Roman" w:eastAsia="Times New Roman" w:hAnsi="Times New Roman" w:cs="Times New Roman"/>
                <w:bCs/>
                <w:sz w:val="20"/>
                <w:szCs w:val="20"/>
                <w:lang w:eastAsia="ru-RU"/>
              </w:rPr>
              <w:t>(млн рублей)</w:t>
            </w:r>
          </w:p>
        </w:tc>
      </w:tr>
      <w:tr w:rsidR="00827437" w:rsidRPr="00522104" w14:paraId="71E4EF9D" w14:textId="77777777" w:rsidTr="00E879D0">
        <w:trPr>
          <w:trHeight w:val="300"/>
          <w:tblHeader/>
        </w:trPr>
        <w:tc>
          <w:tcPr>
            <w:tcW w:w="1848" w:type="dxa"/>
            <w:vMerge w:val="restart"/>
            <w:tcBorders>
              <w:top w:val="single" w:sz="4" w:space="0" w:color="auto"/>
            </w:tcBorders>
            <w:vAlign w:val="center"/>
            <w:hideMark/>
          </w:tcPr>
          <w:p w14:paraId="25113926" w14:textId="77777777" w:rsidR="00827437" w:rsidRPr="00522104" w:rsidRDefault="00827437"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Наименование</w:t>
            </w:r>
          </w:p>
        </w:tc>
        <w:tc>
          <w:tcPr>
            <w:tcW w:w="2552" w:type="dxa"/>
            <w:gridSpan w:val="3"/>
            <w:tcBorders>
              <w:top w:val="single" w:sz="4" w:space="0" w:color="auto"/>
            </w:tcBorders>
            <w:vAlign w:val="center"/>
            <w:hideMark/>
          </w:tcPr>
          <w:p w14:paraId="20CA1A82" w14:textId="77777777" w:rsidR="00827437" w:rsidRPr="00522104" w:rsidRDefault="00827437"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Закон № 969-КЗ</w:t>
            </w:r>
          </w:p>
        </w:tc>
        <w:tc>
          <w:tcPr>
            <w:tcW w:w="2577" w:type="dxa"/>
            <w:gridSpan w:val="3"/>
            <w:tcBorders>
              <w:top w:val="single" w:sz="4" w:space="0" w:color="auto"/>
            </w:tcBorders>
            <w:vAlign w:val="center"/>
            <w:hideMark/>
          </w:tcPr>
          <w:p w14:paraId="0467AD72" w14:textId="77777777" w:rsidR="00827437" w:rsidRPr="00522104" w:rsidRDefault="00827437"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Законопроект</w:t>
            </w:r>
          </w:p>
        </w:tc>
        <w:tc>
          <w:tcPr>
            <w:tcW w:w="3119" w:type="dxa"/>
            <w:gridSpan w:val="4"/>
            <w:tcBorders>
              <w:top w:val="single" w:sz="4" w:space="0" w:color="auto"/>
            </w:tcBorders>
            <w:vAlign w:val="center"/>
            <w:hideMark/>
          </w:tcPr>
          <w:p w14:paraId="18759514" w14:textId="77777777" w:rsidR="00827437" w:rsidRPr="00522104" w:rsidRDefault="00827437"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Отклонения законопроекта к утвержденным назначениям</w:t>
            </w:r>
          </w:p>
        </w:tc>
      </w:tr>
      <w:tr w:rsidR="001363AF" w:rsidRPr="00522104" w14:paraId="0AD5C34E" w14:textId="77777777" w:rsidTr="00E879D0">
        <w:trPr>
          <w:trHeight w:val="510"/>
          <w:tblHeader/>
        </w:trPr>
        <w:tc>
          <w:tcPr>
            <w:tcW w:w="1848" w:type="dxa"/>
            <w:vMerge/>
            <w:vAlign w:val="center"/>
            <w:hideMark/>
          </w:tcPr>
          <w:p w14:paraId="76C94195" w14:textId="77777777" w:rsidR="001363AF" w:rsidRPr="00522104" w:rsidRDefault="001363AF" w:rsidP="00E40BEE">
            <w:pPr>
              <w:jc w:val="center"/>
              <w:rPr>
                <w:rFonts w:ascii="Times New Roman" w:eastAsia="Times New Roman" w:hAnsi="Times New Roman" w:cs="Times New Roman"/>
                <w:bCs/>
                <w:sz w:val="18"/>
                <w:szCs w:val="18"/>
                <w:lang w:eastAsia="ru-RU"/>
              </w:rPr>
            </w:pPr>
          </w:p>
        </w:tc>
        <w:tc>
          <w:tcPr>
            <w:tcW w:w="851" w:type="dxa"/>
            <w:vMerge w:val="restart"/>
            <w:vAlign w:val="center"/>
            <w:hideMark/>
          </w:tcPr>
          <w:p w14:paraId="6690233C" w14:textId="4B0D0B4D" w:rsidR="001363AF" w:rsidRPr="00522104" w:rsidRDefault="001363AF" w:rsidP="00E879D0">
            <w:pPr>
              <w:ind w:left="-113"/>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Первона</w:t>
            </w:r>
            <w:r w:rsidR="00E879D0">
              <w:rPr>
                <w:rFonts w:ascii="Times New Roman" w:eastAsia="Times New Roman" w:hAnsi="Times New Roman" w:cs="Times New Roman"/>
                <w:bCs/>
                <w:sz w:val="18"/>
                <w:szCs w:val="18"/>
                <w:lang w:eastAsia="ru-RU"/>
              </w:rPr>
              <w:t>-</w:t>
            </w:r>
            <w:r w:rsidRPr="00522104">
              <w:rPr>
                <w:rFonts w:ascii="Times New Roman" w:eastAsia="Times New Roman" w:hAnsi="Times New Roman" w:cs="Times New Roman"/>
                <w:bCs/>
                <w:sz w:val="18"/>
                <w:szCs w:val="18"/>
                <w:lang w:eastAsia="ru-RU"/>
              </w:rPr>
              <w:t>чальная редакция</w:t>
            </w:r>
          </w:p>
          <w:p w14:paraId="21E5F288" w14:textId="42A49EF8" w:rsidR="001363AF" w:rsidRPr="00522104" w:rsidRDefault="001363AF" w:rsidP="00E879D0">
            <w:pPr>
              <w:ind w:left="-113"/>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2021 год</w:t>
            </w:r>
          </w:p>
        </w:tc>
        <w:tc>
          <w:tcPr>
            <w:tcW w:w="1701" w:type="dxa"/>
            <w:gridSpan w:val="2"/>
            <w:noWrap/>
            <w:vAlign w:val="center"/>
            <w:hideMark/>
          </w:tcPr>
          <w:p w14:paraId="0D96198F"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8 редакция</w:t>
            </w:r>
          </w:p>
        </w:tc>
        <w:tc>
          <w:tcPr>
            <w:tcW w:w="851" w:type="dxa"/>
            <w:vMerge w:val="restart"/>
            <w:noWrap/>
            <w:vAlign w:val="center"/>
            <w:hideMark/>
          </w:tcPr>
          <w:p w14:paraId="525F47BC"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2022 год</w:t>
            </w:r>
          </w:p>
        </w:tc>
        <w:tc>
          <w:tcPr>
            <w:tcW w:w="876" w:type="dxa"/>
            <w:vMerge w:val="restart"/>
            <w:noWrap/>
            <w:vAlign w:val="center"/>
            <w:hideMark/>
          </w:tcPr>
          <w:p w14:paraId="2C4FC766"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2023 год</w:t>
            </w:r>
          </w:p>
        </w:tc>
        <w:tc>
          <w:tcPr>
            <w:tcW w:w="850" w:type="dxa"/>
            <w:vMerge w:val="restart"/>
            <w:noWrap/>
            <w:vAlign w:val="center"/>
            <w:hideMark/>
          </w:tcPr>
          <w:p w14:paraId="0BA14E34"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2024 год</w:t>
            </w:r>
          </w:p>
        </w:tc>
        <w:tc>
          <w:tcPr>
            <w:tcW w:w="1613" w:type="dxa"/>
            <w:gridSpan w:val="2"/>
            <w:noWrap/>
            <w:vAlign w:val="center"/>
            <w:hideMark/>
          </w:tcPr>
          <w:p w14:paraId="4641D291"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2022/2021</w:t>
            </w:r>
          </w:p>
        </w:tc>
        <w:tc>
          <w:tcPr>
            <w:tcW w:w="1506" w:type="dxa"/>
            <w:gridSpan w:val="2"/>
            <w:noWrap/>
            <w:vAlign w:val="center"/>
            <w:hideMark/>
          </w:tcPr>
          <w:p w14:paraId="6637EEEC"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2022/2022</w:t>
            </w:r>
          </w:p>
        </w:tc>
      </w:tr>
      <w:tr w:rsidR="001363AF" w:rsidRPr="00522104" w14:paraId="66AD4B9B" w14:textId="77777777" w:rsidTr="00E879D0">
        <w:trPr>
          <w:trHeight w:val="300"/>
          <w:tblHeader/>
        </w:trPr>
        <w:tc>
          <w:tcPr>
            <w:tcW w:w="1848" w:type="dxa"/>
            <w:vMerge/>
            <w:vAlign w:val="center"/>
            <w:hideMark/>
          </w:tcPr>
          <w:p w14:paraId="45B24C92" w14:textId="77777777" w:rsidR="001363AF" w:rsidRPr="00522104" w:rsidRDefault="001363AF" w:rsidP="00E40BEE">
            <w:pPr>
              <w:jc w:val="center"/>
              <w:rPr>
                <w:rFonts w:ascii="Times New Roman" w:eastAsia="Times New Roman" w:hAnsi="Times New Roman" w:cs="Times New Roman"/>
                <w:bCs/>
                <w:sz w:val="18"/>
                <w:szCs w:val="18"/>
                <w:lang w:eastAsia="ru-RU"/>
              </w:rPr>
            </w:pPr>
          </w:p>
        </w:tc>
        <w:tc>
          <w:tcPr>
            <w:tcW w:w="851" w:type="dxa"/>
            <w:vMerge/>
            <w:vAlign w:val="center"/>
            <w:hideMark/>
          </w:tcPr>
          <w:p w14:paraId="64305095" w14:textId="46592FEB" w:rsidR="001363AF" w:rsidRPr="00522104" w:rsidRDefault="001363AF" w:rsidP="00E40BEE">
            <w:pPr>
              <w:jc w:val="center"/>
              <w:rPr>
                <w:rFonts w:ascii="Times New Roman" w:eastAsia="Times New Roman" w:hAnsi="Times New Roman" w:cs="Times New Roman"/>
                <w:bCs/>
                <w:sz w:val="18"/>
                <w:szCs w:val="18"/>
                <w:lang w:eastAsia="ru-RU"/>
              </w:rPr>
            </w:pPr>
          </w:p>
        </w:tc>
        <w:tc>
          <w:tcPr>
            <w:tcW w:w="851" w:type="dxa"/>
            <w:noWrap/>
            <w:vAlign w:val="center"/>
            <w:hideMark/>
          </w:tcPr>
          <w:p w14:paraId="2C905246"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2021 год</w:t>
            </w:r>
          </w:p>
        </w:tc>
        <w:tc>
          <w:tcPr>
            <w:tcW w:w="850" w:type="dxa"/>
            <w:noWrap/>
            <w:vAlign w:val="center"/>
            <w:hideMark/>
          </w:tcPr>
          <w:p w14:paraId="37B121B8"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2022 год</w:t>
            </w:r>
          </w:p>
        </w:tc>
        <w:tc>
          <w:tcPr>
            <w:tcW w:w="851" w:type="dxa"/>
            <w:vMerge/>
            <w:vAlign w:val="center"/>
            <w:hideMark/>
          </w:tcPr>
          <w:p w14:paraId="216764F7" w14:textId="77777777" w:rsidR="001363AF" w:rsidRPr="00522104" w:rsidRDefault="001363AF" w:rsidP="00E40BEE">
            <w:pPr>
              <w:jc w:val="center"/>
              <w:rPr>
                <w:rFonts w:ascii="Times New Roman" w:eastAsia="Times New Roman" w:hAnsi="Times New Roman" w:cs="Times New Roman"/>
                <w:bCs/>
                <w:sz w:val="18"/>
                <w:szCs w:val="18"/>
                <w:lang w:eastAsia="ru-RU"/>
              </w:rPr>
            </w:pPr>
          </w:p>
        </w:tc>
        <w:tc>
          <w:tcPr>
            <w:tcW w:w="876" w:type="dxa"/>
            <w:vMerge/>
            <w:vAlign w:val="center"/>
            <w:hideMark/>
          </w:tcPr>
          <w:p w14:paraId="16991865" w14:textId="77777777" w:rsidR="001363AF" w:rsidRPr="00522104" w:rsidRDefault="001363AF" w:rsidP="00E40BEE">
            <w:pPr>
              <w:jc w:val="center"/>
              <w:rPr>
                <w:rFonts w:ascii="Times New Roman" w:eastAsia="Times New Roman" w:hAnsi="Times New Roman" w:cs="Times New Roman"/>
                <w:bCs/>
                <w:sz w:val="18"/>
                <w:szCs w:val="18"/>
                <w:lang w:eastAsia="ru-RU"/>
              </w:rPr>
            </w:pPr>
          </w:p>
        </w:tc>
        <w:tc>
          <w:tcPr>
            <w:tcW w:w="850" w:type="dxa"/>
            <w:vMerge/>
            <w:vAlign w:val="center"/>
            <w:hideMark/>
          </w:tcPr>
          <w:p w14:paraId="0A49AB2B" w14:textId="77777777" w:rsidR="001363AF" w:rsidRPr="00522104" w:rsidRDefault="001363AF" w:rsidP="00E40BEE">
            <w:pPr>
              <w:jc w:val="center"/>
              <w:rPr>
                <w:rFonts w:ascii="Times New Roman" w:eastAsia="Times New Roman" w:hAnsi="Times New Roman" w:cs="Times New Roman"/>
                <w:bCs/>
                <w:sz w:val="18"/>
                <w:szCs w:val="18"/>
                <w:lang w:eastAsia="ru-RU"/>
              </w:rPr>
            </w:pPr>
          </w:p>
        </w:tc>
        <w:tc>
          <w:tcPr>
            <w:tcW w:w="851" w:type="dxa"/>
            <w:noWrap/>
            <w:vAlign w:val="center"/>
            <w:hideMark/>
          </w:tcPr>
          <w:p w14:paraId="4738473E"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сумма</w:t>
            </w:r>
          </w:p>
        </w:tc>
        <w:tc>
          <w:tcPr>
            <w:tcW w:w="762" w:type="dxa"/>
            <w:noWrap/>
            <w:vAlign w:val="center"/>
            <w:hideMark/>
          </w:tcPr>
          <w:p w14:paraId="5511FF52"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w:t>
            </w:r>
          </w:p>
        </w:tc>
        <w:tc>
          <w:tcPr>
            <w:tcW w:w="797" w:type="dxa"/>
            <w:noWrap/>
            <w:vAlign w:val="center"/>
            <w:hideMark/>
          </w:tcPr>
          <w:p w14:paraId="2E7CD8E9"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сумма</w:t>
            </w:r>
          </w:p>
        </w:tc>
        <w:tc>
          <w:tcPr>
            <w:tcW w:w="709" w:type="dxa"/>
            <w:noWrap/>
            <w:vAlign w:val="center"/>
            <w:hideMark/>
          </w:tcPr>
          <w:p w14:paraId="069A409C" w14:textId="77777777" w:rsidR="001363AF" w:rsidRPr="00522104" w:rsidRDefault="001363AF" w:rsidP="00E40BEE">
            <w:pPr>
              <w:jc w:val="cente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w:t>
            </w:r>
          </w:p>
        </w:tc>
      </w:tr>
      <w:tr w:rsidR="00827437" w:rsidRPr="00522104" w14:paraId="21789CFF" w14:textId="77777777" w:rsidTr="00E879D0">
        <w:trPr>
          <w:trHeight w:val="143"/>
          <w:tblHeader/>
        </w:trPr>
        <w:tc>
          <w:tcPr>
            <w:tcW w:w="1848" w:type="dxa"/>
            <w:tcBorders>
              <w:top w:val="nil"/>
              <w:left w:val="single" w:sz="4" w:space="0" w:color="auto"/>
              <w:bottom w:val="single" w:sz="4" w:space="0" w:color="auto"/>
              <w:right w:val="single" w:sz="4" w:space="0" w:color="auto"/>
            </w:tcBorders>
            <w:shd w:val="clear" w:color="DDEBF7" w:fill="FFFFFF"/>
            <w:vAlign w:val="bottom"/>
            <w:hideMark/>
          </w:tcPr>
          <w:p w14:paraId="213A5639"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1</w:t>
            </w:r>
          </w:p>
        </w:tc>
        <w:tc>
          <w:tcPr>
            <w:tcW w:w="851" w:type="dxa"/>
            <w:tcBorders>
              <w:top w:val="nil"/>
              <w:left w:val="nil"/>
              <w:bottom w:val="single" w:sz="4" w:space="0" w:color="auto"/>
              <w:right w:val="single" w:sz="4" w:space="0" w:color="auto"/>
            </w:tcBorders>
            <w:shd w:val="clear" w:color="auto" w:fill="auto"/>
            <w:vAlign w:val="center"/>
          </w:tcPr>
          <w:p w14:paraId="560A852C"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2</w:t>
            </w:r>
          </w:p>
        </w:tc>
        <w:tc>
          <w:tcPr>
            <w:tcW w:w="851" w:type="dxa"/>
            <w:tcBorders>
              <w:top w:val="nil"/>
              <w:left w:val="nil"/>
              <w:bottom w:val="single" w:sz="4" w:space="0" w:color="auto"/>
              <w:right w:val="single" w:sz="4" w:space="0" w:color="auto"/>
            </w:tcBorders>
            <w:shd w:val="clear" w:color="auto" w:fill="auto"/>
            <w:vAlign w:val="center"/>
          </w:tcPr>
          <w:p w14:paraId="6CA3D939"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3</w:t>
            </w:r>
          </w:p>
        </w:tc>
        <w:tc>
          <w:tcPr>
            <w:tcW w:w="850" w:type="dxa"/>
            <w:tcBorders>
              <w:top w:val="nil"/>
              <w:left w:val="nil"/>
              <w:bottom w:val="single" w:sz="4" w:space="0" w:color="auto"/>
              <w:right w:val="single" w:sz="4" w:space="0" w:color="auto"/>
            </w:tcBorders>
            <w:shd w:val="clear" w:color="auto" w:fill="auto"/>
            <w:vAlign w:val="center"/>
          </w:tcPr>
          <w:p w14:paraId="64D163A7"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4</w:t>
            </w:r>
          </w:p>
        </w:tc>
        <w:tc>
          <w:tcPr>
            <w:tcW w:w="851" w:type="dxa"/>
            <w:tcBorders>
              <w:top w:val="nil"/>
              <w:left w:val="nil"/>
              <w:bottom w:val="single" w:sz="4" w:space="0" w:color="auto"/>
              <w:right w:val="single" w:sz="4" w:space="0" w:color="auto"/>
            </w:tcBorders>
            <w:shd w:val="clear" w:color="auto" w:fill="auto"/>
            <w:vAlign w:val="center"/>
          </w:tcPr>
          <w:p w14:paraId="4FE8F8ED"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5</w:t>
            </w:r>
          </w:p>
        </w:tc>
        <w:tc>
          <w:tcPr>
            <w:tcW w:w="876" w:type="dxa"/>
            <w:tcBorders>
              <w:top w:val="nil"/>
              <w:left w:val="nil"/>
              <w:bottom w:val="single" w:sz="4" w:space="0" w:color="auto"/>
              <w:right w:val="single" w:sz="4" w:space="0" w:color="auto"/>
            </w:tcBorders>
            <w:shd w:val="clear" w:color="auto" w:fill="auto"/>
            <w:vAlign w:val="center"/>
          </w:tcPr>
          <w:p w14:paraId="37A26E38"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6</w:t>
            </w:r>
          </w:p>
        </w:tc>
        <w:tc>
          <w:tcPr>
            <w:tcW w:w="850" w:type="dxa"/>
            <w:tcBorders>
              <w:top w:val="nil"/>
              <w:left w:val="nil"/>
              <w:bottom w:val="single" w:sz="4" w:space="0" w:color="auto"/>
              <w:right w:val="single" w:sz="4" w:space="0" w:color="auto"/>
            </w:tcBorders>
            <w:shd w:val="clear" w:color="auto" w:fill="auto"/>
            <w:vAlign w:val="center"/>
          </w:tcPr>
          <w:p w14:paraId="6D6B372D"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7</w:t>
            </w:r>
          </w:p>
        </w:tc>
        <w:tc>
          <w:tcPr>
            <w:tcW w:w="851" w:type="dxa"/>
            <w:tcBorders>
              <w:top w:val="nil"/>
              <w:left w:val="nil"/>
              <w:bottom w:val="single" w:sz="4" w:space="0" w:color="auto"/>
              <w:right w:val="single" w:sz="4" w:space="0" w:color="auto"/>
            </w:tcBorders>
            <w:shd w:val="clear" w:color="auto" w:fill="auto"/>
            <w:vAlign w:val="center"/>
          </w:tcPr>
          <w:p w14:paraId="4530BB93"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8=5-3</w:t>
            </w:r>
          </w:p>
        </w:tc>
        <w:tc>
          <w:tcPr>
            <w:tcW w:w="762" w:type="dxa"/>
            <w:tcBorders>
              <w:top w:val="nil"/>
              <w:left w:val="nil"/>
              <w:bottom w:val="single" w:sz="4" w:space="0" w:color="auto"/>
              <w:right w:val="single" w:sz="4" w:space="0" w:color="auto"/>
            </w:tcBorders>
            <w:shd w:val="clear" w:color="auto" w:fill="auto"/>
            <w:vAlign w:val="center"/>
          </w:tcPr>
          <w:p w14:paraId="7998C48D"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9=5/3</w:t>
            </w:r>
          </w:p>
        </w:tc>
        <w:tc>
          <w:tcPr>
            <w:tcW w:w="797" w:type="dxa"/>
            <w:tcBorders>
              <w:top w:val="nil"/>
              <w:left w:val="nil"/>
              <w:bottom w:val="single" w:sz="4" w:space="0" w:color="auto"/>
              <w:right w:val="single" w:sz="4" w:space="0" w:color="auto"/>
            </w:tcBorders>
            <w:shd w:val="clear" w:color="auto" w:fill="auto"/>
            <w:vAlign w:val="center"/>
          </w:tcPr>
          <w:p w14:paraId="74B9405E"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10=5-4</w:t>
            </w:r>
          </w:p>
        </w:tc>
        <w:tc>
          <w:tcPr>
            <w:tcW w:w="709" w:type="dxa"/>
            <w:tcBorders>
              <w:top w:val="nil"/>
              <w:left w:val="nil"/>
              <w:bottom w:val="single" w:sz="4" w:space="0" w:color="auto"/>
              <w:right w:val="single" w:sz="4" w:space="0" w:color="auto"/>
            </w:tcBorders>
            <w:shd w:val="clear" w:color="auto" w:fill="auto"/>
            <w:vAlign w:val="center"/>
          </w:tcPr>
          <w:p w14:paraId="01E74CC4" w14:textId="77777777" w:rsidR="00827437" w:rsidRPr="00E879D0" w:rsidRDefault="00827437" w:rsidP="00E40BEE">
            <w:pPr>
              <w:jc w:val="center"/>
              <w:rPr>
                <w:rFonts w:ascii="Times New Roman" w:eastAsia="Times New Roman" w:hAnsi="Times New Roman" w:cs="Times New Roman"/>
                <w:bCs/>
                <w:sz w:val="16"/>
                <w:szCs w:val="16"/>
                <w:lang w:eastAsia="ru-RU"/>
              </w:rPr>
            </w:pPr>
            <w:r w:rsidRPr="00E879D0">
              <w:rPr>
                <w:rFonts w:ascii="Times New Roman" w:eastAsia="Times New Roman" w:hAnsi="Times New Roman" w:cs="Times New Roman"/>
                <w:bCs/>
                <w:sz w:val="16"/>
                <w:szCs w:val="16"/>
                <w:lang w:eastAsia="ru-RU"/>
              </w:rPr>
              <w:t>11=5/4</w:t>
            </w:r>
          </w:p>
        </w:tc>
      </w:tr>
      <w:tr w:rsidR="00827437" w:rsidRPr="00522104" w14:paraId="0BEDF5DD" w14:textId="77777777" w:rsidTr="00E879D0">
        <w:trPr>
          <w:trHeight w:val="205"/>
        </w:trPr>
        <w:tc>
          <w:tcPr>
            <w:tcW w:w="1848" w:type="dxa"/>
            <w:hideMark/>
          </w:tcPr>
          <w:p w14:paraId="2B2BB968" w14:textId="77777777" w:rsidR="00827437" w:rsidRPr="005942F8" w:rsidRDefault="00827437" w:rsidP="00E40BEE">
            <w:pPr>
              <w:rPr>
                <w:rFonts w:ascii="Times New Roman" w:eastAsia="Times New Roman" w:hAnsi="Times New Roman" w:cs="Times New Roman"/>
                <w:bCs/>
                <w:sz w:val="18"/>
                <w:szCs w:val="18"/>
                <w:lang w:eastAsia="ru-RU"/>
              </w:rPr>
            </w:pPr>
            <w:r w:rsidRPr="005942F8">
              <w:rPr>
                <w:rFonts w:ascii="Times New Roman" w:eastAsia="Times New Roman" w:hAnsi="Times New Roman" w:cs="Times New Roman"/>
                <w:bCs/>
                <w:sz w:val="18"/>
                <w:szCs w:val="18"/>
                <w:lang w:eastAsia="ru-RU"/>
              </w:rPr>
              <w:t>Подпрограмма "Социальная поддержка семей и детей в Приморском крае"</w:t>
            </w:r>
          </w:p>
        </w:tc>
        <w:tc>
          <w:tcPr>
            <w:tcW w:w="851" w:type="dxa"/>
            <w:noWrap/>
            <w:vAlign w:val="bottom"/>
            <w:hideMark/>
          </w:tcPr>
          <w:p w14:paraId="4774A24C"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12350,19</w:t>
            </w:r>
          </w:p>
        </w:tc>
        <w:tc>
          <w:tcPr>
            <w:tcW w:w="851" w:type="dxa"/>
            <w:noWrap/>
            <w:vAlign w:val="bottom"/>
            <w:hideMark/>
          </w:tcPr>
          <w:p w14:paraId="60831D71"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13805,33</w:t>
            </w:r>
          </w:p>
        </w:tc>
        <w:tc>
          <w:tcPr>
            <w:tcW w:w="850" w:type="dxa"/>
            <w:noWrap/>
            <w:vAlign w:val="bottom"/>
            <w:hideMark/>
          </w:tcPr>
          <w:p w14:paraId="210D5E1B"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12350,67</w:t>
            </w:r>
          </w:p>
        </w:tc>
        <w:tc>
          <w:tcPr>
            <w:tcW w:w="851" w:type="dxa"/>
            <w:noWrap/>
            <w:vAlign w:val="bottom"/>
            <w:hideMark/>
          </w:tcPr>
          <w:p w14:paraId="18DFF46C"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15607,57</w:t>
            </w:r>
          </w:p>
        </w:tc>
        <w:tc>
          <w:tcPr>
            <w:tcW w:w="876" w:type="dxa"/>
            <w:noWrap/>
            <w:vAlign w:val="bottom"/>
            <w:hideMark/>
          </w:tcPr>
          <w:p w14:paraId="62B09911"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16274,20</w:t>
            </w:r>
          </w:p>
        </w:tc>
        <w:tc>
          <w:tcPr>
            <w:tcW w:w="850" w:type="dxa"/>
            <w:noWrap/>
            <w:vAlign w:val="bottom"/>
            <w:hideMark/>
          </w:tcPr>
          <w:p w14:paraId="2BED061B"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16932,13</w:t>
            </w:r>
          </w:p>
        </w:tc>
        <w:tc>
          <w:tcPr>
            <w:tcW w:w="851" w:type="dxa"/>
            <w:noWrap/>
            <w:vAlign w:val="bottom"/>
            <w:hideMark/>
          </w:tcPr>
          <w:p w14:paraId="3F1006FC"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1 802,24</w:t>
            </w:r>
          </w:p>
        </w:tc>
        <w:tc>
          <w:tcPr>
            <w:tcW w:w="762" w:type="dxa"/>
            <w:noWrap/>
            <w:vAlign w:val="bottom"/>
            <w:hideMark/>
          </w:tcPr>
          <w:p w14:paraId="64E8CED5"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113,05</w:t>
            </w:r>
          </w:p>
        </w:tc>
        <w:tc>
          <w:tcPr>
            <w:tcW w:w="797" w:type="dxa"/>
            <w:noWrap/>
            <w:vAlign w:val="bottom"/>
            <w:hideMark/>
          </w:tcPr>
          <w:p w14:paraId="5253A0B0"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3256,89</w:t>
            </w:r>
          </w:p>
        </w:tc>
        <w:tc>
          <w:tcPr>
            <w:tcW w:w="709" w:type="dxa"/>
            <w:noWrap/>
            <w:vAlign w:val="bottom"/>
            <w:hideMark/>
          </w:tcPr>
          <w:p w14:paraId="6D485B93"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126,37</w:t>
            </w:r>
          </w:p>
        </w:tc>
      </w:tr>
      <w:tr w:rsidR="00827437" w:rsidRPr="00522104" w14:paraId="32AA326A" w14:textId="77777777" w:rsidTr="00E879D0">
        <w:trPr>
          <w:trHeight w:val="927"/>
        </w:trPr>
        <w:tc>
          <w:tcPr>
            <w:tcW w:w="1848" w:type="dxa"/>
            <w:hideMark/>
          </w:tcPr>
          <w:p w14:paraId="42FDE2A5" w14:textId="77777777" w:rsidR="00827437" w:rsidRPr="00522104" w:rsidRDefault="00827437" w:rsidP="00E40BEE">
            <w:pPr>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Федеральный проект "Финансовая поддержка семей при рождении детей"</w:t>
            </w:r>
          </w:p>
        </w:tc>
        <w:tc>
          <w:tcPr>
            <w:tcW w:w="851" w:type="dxa"/>
            <w:noWrap/>
            <w:vAlign w:val="bottom"/>
            <w:hideMark/>
          </w:tcPr>
          <w:p w14:paraId="20ECB919"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5318,15</w:t>
            </w:r>
          </w:p>
        </w:tc>
        <w:tc>
          <w:tcPr>
            <w:tcW w:w="851" w:type="dxa"/>
            <w:noWrap/>
            <w:vAlign w:val="bottom"/>
            <w:hideMark/>
          </w:tcPr>
          <w:p w14:paraId="3485AFCD"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5 229,48</w:t>
            </w:r>
          </w:p>
        </w:tc>
        <w:tc>
          <w:tcPr>
            <w:tcW w:w="850" w:type="dxa"/>
            <w:noWrap/>
            <w:vAlign w:val="bottom"/>
            <w:hideMark/>
          </w:tcPr>
          <w:p w14:paraId="07B61C66"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5524,28</w:t>
            </w:r>
          </w:p>
        </w:tc>
        <w:tc>
          <w:tcPr>
            <w:tcW w:w="851" w:type="dxa"/>
            <w:noWrap/>
            <w:vAlign w:val="bottom"/>
            <w:hideMark/>
          </w:tcPr>
          <w:p w14:paraId="706C2F1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5401,92</w:t>
            </w:r>
          </w:p>
        </w:tc>
        <w:tc>
          <w:tcPr>
            <w:tcW w:w="876" w:type="dxa"/>
            <w:noWrap/>
            <w:vAlign w:val="bottom"/>
            <w:hideMark/>
          </w:tcPr>
          <w:p w14:paraId="0158AFB4"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5627,39</w:t>
            </w:r>
          </w:p>
        </w:tc>
        <w:tc>
          <w:tcPr>
            <w:tcW w:w="850" w:type="dxa"/>
            <w:noWrap/>
            <w:vAlign w:val="bottom"/>
            <w:hideMark/>
          </w:tcPr>
          <w:p w14:paraId="42592E2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5 865,79</w:t>
            </w:r>
          </w:p>
        </w:tc>
        <w:tc>
          <w:tcPr>
            <w:tcW w:w="851" w:type="dxa"/>
            <w:noWrap/>
            <w:vAlign w:val="bottom"/>
            <w:hideMark/>
          </w:tcPr>
          <w:p w14:paraId="724D97D7"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172,44</w:t>
            </w:r>
          </w:p>
        </w:tc>
        <w:tc>
          <w:tcPr>
            <w:tcW w:w="762" w:type="dxa"/>
            <w:noWrap/>
            <w:vAlign w:val="bottom"/>
            <w:hideMark/>
          </w:tcPr>
          <w:p w14:paraId="25C70573"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103,30</w:t>
            </w:r>
          </w:p>
        </w:tc>
        <w:tc>
          <w:tcPr>
            <w:tcW w:w="797" w:type="dxa"/>
            <w:noWrap/>
            <w:vAlign w:val="bottom"/>
            <w:hideMark/>
          </w:tcPr>
          <w:p w14:paraId="5F28C772"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-122,36</w:t>
            </w:r>
          </w:p>
        </w:tc>
        <w:tc>
          <w:tcPr>
            <w:tcW w:w="709" w:type="dxa"/>
            <w:noWrap/>
            <w:vAlign w:val="bottom"/>
            <w:hideMark/>
          </w:tcPr>
          <w:p w14:paraId="3A7842D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97,79</w:t>
            </w:r>
          </w:p>
        </w:tc>
      </w:tr>
      <w:tr w:rsidR="00827437" w:rsidRPr="00522104" w14:paraId="730A7B6D" w14:textId="77777777" w:rsidTr="00E879D0">
        <w:trPr>
          <w:trHeight w:val="1290"/>
        </w:trPr>
        <w:tc>
          <w:tcPr>
            <w:tcW w:w="1848" w:type="dxa"/>
            <w:hideMark/>
          </w:tcPr>
          <w:p w14:paraId="465CD856" w14:textId="77777777" w:rsidR="00827437" w:rsidRPr="00522104" w:rsidRDefault="00827437" w:rsidP="00E40BEE">
            <w:pPr>
              <w:rPr>
                <w:rFonts w:ascii="Times New Roman" w:eastAsia="Times New Roman" w:hAnsi="Times New Roman" w:cs="Times New Roman"/>
                <w:bCs/>
                <w:sz w:val="18"/>
                <w:szCs w:val="18"/>
                <w:lang w:eastAsia="ru-RU"/>
              </w:rPr>
            </w:pPr>
            <w:r w:rsidRPr="00522104">
              <w:rPr>
                <w:rFonts w:ascii="Times New Roman" w:eastAsia="Times New Roman" w:hAnsi="Times New Roman" w:cs="Times New Roman"/>
                <w:bCs/>
                <w:sz w:val="18"/>
                <w:szCs w:val="18"/>
                <w:lang w:eastAsia="ru-RU"/>
              </w:rPr>
              <w:t>Подпрограмма "Социальная поддержка отдельных категорий граждан в Приморском крае"</w:t>
            </w:r>
          </w:p>
        </w:tc>
        <w:tc>
          <w:tcPr>
            <w:tcW w:w="851" w:type="dxa"/>
            <w:noWrap/>
            <w:vAlign w:val="bottom"/>
            <w:hideMark/>
          </w:tcPr>
          <w:p w14:paraId="72E42E2F"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10531,66</w:t>
            </w:r>
          </w:p>
        </w:tc>
        <w:tc>
          <w:tcPr>
            <w:tcW w:w="851" w:type="dxa"/>
            <w:noWrap/>
            <w:vAlign w:val="bottom"/>
            <w:hideMark/>
          </w:tcPr>
          <w:p w14:paraId="36CCC433"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10608,63</w:t>
            </w:r>
          </w:p>
        </w:tc>
        <w:tc>
          <w:tcPr>
            <w:tcW w:w="850" w:type="dxa"/>
            <w:noWrap/>
            <w:vAlign w:val="bottom"/>
            <w:hideMark/>
          </w:tcPr>
          <w:p w14:paraId="688FAD92"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10109,71</w:t>
            </w:r>
          </w:p>
        </w:tc>
        <w:tc>
          <w:tcPr>
            <w:tcW w:w="851" w:type="dxa"/>
            <w:noWrap/>
            <w:vAlign w:val="bottom"/>
            <w:hideMark/>
          </w:tcPr>
          <w:p w14:paraId="6B029A18"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8833,48</w:t>
            </w:r>
          </w:p>
        </w:tc>
        <w:tc>
          <w:tcPr>
            <w:tcW w:w="876" w:type="dxa"/>
            <w:noWrap/>
            <w:vAlign w:val="bottom"/>
            <w:hideMark/>
          </w:tcPr>
          <w:p w14:paraId="5DDE85AD"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10852,17</w:t>
            </w:r>
          </w:p>
        </w:tc>
        <w:tc>
          <w:tcPr>
            <w:tcW w:w="850" w:type="dxa"/>
            <w:noWrap/>
            <w:vAlign w:val="bottom"/>
            <w:hideMark/>
          </w:tcPr>
          <w:p w14:paraId="3CBB1A89"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11260,08</w:t>
            </w:r>
          </w:p>
        </w:tc>
        <w:tc>
          <w:tcPr>
            <w:tcW w:w="851" w:type="dxa"/>
            <w:noWrap/>
            <w:vAlign w:val="bottom"/>
            <w:hideMark/>
          </w:tcPr>
          <w:p w14:paraId="70F5C7B1"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-1775,14</w:t>
            </w:r>
          </w:p>
        </w:tc>
        <w:tc>
          <w:tcPr>
            <w:tcW w:w="762" w:type="dxa"/>
            <w:noWrap/>
            <w:vAlign w:val="bottom"/>
            <w:hideMark/>
          </w:tcPr>
          <w:p w14:paraId="1FFACDE9"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83,27</w:t>
            </w:r>
          </w:p>
        </w:tc>
        <w:tc>
          <w:tcPr>
            <w:tcW w:w="797" w:type="dxa"/>
            <w:noWrap/>
            <w:vAlign w:val="bottom"/>
            <w:hideMark/>
          </w:tcPr>
          <w:p w14:paraId="73BA19D1"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-1276,22</w:t>
            </w:r>
          </w:p>
        </w:tc>
        <w:tc>
          <w:tcPr>
            <w:tcW w:w="709" w:type="dxa"/>
            <w:noWrap/>
            <w:vAlign w:val="bottom"/>
            <w:hideMark/>
          </w:tcPr>
          <w:p w14:paraId="457D4D47" w14:textId="77777777" w:rsidR="00827437" w:rsidRPr="00522104" w:rsidRDefault="00827437" w:rsidP="00E40BEE">
            <w:pPr>
              <w:jc w:val="right"/>
              <w:rPr>
                <w:rFonts w:ascii="Times New Roman" w:eastAsia="Times New Roman" w:hAnsi="Times New Roman" w:cs="Times New Roman"/>
                <w:bCs/>
                <w:sz w:val="16"/>
                <w:szCs w:val="16"/>
                <w:lang w:eastAsia="ru-RU"/>
              </w:rPr>
            </w:pPr>
            <w:r w:rsidRPr="00522104">
              <w:rPr>
                <w:rFonts w:ascii="Times New Roman" w:eastAsia="Times New Roman" w:hAnsi="Times New Roman" w:cs="Times New Roman"/>
                <w:bCs/>
                <w:sz w:val="16"/>
                <w:szCs w:val="16"/>
                <w:lang w:eastAsia="ru-RU"/>
              </w:rPr>
              <w:t>87,38</w:t>
            </w:r>
          </w:p>
        </w:tc>
      </w:tr>
      <w:tr w:rsidR="00827437" w:rsidRPr="00522104" w14:paraId="3A850F64" w14:textId="77777777" w:rsidTr="00E879D0">
        <w:trPr>
          <w:trHeight w:val="980"/>
        </w:trPr>
        <w:tc>
          <w:tcPr>
            <w:tcW w:w="1848" w:type="dxa"/>
            <w:hideMark/>
          </w:tcPr>
          <w:p w14:paraId="742DEE3E" w14:textId="77777777" w:rsidR="00827437" w:rsidRPr="005942F8" w:rsidRDefault="00827437" w:rsidP="00E40BEE">
            <w:pPr>
              <w:rPr>
                <w:rFonts w:ascii="Times New Roman" w:eastAsia="Times New Roman" w:hAnsi="Times New Roman" w:cs="Times New Roman"/>
                <w:bCs/>
                <w:sz w:val="18"/>
                <w:szCs w:val="18"/>
                <w:lang w:eastAsia="ru-RU"/>
              </w:rPr>
            </w:pPr>
            <w:r w:rsidRPr="005942F8">
              <w:rPr>
                <w:rFonts w:ascii="Times New Roman" w:eastAsia="Times New Roman" w:hAnsi="Times New Roman" w:cs="Times New Roman"/>
                <w:bCs/>
                <w:sz w:val="18"/>
                <w:szCs w:val="18"/>
                <w:lang w:eastAsia="ru-RU"/>
              </w:rPr>
              <w:t>Подпрограмма "Обеспечение жильем отдельных категорий граждан в Приморском крае"</w:t>
            </w:r>
          </w:p>
        </w:tc>
        <w:tc>
          <w:tcPr>
            <w:tcW w:w="851" w:type="dxa"/>
            <w:noWrap/>
            <w:vAlign w:val="bottom"/>
            <w:hideMark/>
          </w:tcPr>
          <w:p w14:paraId="2119C539"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394,91</w:t>
            </w:r>
          </w:p>
        </w:tc>
        <w:tc>
          <w:tcPr>
            <w:tcW w:w="851" w:type="dxa"/>
            <w:noWrap/>
            <w:vAlign w:val="bottom"/>
            <w:hideMark/>
          </w:tcPr>
          <w:p w14:paraId="74AFE98E"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628,12</w:t>
            </w:r>
          </w:p>
        </w:tc>
        <w:tc>
          <w:tcPr>
            <w:tcW w:w="850" w:type="dxa"/>
            <w:noWrap/>
            <w:vAlign w:val="bottom"/>
            <w:hideMark/>
          </w:tcPr>
          <w:p w14:paraId="1B9FE23A"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379,11</w:t>
            </w:r>
          </w:p>
        </w:tc>
        <w:tc>
          <w:tcPr>
            <w:tcW w:w="851" w:type="dxa"/>
            <w:noWrap/>
            <w:vAlign w:val="bottom"/>
            <w:hideMark/>
          </w:tcPr>
          <w:p w14:paraId="5FB68570"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639,69</w:t>
            </w:r>
          </w:p>
        </w:tc>
        <w:tc>
          <w:tcPr>
            <w:tcW w:w="876" w:type="dxa"/>
            <w:noWrap/>
            <w:vAlign w:val="bottom"/>
            <w:hideMark/>
          </w:tcPr>
          <w:p w14:paraId="782A06A1"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610,89</w:t>
            </w:r>
          </w:p>
        </w:tc>
        <w:tc>
          <w:tcPr>
            <w:tcW w:w="850" w:type="dxa"/>
            <w:noWrap/>
            <w:vAlign w:val="bottom"/>
            <w:hideMark/>
          </w:tcPr>
          <w:p w14:paraId="7F4D52BC"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607,67</w:t>
            </w:r>
          </w:p>
        </w:tc>
        <w:tc>
          <w:tcPr>
            <w:tcW w:w="851" w:type="dxa"/>
            <w:noWrap/>
            <w:vAlign w:val="bottom"/>
            <w:hideMark/>
          </w:tcPr>
          <w:p w14:paraId="546BE710"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11,57</w:t>
            </w:r>
          </w:p>
        </w:tc>
        <w:tc>
          <w:tcPr>
            <w:tcW w:w="762" w:type="dxa"/>
            <w:noWrap/>
            <w:vAlign w:val="bottom"/>
            <w:hideMark/>
          </w:tcPr>
          <w:p w14:paraId="4A8C38E3"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101,84</w:t>
            </w:r>
          </w:p>
        </w:tc>
        <w:tc>
          <w:tcPr>
            <w:tcW w:w="797" w:type="dxa"/>
            <w:noWrap/>
            <w:vAlign w:val="bottom"/>
            <w:hideMark/>
          </w:tcPr>
          <w:p w14:paraId="006F41C6"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260,58</w:t>
            </w:r>
          </w:p>
        </w:tc>
        <w:tc>
          <w:tcPr>
            <w:tcW w:w="709" w:type="dxa"/>
            <w:noWrap/>
            <w:vAlign w:val="bottom"/>
            <w:hideMark/>
          </w:tcPr>
          <w:p w14:paraId="473AEC39"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168,73</w:t>
            </w:r>
          </w:p>
        </w:tc>
      </w:tr>
      <w:tr w:rsidR="00827437" w:rsidRPr="00522104" w14:paraId="18674012" w14:textId="77777777" w:rsidTr="00E879D0">
        <w:trPr>
          <w:trHeight w:val="829"/>
        </w:trPr>
        <w:tc>
          <w:tcPr>
            <w:tcW w:w="1848" w:type="dxa"/>
            <w:hideMark/>
          </w:tcPr>
          <w:p w14:paraId="1DAC359D" w14:textId="77777777" w:rsidR="00827437" w:rsidRPr="00522104" w:rsidRDefault="00827437" w:rsidP="00E40BEE">
            <w:pPr>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Федеральный проект "Финансовая поддержка семей при рождении детей"</w:t>
            </w:r>
          </w:p>
        </w:tc>
        <w:tc>
          <w:tcPr>
            <w:tcW w:w="851" w:type="dxa"/>
            <w:noWrap/>
            <w:vAlign w:val="bottom"/>
            <w:hideMark/>
          </w:tcPr>
          <w:p w14:paraId="72918A0B"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218,96</w:t>
            </w:r>
          </w:p>
        </w:tc>
        <w:tc>
          <w:tcPr>
            <w:tcW w:w="851" w:type="dxa"/>
            <w:noWrap/>
            <w:vAlign w:val="bottom"/>
            <w:hideMark/>
          </w:tcPr>
          <w:p w14:paraId="5469C92C"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435,15</w:t>
            </w:r>
          </w:p>
        </w:tc>
        <w:tc>
          <w:tcPr>
            <w:tcW w:w="850" w:type="dxa"/>
            <w:noWrap/>
            <w:vAlign w:val="bottom"/>
            <w:hideMark/>
          </w:tcPr>
          <w:p w14:paraId="79577C84"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218,96</w:t>
            </w:r>
          </w:p>
        </w:tc>
        <w:tc>
          <w:tcPr>
            <w:tcW w:w="851" w:type="dxa"/>
            <w:noWrap/>
            <w:vAlign w:val="bottom"/>
            <w:hideMark/>
          </w:tcPr>
          <w:p w14:paraId="2C50C47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422,94</w:t>
            </w:r>
          </w:p>
        </w:tc>
        <w:tc>
          <w:tcPr>
            <w:tcW w:w="876" w:type="dxa"/>
            <w:noWrap/>
            <w:vAlign w:val="bottom"/>
            <w:hideMark/>
          </w:tcPr>
          <w:p w14:paraId="318F0F62"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422,94</w:t>
            </w:r>
          </w:p>
        </w:tc>
        <w:tc>
          <w:tcPr>
            <w:tcW w:w="850" w:type="dxa"/>
            <w:noWrap/>
            <w:vAlign w:val="bottom"/>
            <w:hideMark/>
          </w:tcPr>
          <w:p w14:paraId="584DF4D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422,94</w:t>
            </w:r>
          </w:p>
        </w:tc>
        <w:tc>
          <w:tcPr>
            <w:tcW w:w="851" w:type="dxa"/>
            <w:noWrap/>
            <w:vAlign w:val="bottom"/>
            <w:hideMark/>
          </w:tcPr>
          <w:p w14:paraId="41B7F9C9"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-12,21</w:t>
            </w:r>
          </w:p>
        </w:tc>
        <w:tc>
          <w:tcPr>
            <w:tcW w:w="762" w:type="dxa"/>
            <w:noWrap/>
            <w:vAlign w:val="bottom"/>
            <w:hideMark/>
          </w:tcPr>
          <w:p w14:paraId="49F667A4"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97,19</w:t>
            </w:r>
          </w:p>
        </w:tc>
        <w:tc>
          <w:tcPr>
            <w:tcW w:w="797" w:type="dxa"/>
            <w:noWrap/>
            <w:vAlign w:val="bottom"/>
            <w:hideMark/>
          </w:tcPr>
          <w:p w14:paraId="0CF2CD55"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203,98</w:t>
            </w:r>
          </w:p>
        </w:tc>
        <w:tc>
          <w:tcPr>
            <w:tcW w:w="709" w:type="dxa"/>
            <w:noWrap/>
            <w:vAlign w:val="bottom"/>
            <w:hideMark/>
          </w:tcPr>
          <w:p w14:paraId="59BBE5A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193,16</w:t>
            </w:r>
          </w:p>
        </w:tc>
      </w:tr>
      <w:tr w:rsidR="00827437" w:rsidRPr="00522104" w14:paraId="08DA9028" w14:textId="77777777" w:rsidTr="00E879D0">
        <w:trPr>
          <w:trHeight w:val="1275"/>
        </w:trPr>
        <w:tc>
          <w:tcPr>
            <w:tcW w:w="1848" w:type="dxa"/>
            <w:hideMark/>
          </w:tcPr>
          <w:p w14:paraId="4C11AFAE" w14:textId="77777777" w:rsidR="00827437" w:rsidRPr="005942F8" w:rsidRDefault="00827437" w:rsidP="00E40BEE">
            <w:pPr>
              <w:rPr>
                <w:rFonts w:ascii="Times New Roman" w:eastAsia="Times New Roman" w:hAnsi="Times New Roman" w:cs="Times New Roman"/>
                <w:bCs/>
                <w:sz w:val="18"/>
                <w:szCs w:val="18"/>
                <w:lang w:eastAsia="ru-RU"/>
              </w:rPr>
            </w:pPr>
            <w:r w:rsidRPr="005942F8">
              <w:rPr>
                <w:rFonts w:ascii="Times New Roman" w:eastAsia="Times New Roman" w:hAnsi="Times New Roman" w:cs="Times New Roman"/>
                <w:bCs/>
                <w:sz w:val="18"/>
                <w:szCs w:val="18"/>
                <w:lang w:eastAsia="ru-RU"/>
              </w:rPr>
              <w:t>Подпрограмма "Развитие и модернизация социального обслуживания населения в Приморском крае"</w:t>
            </w:r>
          </w:p>
        </w:tc>
        <w:tc>
          <w:tcPr>
            <w:tcW w:w="851" w:type="dxa"/>
            <w:noWrap/>
            <w:vAlign w:val="bottom"/>
            <w:hideMark/>
          </w:tcPr>
          <w:p w14:paraId="5D8D8871"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4 668,04</w:t>
            </w:r>
          </w:p>
        </w:tc>
        <w:tc>
          <w:tcPr>
            <w:tcW w:w="851" w:type="dxa"/>
            <w:noWrap/>
            <w:vAlign w:val="bottom"/>
            <w:hideMark/>
          </w:tcPr>
          <w:p w14:paraId="19B835EA"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4 768,36</w:t>
            </w:r>
          </w:p>
        </w:tc>
        <w:tc>
          <w:tcPr>
            <w:tcW w:w="850" w:type="dxa"/>
            <w:noWrap/>
            <w:vAlign w:val="bottom"/>
            <w:hideMark/>
          </w:tcPr>
          <w:p w14:paraId="4AF903D6"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5 312,43</w:t>
            </w:r>
          </w:p>
        </w:tc>
        <w:tc>
          <w:tcPr>
            <w:tcW w:w="851" w:type="dxa"/>
            <w:noWrap/>
            <w:vAlign w:val="bottom"/>
            <w:hideMark/>
          </w:tcPr>
          <w:p w14:paraId="4E14FA90"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5 390,30</w:t>
            </w:r>
          </w:p>
        </w:tc>
        <w:tc>
          <w:tcPr>
            <w:tcW w:w="876" w:type="dxa"/>
            <w:noWrap/>
            <w:vAlign w:val="bottom"/>
            <w:hideMark/>
          </w:tcPr>
          <w:p w14:paraId="15DD4DA4"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5 732,36</w:t>
            </w:r>
          </w:p>
        </w:tc>
        <w:tc>
          <w:tcPr>
            <w:tcW w:w="850" w:type="dxa"/>
            <w:noWrap/>
            <w:vAlign w:val="bottom"/>
            <w:hideMark/>
          </w:tcPr>
          <w:p w14:paraId="65F8528F"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5 870,23</w:t>
            </w:r>
          </w:p>
        </w:tc>
        <w:tc>
          <w:tcPr>
            <w:tcW w:w="851" w:type="dxa"/>
            <w:noWrap/>
            <w:vAlign w:val="bottom"/>
            <w:hideMark/>
          </w:tcPr>
          <w:p w14:paraId="02842AD2"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621,94</w:t>
            </w:r>
          </w:p>
        </w:tc>
        <w:tc>
          <w:tcPr>
            <w:tcW w:w="762" w:type="dxa"/>
            <w:noWrap/>
            <w:vAlign w:val="bottom"/>
            <w:hideMark/>
          </w:tcPr>
          <w:p w14:paraId="236B58DD"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113,04</w:t>
            </w:r>
          </w:p>
        </w:tc>
        <w:tc>
          <w:tcPr>
            <w:tcW w:w="797" w:type="dxa"/>
            <w:noWrap/>
            <w:vAlign w:val="bottom"/>
            <w:hideMark/>
          </w:tcPr>
          <w:p w14:paraId="683CCDF5"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77,87</w:t>
            </w:r>
          </w:p>
        </w:tc>
        <w:tc>
          <w:tcPr>
            <w:tcW w:w="709" w:type="dxa"/>
            <w:noWrap/>
            <w:vAlign w:val="bottom"/>
            <w:hideMark/>
          </w:tcPr>
          <w:p w14:paraId="7FB61F45"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101,47</w:t>
            </w:r>
          </w:p>
        </w:tc>
      </w:tr>
      <w:tr w:rsidR="00827437" w:rsidRPr="00522104" w14:paraId="4363E983" w14:textId="77777777" w:rsidTr="00E879D0">
        <w:trPr>
          <w:trHeight w:val="900"/>
        </w:trPr>
        <w:tc>
          <w:tcPr>
            <w:tcW w:w="1848" w:type="dxa"/>
            <w:hideMark/>
          </w:tcPr>
          <w:p w14:paraId="43D90C33" w14:textId="77777777" w:rsidR="00827437" w:rsidRPr="00522104" w:rsidRDefault="00827437" w:rsidP="00E40BEE">
            <w:pPr>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Федеральный проект "Финансовая поддержка семей при рождении детей"</w:t>
            </w:r>
          </w:p>
        </w:tc>
        <w:tc>
          <w:tcPr>
            <w:tcW w:w="851" w:type="dxa"/>
            <w:noWrap/>
            <w:vAlign w:val="bottom"/>
            <w:hideMark/>
          </w:tcPr>
          <w:p w14:paraId="78B5C6C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32,92</w:t>
            </w:r>
          </w:p>
        </w:tc>
        <w:tc>
          <w:tcPr>
            <w:tcW w:w="851" w:type="dxa"/>
            <w:noWrap/>
            <w:vAlign w:val="bottom"/>
            <w:hideMark/>
          </w:tcPr>
          <w:p w14:paraId="7098DB92"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1,00</w:t>
            </w:r>
          </w:p>
        </w:tc>
        <w:tc>
          <w:tcPr>
            <w:tcW w:w="850" w:type="dxa"/>
            <w:noWrap/>
            <w:vAlign w:val="bottom"/>
            <w:hideMark/>
          </w:tcPr>
          <w:p w14:paraId="332C714B"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32,92</w:t>
            </w:r>
          </w:p>
        </w:tc>
        <w:tc>
          <w:tcPr>
            <w:tcW w:w="851" w:type="dxa"/>
            <w:noWrap/>
            <w:vAlign w:val="bottom"/>
            <w:hideMark/>
          </w:tcPr>
          <w:p w14:paraId="4B030A76"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35,33</w:t>
            </w:r>
          </w:p>
        </w:tc>
        <w:tc>
          <w:tcPr>
            <w:tcW w:w="876" w:type="dxa"/>
            <w:noWrap/>
            <w:vAlign w:val="bottom"/>
            <w:hideMark/>
          </w:tcPr>
          <w:p w14:paraId="4EB51DE5"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38,06</w:t>
            </w:r>
          </w:p>
        </w:tc>
        <w:tc>
          <w:tcPr>
            <w:tcW w:w="850" w:type="dxa"/>
            <w:noWrap/>
            <w:vAlign w:val="bottom"/>
            <w:hideMark/>
          </w:tcPr>
          <w:p w14:paraId="1548A98B"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39,47</w:t>
            </w:r>
          </w:p>
        </w:tc>
        <w:tc>
          <w:tcPr>
            <w:tcW w:w="851" w:type="dxa"/>
            <w:noWrap/>
            <w:vAlign w:val="bottom"/>
            <w:hideMark/>
          </w:tcPr>
          <w:p w14:paraId="1F9CFAB0"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34,33</w:t>
            </w:r>
          </w:p>
        </w:tc>
        <w:tc>
          <w:tcPr>
            <w:tcW w:w="762" w:type="dxa"/>
            <w:noWrap/>
            <w:vAlign w:val="bottom"/>
            <w:hideMark/>
          </w:tcPr>
          <w:p w14:paraId="6449E676" w14:textId="77777777" w:rsidR="00827437" w:rsidRPr="00522104" w:rsidRDefault="00827437" w:rsidP="00E879D0">
            <w:pPr>
              <w:ind w:left="-108"/>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3 533,00</w:t>
            </w:r>
          </w:p>
        </w:tc>
        <w:tc>
          <w:tcPr>
            <w:tcW w:w="797" w:type="dxa"/>
            <w:noWrap/>
            <w:vAlign w:val="bottom"/>
            <w:hideMark/>
          </w:tcPr>
          <w:p w14:paraId="021B2360"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2,41</w:t>
            </w:r>
          </w:p>
        </w:tc>
        <w:tc>
          <w:tcPr>
            <w:tcW w:w="709" w:type="dxa"/>
            <w:noWrap/>
            <w:vAlign w:val="bottom"/>
            <w:hideMark/>
          </w:tcPr>
          <w:p w14:paraId="6628B991"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107,32</w:t>
            </w:r>
          </w:p>
        </w:tc>
      </w:tr>
      <w:tr w:rsidR="00827437" w:rsidRPr="00522104" w14:paraId="246AB00D" w14:textId="77777777" w:rsidTr="00E879D0">
        <w:trPr>
          <w:trHeight w:val="689"/>
        </w:trPr>
        <w:tc>
          <w:tcPr>
            <w:tcW w:w="1848" w:type="dxa"/>
            <w:hideMark/>
          </w:tcPr>
          <w:p w14:paraId="6B021E67" w14:textId="77777777" w:rsidR="00827437" w:rsidRPr="00522104" w:rsidRDefault="00827437" w:rsidP="00E40BEE">
            <w:pPr>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Федеральный проект "Старшее поколение"</w:t>
            </w:r>
          </w:p>
        </w:tc>
        <w:tc>
          <w:tcPr>
            <w:tcW w:w="851" w:type="dxa"/>
            <w:noWrap/>
            <w:vAlign w:val="bottom"/>
            <w:hideMark/>
          </w:tcPr>
          <w:p w14:paraId="4B555120"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114,26</w:t>
            </w:r>
          </w:p>
        </w:tc>
        <w:tc>
          <w:tcPr>
            <w:tcW w:w="851" w:type="dxa"/>
            <w:noWrap/>
            <w:vAlign w:val="bottom"/>
            <w:hideMark/>
          </w:tcPr>
          <w:p w14:paraId="23160E45"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149,65</w:t>
            </w:r>
          </w:p>
        </w:tc>
        <w:tc>
          <w:tcPr>
            <w:tcW w:w="850" w:type="dxa"/>
            <w:noWrap/>
            <w:vAlign w:val="bottom"/>
            <w:hideMark/>
          </w:tcPr>
          <w:p w14:paraId="202E3826"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667,06</w:t>
            </w:r>
          </w:p>
        </w:tc>
        <w:tc>
          <w:tcPr>
            <w:tcW w:w="851" w:type="dxa"/>
            <w:noWrap/>
            <w:vAlign w:val="bottom"/>
            <w:hideMark/>
          </w:tcPr>
          <w:p w14:paraId="282CBD6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501,92</w:t>
            </w:r>
          </w:p>
        </w:tc>
        <w:tc>
          <w:tcPr>
            <w:tcW w:w="876" w:type="dxa"/>
            <w:noWrap/>
            <w:vAlign w:val="bottom"/>
            <w:hideMark/>
          </w:tcPr>
          <w:p w14:paraId="576C0491"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669,10</w:t>
            </w:r>
          </w:p>
        </w:tc>
        <w:tc>
          <w:tcPr>
            <w:tcW w:w="850" w:type="dxa"/>
            <w:noWrap/>
            <w:vAlign w:val="bottom"/>
            <w:hideMark/>
          </w:tcPr>
          <w:p w14:paraId="65F8262F"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576,15</w:t>
            </w:r>
          </w:p>
        </w:tc>
        <w:tc>
          <w:tcPr>
            <w:tcW w:w="851" w:type="dxa"/>
            <w:noWrap/>
            <w:vAlign w:val="bottom"/>
            <w:hideMark/>
          </w:tcPr>
          <w:p w14:paraId="7BDDCE69"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352,27</w:t>
            </w:r>
          </w:p>
        </w:tc>
        <w:tc>
          <w:tcPr>
            <w:tcW w:w="762" w:type="dxa"/>
            <w:noWrap/>
            <w:vAlign w:val="bottom"/>
            <w:hideMark/>
          </w:tcPr>
          <w:p w14:paraId="07447D39"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335,40</w:t>
            </w:r>
          </w:p>
        </w:tc>
        <w:tc>
          <w:tcPr>
            <w:tcW w:w="797" w:type="dxa"/>
            <w:noWrap/>
            <w:vAlign w:val="bottom"/>
            <w:hideMark/>
          </w:tcPr>
          <w:p w14:paraId="6984968C"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-165,14</w:t>
            </w:r>
          </w:p>
        </w:tc>
        <w:tc>
          <w:tcPr>
            <w:tcW w:w="709" w:type="dxa"/>
            <w:noWrap/>
            <w:vAlign w:val="bottom"/>
            <w:hideMark/>
          </w:tcPr>
          <w:p w14:paraId="1E906475" w14:textId="77777777" w:rsidR="00827437" w:rsidRPr="00522104" w:rsidRDefault="00827437" w:rsidP="00E40BEE">
            <w:pPr>
              <w:jc w:val="right"/>
              <w:rPr>
                <w:rFonts w:ascii="Times New Roman" w:eastAsia="Times New Roman" w:hAnsi="Times New Roman" w:cs="Times New Roman"/>
                <w:bCs/>
                <w:i/>
                <w:iCs/>
                <w:sz w:val="16"/>
                <w:szCs w:val="16"/>
                <w:lang w:eastAsia="ru-RU"/>
              </w:rPr>
            </w:pPr>
            <w:r w:rsidRPr="00522104">
              <w:rPr>
                <w:rFonts w:ascii="Times New Roman" w:eastAsia="Times New Roman" w:hAnsi="Times New Roman" w:cs="Times New Roman"/>
                <w:bCs/>
                <w:i/>
                <w:iCs/>
                <w:sz w:val="16"/>
                <w:szCs w:val="16"/>
                <w:lang w:eastAsia="ru-RU"/>
              </w:rPr>
              <w:t>75,24</w:t>
            </w:r>
          </w:p>
        </w:tc>
      </w:tr>
      <w:tr w:rsidR="00827437" w:rsidRPr="00522104" w14:paraId="71B2A37F" w14:textId="77777777" w:rsidTr="00E879D0">
        <w:trPr>
          <w:trHeight w:val="402"/>
        </w:trPr>
        <w:tc>
          <w:tcPr>
            <w:tcW w:w="1848" w:type="dxa"/>
            <w:hideMark/>
          </w:tcPr>
          <w:p w14:paraId="2BF0AA81" w14:textId="77777777" w:rsidR="00827437" w:rsidRPr="005942F8" w:rsidRDefault="00827437" w:rsidP="00E40BEE">
            <w:pPr>
              <w:rPr>
                <w:rFonts w:ascii="Times New Roman" w:eastAsia="Times New Roman" w:hAnsi="Times New Roman" w:cs="Times New Roman"/>
                <w:bCs/>
                <w:sz w:val="18"/>
                <w:szCs w:val="18"/>
                <w:lang w:eastAsia="ru-RU"/>
              </w:rPr>
            </w:pPr>
            <w:r w:rsidRPr="005942F8">
              <w:rPr>
                <w:rFonts w:ascii="Times New Roman" w:eastAsia="Times New Roman" w:hAnsi="Times New Roman" w:cs="Times New Roman"/>
                <w:bCs/>
                <w:sz w:val="18"/>
                <w:szCs w:val="18"/>
                <w:lang w:eastAsia="ru-RU"/>
              </w:rPr>
              <w:t>Подпрограмма "Доступная среда"</w:t>
            </w:r>
          </w:p>
        </w:tc>
        <w:tc>
          <w:tcPr>
            <w:tcW w:w="851" w:type="dxa"/>
            <w:noWrap/>
            <w:vAlign w:val="bottom"/>
            <w:hideMark/>
          </w:tcPr>
          <w:p w14:paraId="4AC9F127"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69,54</w:t>
            </w:r>
          </w:p>
        </w:tc>
        <w:tc>
          <w:tcPr>
            <w:tcW w:w="851" w:type="dxa"/>
            <w:noWrap/>
            <w:vAlign w:val="bottom"/>
            <w:hideMark/>
          </w:tcPr>
          <w:p w14:paraId="40353A49"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70,57</w:t>
            </w:r>
          </w:p>
        </w:tc>
        <w:tc>
          <w:tcPr>
            <w:tcW w:w="850" w:type="dxa"/>
            <w:noWrap/>
            <w:vAlign w:val="bottom"/>
            <w:hideMark/>
          </w:tcPr>
          <w:p w14:paraId="5509E98C"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49,38</w:t>
            </w:r>
          </w:p>
        </w:tc>
        <w:tc>
          <w:tcPr>
            <w:tcW w:w="851" w:type="dxa"/>
            <w:noWrap/>
            <w:vAlign w:val="bottom"/>
            <w:hideMark/>
          </w:tcPr>
          <w:p w14:paraId="78517054"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81,24</w:t>
            </w:r>
          </w:p>
        </w:tc>
        <w:tc>
          <w:tcPr>
            <w:tcW w:w="876" w:type="dxa"/>
            <w:noWrap/>
            <w:vAlign w:val="bottom"/>
            <w:hideMark/>
          </w:tcPr>
          <w:p w14:paraId="674F49DD"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54,17</w:t>
            </w:r>
          </w:p>
        </w:tc>
        <w:tc>
          <w:tcPr>
            <w:tcW w:w="850" w:type="dxa"/>
            <w:noWrap/>
            <w:vAlign w:val="bottom"/>
            <w:hideMark/>
          </w:tcPr>
          <w:p w14:paraId="67D18D28"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54,17</w:t>
            </w:r>
          </w:p>
        </w:tc>
        <w:tc>
          <w:tcPr>
            <w:tcW w:w="851" w:type="dxa"/>
            <w:noWrap/>
            <w:vAlign w:val="bottom"/>
            <w:hideMark/>
          </w:tcPr>
          <w:p w14:paraId="6D212A9E"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10,66</w:t>
            </w:r>
          </w:p>
        </w:tc>
        <w:tc>
          <w:tcPr>
            <w:tcW w:w="762" w:type="dxa"/>
            <w:noWrap/>
            <w:vAlign w:val="bottom"/>
            <w:hideMark/>
          </w:tcPr>
          <w:p w14:paraId="2C6CEF9A"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115,11</w:t>
            </w:r>
          </w:p>
        </w:tc>
        <w:tc>
          <w:tcPr>
            <w:tcW w:w="797" w:type="dxa"/>
            <w:noWrap/>
            <w:vAlign w:val="bottom"/>
            <w:hideMark/>
          </w:tcPr>
          <w:p w14:paraId="6A30B8B1"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31,86</w:t>
            </w:r>
          </w:p>
        </w:tc>
        <w:tc>
          <w:tcPr>
            <w:tcW w:w="709" w:type="dxa"/>
            <w:noWrap/>
            <w:vAlign w:val="bottom"/>
            <w:hideMark/>
          </w:tcPr>
          <w:p w14:paraId="6A2A3EA8"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164,52</w:t>
            </w:r>
          </w:p>
        </w:tc>
      </w:tr>
      <w:tr w:rsidR="00827437" w:rsidRPr="00522104" w14:paraId="36138436" w14:textId="77777777" w:rsidTr="00E879D0">
        <w:trPr>
          <w:trHeight w:val="274"/>
        </w:trPr>
        <w:tc>
          <w:tcPr>
            <w:tcW w:w="1848" w:type="dxa"/>
            <w:hideMark/>
          </w:tcPr>
          <w:p w14:paraId="6D3731A0" w14:textId="77777777" w:rsidR="00827437" w:rsidRPr="005942F8" w:rsidRDefault="00827437" w:rsidP="00E40BEE">
            <w:pPr>
              <w:rPr>
                <w:rFonts w:ascii="Times New Roman" w:eastAsia="Times New Roman" w:hAnsi="Times New Roman" w:cs="Times New Roman"/>
                <w:bCs/>
                <w:sz w:val="18"/>
                <w:szCs w:val="18"/>
                <w:lang w:eastAsia="ru-RU"/>
              </w:rPr>
            </w:pPr>
            <w:r w:rsidRPr="005942F8">
              <w:rPr>
                <w:rFonts w:ascii="Times New Roman" w:eastAsia="Times New Roman" w:hAnsi="Times New Roman" w:cs="Times New Roman"/>
                <w:bCs/>
                <w:sz w:val="18"/>
                <w:szCs w:val="18"/>
                <w:lang w:eastAsia="ru-RU"/>
              </w:rPr>
              <w:t>Подпрограмма "Формирование системы комплексной реабилитации и абилитации инвалидов, в том числе детей-инвалидов, в Приморском крае"</w:t>
            </w:r>
          </w:p>
        </w:tc>
        <w:tc>
          <w:tcPr>
            <w:tcW w:w="851" w:type="dxa"/>
            <w:noWrap/>
            <w:vAlign w:val="bottom"/>
            <w:hideMark/>
          </w:tcPr>
          <w:p w14:paraId="7977B5F1"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c>
          <w:tcPr>
            <w:tcW w:w="851" w:type="dxa"/>
            <w:noWrap/>
            <w:vAlign w:val="bottom"/>
            <w:hideMark/>
          </w:tcPr>
          <w:p w14:paraId="008BD145"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c>
          <w:tcPr>
            <w:tcW w:w="850" w:type="dxa"/>
            <w:noWrap/>
            <w:vAlign w:val="bottom"/>
            <w:hideMark/>
          </w:tcPr>
          <w:p w14:paraId="0EE7FB24"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c>
          <w:tcPr>
            <w:tcW w:w="851" w:type="dxa"/>
            <w:noWrap/>
            <w:vAlign w:val="bottom"/>
            <w:hideMark/>
          </w:tcPr>
          <w:p w14:paraId="749A5AF5"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c>
          <w:tcPr>
            <w:tcW w:w="876" w:type="dxa"/>
            <w:noWrap/>
            <w:vAlign w:val="bottom"/>
            <w:hideMark/>
          </w:tcPr>
          <w:p w14:paraId="60A06E43"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40,21</w:t>
            </w:r>
          </w:p>
        </w:tc>
        <w:tc>
          <w:tcPr>
            <w:tcW w:w="850" w:type="dxa"/>
            <w:noWrap/>
            <w:vAlign w:val="bottom"/>
            <w:hideMark/>
          </w:tcPr>
          <w:p w14:paraId="05B2EF50"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28,90</w:t>
            </w:r>
          </w:p>
        </w:tc>
        <w:tc>
          <w:tcPr>
            <w:tcW w:w="851" w:type="dxa"/>
            <w:noWrap/>
            <w:vAlign w:val="bottom"/>
            <w:hideMark/>
          </w:tcPr>
          <w:p w14:paraId="3C9383EA"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c>
          <w:tcPr>
            <w:tcW w:w="762" w:type="dxa"/>
            <w:noWrap/>
            <w:vAlign w:val="bottom"/>
            <w:hideMark/>
          </w:tcPr>
          <w:p w14:paraId="0238762A"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c>
          <w:tcPr>
            <w:tcW w:w="797" w:type="dxa"/>
            <w:noWrap/>
            <w:vAlign w:val="bottom"/>
            <w:hideMark/>
          </w:tcPr>
          <w:p w14:paraId="4B19C7AE"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c>
          <w:tcPr>
            <w:tcW w:w="709" w:type="dxa"/>
            <w:noWrap/>
            <w:vAlign w:val="bottom"/>
            <w:hideMark/>
          </w:tcPr>
          <w:p w14:paraId="370E2E50" w14:textId="77777777" w:rsidR="00827437" w:rsidRPr="005942F8" w:rsidRDefault="00827437" w:rsidP="00E40BEE">
            <w:pPr>
              <w:jc w:val="right"/>
              <w:rPr>
                <w:rFonts w:ascii="Times New Roman" w:eastAsia="Times New Roman" w:hAnsi="Times New Roman" w:cs="Times New Roman"/>
                <w:bCs/>
                <w:sz w:val="16"/>
                <w:szCs w:val="16"/>
                <w:lang w:eastAsia="ru-RU"/>
              </w:rPr>
            </w:pPr>
            <w:r w:rsidRPr="005942F8">
              <w:rPr>
                <w:rFonts w:ascii="Times New Roman" w:eastAsia="Times New Roman" w:hAnsi="Times New Roman" w:cs="Times New Roman"/>
                <w:bCs/>
                <w:sz w:val="16"/>
                <w:szCs w:val="16"/>
                <w:lang w:eastAsia="ru-RU"/>
              </w:rPr>
              <w:t>0,00</w:t>
            </w:r>
          </w:p>
        </w:tc>
      </w:tr>
      <w:tr w:rsidR="00827437" w:rsidRPr="00522104" w14:paraId="50560D42" w14:textId="77777777" w:rsidTr="00E879D0">
        <w:trPr>
          <w:trHeight w:val="70"/>
        </w:trPr>
        <w:tc>
          <w:tcPr>
            <w:tcW w:w="1848" w:type="dxa"/>
            <w:noWrap/>
            <w:hideMark/>
          </w:tcPr>
          <w:p w14:paraId="25C3DA98" w14:textId="77777777" w:rsidR="00827437" w:rsidRPr="00522104" w:rsidRDefault="00827437" w:rsidP="00E40BEE">
            <w:pPr>
              <w:rPr>
                <w:rFonts w:ascii="Times New Roman" w:eastAsia="Times New Roman" w:hAnsi="Times New Roman" w:cs="Times New Roman"/>
                <w:b/>
                <w:sz w:val="20"/>
                <w:szCs w:val="20"/>
                <w:lang w:eastAsia="ru-RU"/>
              </w:rPr>
            </w:pPr>
            <w:r w:rsidRPr="00522104">
              <w:rPr>
                <w:rFonts w:ascii="Times New Roman" w:eastAsia="Times New Roman" w:hAnsi="Times New Roman" w:cs="Times New Roman"/>
                <w:b/>
                <w:sz w:val="20"/>
                <w:szCs w:val="20"/>
                <w:lang w:eastAsia="ru-RU"/>
              </w:rPr>
              <w:t> Всего по ГП</w:t>
            </w:r>
          </w:p>
        </w:tc>
        <w:tc>
          <w:tcPr>
            <w:tcW w:w="851" w:type="dxa"/>
            <w:noWrap/>
            <w:vAlign w:val="bottom"/>
            <w:hideMark/>
          </w:tcPr>
          <w:p w14:paraId="65A5BDED" w14:textId="77777777" w:rsidR="00827437" w:rsidRPr="00522104" w:rsidRDefault="00827437" w:rsidP="00E879D0">
            <w:pPr>
              <w:ind w:left="-108"/>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28 014,35</w:t>
            </w:r>
          </w:p>
        </w:tc>
        <w:tc>
          <w:tcPr>
            <w:tcW w:w="851" w:type="dxa"/>
            <w:noWrap/>
            <w:vAlign w:val="bottom"/>
            <w:hideMark/>
          </w:tcPr>
          <w:p w14:paraId="22741C98"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29881,01</w:t>
            </w:r>
          </w:p>
        </w:tc>
        <w:tc>
          <w:tcPr>
            <w:tcW w:w="850" w:type="dxa"/>
            <w:noWrap/>
            <w:vAlign w:val="bottom"/>
            <w:hideMark/>
          </w:tcPr>
          <w:p w14:paraId="5B79B17C"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28201,30</w:t>
            </w:r>
          </w:p>
        </w:tc>
        <w:tc>
          <w:tcPr>
            <w:tcW w:w="851" w:type="dxa"/>
            <w:noWrap/>
            <w:vAlign w:val="bottom"/>
            <w:hideMark/>
          </w:tcPr>
          <w:p w14:paraId="669AB9B6"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30552,28</w:t>
            </w:r>
          </w:p>
        </w:tc>
        <w:tc>
          <w:tcPr>
            <w:tcW w:w="876" w:type="dxa"/>
            <w:noWrap/>
            <w:vAlign w:val="bottom"/>
            <w:hideMark/>
          </w:tcPr>
          <w:p w14:paraId="58D368E3"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33563,99</w:t>
            </w:r>
          </w:p>
        </w:tc>
        <w:tc>
          <w:tcPr>
            <w:tcW w:w="850" w:type="dxa"/>
            <w:noWrap/>
            <w:vAlign w:val="bottom"/>
            <w:hideMark/>
          </w:tcPr>
          <w:p w14:paraId="416BAA46"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34753,18</w:t>
            </w:r>
          </w:p>
        </w:tc>
        <w:tc>
          <w:tcPr>
            <w:tcW w:w="851" w:type="dxa"/>
            <w:noWrap/>
            <w:vAlign w:val="bottom"/>
            <w:hideMark/>
          </w:tcPr>
          <w:p w14:paraId="5A702927"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671,27</w:t>
            </w:r>
          </w:p>
        </w:tc>
        <w:tc>
          <w:tcPr>
            <w:tcW w:w="762" w:type="dxa"/>
            <w:noWrap/>
            <w:vAlign w:val="bottom"/>
            <w:hideMark/>
          </w:tcPr>
          <w:p w14:paraId="1BE7A253"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102,25</w:t>
            </w:r>
          </w:p>
        </w:tc>
        <w:tc>
          <w:tcPr>
            <w:tcW w:w="797" w:type="dxa"/>
            <w:noWrap/>
            <w:vAlign w:val="bottom"/>
            <w:hideMark/>
          </w:tcPr>
          <w:p w14:paraId="204B05DF"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2 350,98</w:t>
            </w:r>
          </w:p>
        </w:tc>
        <w:tc>
          <w:tcPr>
            <w:tcW w:w="709" w:type="dxa"/>
            <w:noWrap/>
            <w:vAlign w:val="bottom"/>
            <w:hideMark/>
          </w:tcPr>
          <w:p w14:paraId="792D0CEE" w14:textId="77777777" w:rsidR="00827437" w:rsidRPr="00522104" w:rsidRDefault="00827437" w:rsidP="00E40BEE">
            <w:pPr>
              <w:jc w:val="right"/>
              <w:rPr>
                <w:rFonts w:ascii="Times New Roman" w:eastAsia="Times New Roman" w:hAnsi="Times New Roman" w:cs="Times New Roman"/>
                <w:b/>
                <w:bCs/>
                <w:sz w:val="16"/>
                <w:szCs w:val="16"/>
                <w:lang w:eastAsia="ru-RU"/>
              </w:rPr>
            </w:pPr>
            <w:r w:rsidRPr="00522104">
              <w:rPr>
                <w:rFonts w:ascii="Times New Roman" w:eastAsia="Times New Roman" w:hAnsi="Times New Roman" w:cs="Times New Roman"/>
                <w:b/>
                <w:bCs/>
                <w:sz w:val="16"/>
                <w:szCs w:val="16"/>
                <w:lang w:eastAsia="ru-RU"/>
              </w:rPr>
              <w:t>108,34</w:t>
            </w:r>
          </w:p>
        </w:tc>
      </w:tr>
    </w:tbl>
    <w:p w14:paraId="4E77668F" w14:textId="77777777" w:rsidR="00E879D0" w:rsidRDefault="00E879D0" w:rsidP="00827437">
      <w:pPr>
        <w:spacing w:after="0" w:line="240" w:lineRule="auto"/>
        <w:ind w:firstLine="708"/>
        <w:jc w:val="both"/>
        <w:rPr>
          <w:rFonts w:ascii="Times New Roman" w:eastAsia="Times New Roman" w:hAnsi="Times New Roman" w:cs="Times New Roman"/>
          <w:sz w:val="28"/>
          <w:szCs w:val="28"/>
          <w:lang w:eastAsia="ru-RU"/>
        </w:rPr>
      </w:pPr>
    </w:p>
    <w:p w14:paraId="1F58909A" w14:textId="71CAF6B4"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соответствии со статьей 17 законопроекта устанавливается коэффициент индексации расходных обязательств Приморского края в сфере социального обеспечения населения с 01.01.2022 </w:t>
      </w:r>
      <w:r w:rsidR="00AD4D4E"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1,04, с 01.01.2023 – 1,04, с 01.01.2024 – 1,04. К примеру, будут проиндексированы: </w:t>
      </w:r>
    </w:p>
    <w:p w14:paraId="23B028A8" w14:textId="77777777" w:rsidR="00827437" w:rsidRPr="00522104" w:rsidRDefault="00827437" w:rsidP="00827437">
      <w:pPr>
        <w:spacing w:after="0" w:line="240" w:lineRule="auto"/>
        <w:ind w:firstLine="708"/>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размер пособия на ребенка, пособия </w:t>
      </w:r>
      <w:r w:rsidRPr="00522104">
        <w:rPr>
          <w:rFonts w:ascii="Times New Roman" w:hAnsi="Times New Roman" w:cs="Times New Roman"/>
          <w:sz w:val="28"/>
          <w:szCs w:val="28"/>
        </w:rPr>
        <w:t>на детей одиноких матерей и  пособия на детей, родители которых уклоняются от уплаты алиментов, либо в других случаях, предусмотренных законодательством Российской Федерации, когда взыскание алиментов невозможно; на детей военнослужащих, проходящих военную службу по призыву в качестве сержантов, старшин, солдат и матросов, а также курсантов военных профессиональных образовательных организаций и военных образовательных организаций высшего образования до заключения контракта о прохождении военной службы. Размер пособия на ребенка в районах и местностях, где установлены районные коэффициенты к заработной плате, определяется с применением этих коэффициентов. Таким образом, в 2022 году при районном коэффициенте 1,2 размер выплат для указанных выше трех категорий получателей составит 395,71 рублей, 1187,16 рублей и 593,57 рублей соответственно, при районном коэффициенте 1,3 – 428,69 рублей, 1286,09 рублей, 643,03 рубля соответственно. Планируемое общее число получателей – 43786 человек;</w:t>
      </w:r>
    </w:p>
    <w:p w14:paraId="38147E29" w14:textId="77777777" w:rsidR="00827437" w:rsidRPr="00522104" w:rsidRDefault="00827437" w:rsidP="008274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 размер регионального материнского (семейного) капитала. В 2022 году размер выплаты составит 198895 рублей, планируемое число получателей – 1800 человек; </w:t>
      </w:r>
    </w:p>
    <w:p w14:paraId="0538CF87" w14:textId="77777777" w:rsidR="00827437" w:rsidRPr="00522104" w:rsidRDefault="00827437" w:rsidP="008274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размер ежемесячной денежной выплаты льготным категориям граждан. В 2022 году размер ежемесячной выплаты составит: у ветеранов труда – 696 рублей (68127 человек), ветеранов труда Приморского края – 1122 рубля (6894 человека), тружеников тыла – 863 рубля (1163 человека), реабилитированных лиц и лиц, признанных пострадавшими от политических репрессий – 696 рублей (2497 человек); </w:t>
      </w:r>
    </w:p>
    <w:p w14:paraId="6F7E1F58" w14:textId="77777777" w:rsidR="00827437" w:rsidRPr="00522104" w:rsidRDefault="00827437" w:rsidP="008274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размер ежемесячной денежной выплаты лицам, имеющим особые заслуги перед Отечеством и Приморским краем. Размер выплаты составит 701 рубль, число получателей 855 человек;</w:t>
      </w:r>
    </w:p>
    <w:p w14:paraId="548560BD" w14:textId="77777777" w:rsidR="00827437" w:rsidRPr="00522104" w:rsidRDefault="00827437" w:rsidP="0082743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размер ежегодной единовременной компенсации расходов на приобретение твердого или альтернативного топлива (кроме электричества) и его доставку отдельным категориям работников бюджетной сферы. В 2022 году размер выплаты составит 5722 рубля, получателей 6103 человека.</w:t>
      </w:r>
    </w:p>
    <w:p w14:paraId="1BDD108C" w14:textId="763DC52E"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Объем расходов на реализацию </w:t>
      </w:r>
      <w:r w:rsidRPr="00522104">
        <w:rPr>
          <w:rFonts w:ascii="Times New Roman" w:eastAsia="Times New Roman" w:hAnsi="Times New Roman" w:cs="Times New Roman"/>
          <w:b/>
          <w:i/>
          <w:sz w:val="28"/>
          <w:szCs w:val="24"/>
          <w:lang w:eastAsia="ru-RU"/>
        </w:rPr>
        <w:t>подпрограммы "Социальная поддержка семей и детей в Приморском крае"</w:t>
      </w:r>
      <w:r w:rsidRPr="00522104">
        <w:rPr>
          <w:rFonts w:ascii="Times New Roman" w:eastAsia="Times New Roman" w:hAnsi="Times New Roman" w:cs="Times New Roman"/>
          <w:sz w:val="28"/>
          <w:szCs w:val="24"/>
          <w:lang w:eastAsia="ru-RU"/>
        </w:rPr>
        <w:t xml:space="preserve"> на 2022 год запланирован с увеличением на 3256,89 млн рублей (на 2022 год утверждено – 12350,67 млн рублей, по законопроекту – 15607,57 млн рублей), из них на 3204,41 млн рублей по основному мероприятию "Меры социальной поддержки семей, имеющих детей" (утверждено на 2022 год – 5842,59 млн рублей, законопроект</w:t>
      </w:r>
      <w:r w:rsidR="00995A02"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 xml:space="preserve">– 9047,00 млн рублей).  </w:t>
      </w:r>
    </w:p>
    <w:p w14:paraId="0AD09531" w14:textId="6287A37D"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4"/>
          <w:lang w:eastAsia="ru-RU"/>
        </w:rPr>
        <w:t xml:space="preserve">Наибольшее увеличение на 3004,51 млн рублей по данному основному мероприятию планируется по ежемесячной выплате на детей от трех до семи лет включительно (утверждено на 2022 год – </w:t>
      </w:r>
      <w:r w:rsidR="00C514E1" w:rsidRPr="00522104">
        <w:rPr>
          <w:rFonts w:ascii="Times New Roman" w:eastAsia="Times New Roman" w:hAnsi="Times New Roman" w:cs="Times New Roman"/>
          <w:sz w:val="28"/>
          <w:szCs w:val="24"/>
          <w:lang w:eastAsia="ru-RU"/>
        </w:rPr>
        <w:t>3922,32</w:t>
      </w:r>
      <w:r w:rsidRPr="00522104">
        <w:rPr>
          <w:rFonts w:ascii="Times New Roman" w:eastAsia="Times New Roman" w:hAnsi="Times New Roman" w:cs="Times New Roman"/>
          <w:sz w:val="28"/>
          <w:szCs w:val="24"/>
          <w:lang w:eastAsia="ru-RU"/>
        </w:rPr>
        <w:t xml:space="preserve"> млн рублей, законопроект – 6926,83 млн рублей). В зависимости от категории получателей (всего 3 категории)</w:t>
      </w:r>
      <w:r w:rsidRPr="00522104">
        <w:rPr>
          <w:rStyle w:val="af"/>
          <w:rFonts w:ascii="Times New Roman" w:eastAsia="Times New Roman" w:hAnsi="Times New Roman" w:cs="Times New Roman"/>
          <w:sz w:val="28"/>
          <w:szCs w:val="24"/>
          <w:lang w:eastAsia="ru-RU"/>
        </w:rPr>
        <w:footnoteReference w:id="17"/>
      </w:r>
      <w:r w:rsidRPr="00522104">
        <w:rPr>
          <w:rFonts w:ascii="Times New Roman" w:eastAsia="Times New Roman" w:hAnsi="Times New Roman" w:cs="Times New Roman"/>
          <w:sz w:val="28"/>
          <w:szCs w:val="28"/>
          <w:lang w:eastAsia="ru-RU"/>
        </w:rPr>
        <w:t xml:space="preserve"> размер выплат составит: по 1 категории – 7905,00 рублей (количество получателей – 15692 человека), по 2 категории – 11857,50 рублей (22240 человек), 3 категория – 15810,00 рублей (11915 человек).</w:t>
      </w:r>
    </w:p>
    <w:p w14:paraId="7EF83377"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С увеличением также планируются:</w:t>
      </w:r>
    </w:p>
    <w:p w14:paraId="12DB650D" w14:textId="46274DAB"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на 31,02 млн рублей – объем ежемесячного пособия на ребенка (утверждено на 2022 год 316,35 млн рублей, законопроект – 347,37 млн рублей);</w:t>
      </w:r>
    </w:p>
    <w:p w14:paraId="05C07147" w14:textId="392F608A"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на 186,47 млн рублей – объем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(утверждено на 2022 год 204,17 млн рублей, законопроект – 390,64 млн рублей);</w:t>
      </w:r>
    </w:p>
    <w:p w14:paraId="42C66432" w14:textId="0104CF46"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на 175,00 млн рублей – объем социальной поддержк</w:t>
      </w:r>
      <w:r w:rsidR="00974338" w:rsidRPr="00522104">
        <w:rPr>
          <w:rFonts w:ascii="Times New Roman" w:eastAsia="Times New Roman" w:hAnsi="Times New Roman" w:cs="Times New Roman"/>
          <w:sz w:val="28"/>
          <w:szCs w:val="24"/>
          <w:lang w:eastAsia="ru-RU"/>
        </w:rPr>
        <w:t>и</w:t>
      </w:r>
      <w:r w:rsidRPr="00522104">
        <w:rPr>
          <w:rFonts w:ascii="Times New Roman" w:eastAsia="Times New Roman" w:hAnsi="Times New Roman" w:cs="Times New Roman"/>
          <w:sz w:val="28"/>
          <w:szCs w:val="24"/>
          <w:lang w:eastAsia="ru-RU"/>
        </w:rPr>
        <w:t xml:space="preserve"> детей, оставшихся без попечения родителей, и лиц, принявших на воспитание в семью детей, оставшихся без попечения родителей (утверждено на 2022 год 856,47 млн рублей, законопроект – 1031,47 млн рублей). </w:t>
      </w:r>
    </w:p>
    <w:p w14:paraId="4FFE9CDE" w14:textId="4E23C1F0"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i/>
          <w:sz w:val="28"/>
          <w:szCs w:val="24"/>
          <w:lang w:eastAsia="ru-RU"/>
        </w:rPr>
        <w:t>По ФП "Финансовая поддержка семей при рождении детей"</w:t>
      </w:r>
      <w:r w:rsidRPr="00522104">
        <w:rPr>
          <w:rFonts w:ascii="Times New Roman" w:eastAsia="Times New Roman" w:hAnsi="Times New Roman" w:cs="Times New Roman"/>
          <w:sz w:val="28"/>
          <w:szCs w:val="24"/>
          <w:lang w:eastAsia="ru-RU"/>
        </w:rPr>
        <w:t xml:space="preserve">, реализуемом в рамках подпрограммы объем средств законопроектом снижается на 122,36 млн рублей (законопроект </w:t>
      </w:r>
      <w:r w:rsidR="006467CA"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5401,92 млн рублей, утверждено на 2022 год 5524,28 млн рублей).</w:t>
      </w:r>
      <w:r w:rsidRPr="00522104">
        <w:rPr>
          <w:rFonts w:ascii="Times New Roman" w:eastAsia="Times New Roman" w:hAnsi="Times New Roman" w:cs="Times New Roman"/>
          <w:sz w:val="28"/>
          <w:szCs w:val="24"/>
          <w:lang w:eastAsia="ru-RU"/>
        </w:rPr>
        <w:tab/>
      </w:r>
      <w:r w:rsidRPr="00522104">
        <w:rPr>
          <w:rFonts w:ascii="Times New Roman" w:eastAsia="Times New Roman" w:hAnsi="Times New Roman" w:cs="Times New Roman"/>
          <w:sz w:val="28"/>
          <w:szCs w:val="24"/>
          <w:lang w:eastAsia="ru-RU"/>
        </w:rPr>
        <w:tab/>
      </w:r>
    </w:p>
    <w:p w14:paraId="75D4CE28" w14:textId="34C576F0"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Объем расходов на реализацию </w:t>
      </w:r>
      <w:r w:rsidRPr="00522104">
        <w:rPr>
          <w:rFonts w:ascii="Times New Roman" w:eastAsia="Times New Roman" w:hAnsi="Times New Roman" w:cs="Times New Roman"/>
          <w:b/>
          <w:i/>
          <w:sz w:val="28"/>
          <w:szCs w:val="24"/>
          <w:lang w:eastAsia="ru-RU"/>
        </w:rPr>
        <w:t xml:space="preserve">подпрограммы "Социальная поддержка отдельных категорий граждан в Приморском крае" </w:t>
      </w:r>
      <w:r w:rsidRPr="00522104">
        <w:rPr>
          <w:rFonts w:ascii="Times New Roman" w:eastAsia="Times New Roman" w:hAnsi="Times New Roman" w:cs="Times New Roman"/>
          <w:sz w:val="28"/>
          <w:szCs w:val="24"/>
          <w:lang w:eastAsia="ru-RU"/>
        </w:rPr>
        <w:t xml:space="preserve">на 2022 год запланирован со снижением на 1276,22 млн рублей (утверждено на 2022 год 10109,71 млн рублей, законопроект – 8833,48 млн рублей), из них по следующим основным мероприятиям: </w:t>
      </w:r>
    </w:p>
    <w:p w14:paraId="7FF5C8BE" w14:textId="64C67179"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"Предоставление ежемесячной денежной выплаты в Приморском крае льготным категориям граждан" – на 365,53 млн рублей (утверждено на 2022 год 1143,33 млн рублей, законопроект – 777,80 млн рублей) за счет снижения объема средств, выделяемых на ежемесячные денежные выплаты ветеранам труда на 389,48 млн рублей (утверждено на 2022 год 968,10 млн рублей, законопроект   – 578,62 млн рублей). Объем средств на данную категорию по сравнению с утвержденным на 2021 год объемом также уменьшается (829,85</w:t>
      </w:r>
      <w:r w:rsidR="006467CA"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млн рублей в 2021 году). По информации министерства труда и социальной политики Приморского края расчетное число получателей на 2022 год составляет 68127 человек, в 2021 году – 101769 человек;</w:t>
      </w:r>
    </w:p>
    <w:p w14:paraId="132316BD"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"Предоставление мер социальной поддержки по оплате жилищно-коммунальных услуг" – на 1094,71 млн рублей (утверждено на 2022 год – 4312,50 млн рублей, законопроект   – 3217,79 млн рублей). Из 12 мероприятий по 9 в законопроекте представлено уменьшение объемов расходов по сравнению с утвержденными в законе на 2022 год, при этом по сравнению с 2021 годом также в основном (по 8 мероприятиям) представлено снижение. </w:t>
      </w:r>
    </w:p>
    <w:p w14:paraId="442C11EC" w14:textId="0CF7817A"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Расчетное число получателей на 2022 год гораздо ниже, чем в 2021 году (согласно расчет</w:t>
      </w:r>
      <w:r w:rsidR="006467CA" w:rsidRPr="00522104">
        <w:rPr>
          <w:rFonts w:ascii="Times New Roman" w:eastAsia="Times New Roman" w:hAnsi="Times New Roman" w:cs="Times New Roman"/>
          <w:sz w:val="28"/>
          <w:szCs w:val="24"/>
          <w:lang w:eastAsia="ru-RU"/>
        </w:rPr>
        <w:t>ам</w:t>
      </w:r>
      <w:r w:rsidRPr="00522104">
        <w:rPr>
          <w:rFonts w:ascii="Times New Roman" w:eastAsia="Times New Roman" w:hAnsi="Times New Roman" w:cs="Times New Roman"/>
          <w:sz w:val="28"/>
          <w:szCs w:val="24"/>
          <w:lang w:eastAsia="ru-RU"/>
        </w:rPr>
        <w:t>, присланны</w:t>
      </w:r>
      <w:r w:rsidR="006467CA" w:rsidRPr="00522104">
        <w:rPr>
          <w:rFonts w:ascii="Times New Roman" w:eastAsia="Times New Roman" w:hAnsi="Times New Roman" w:cs="Times New Roman"/>
          <w:sz w:val="28"/>
          <w:szCs w:val="24"/>
          <w:lang w:eastAsia="ru-RU"/>
        </w:rPr>
        <w:t>м</w:t>
      </w:r>
      <w:r w:rsidRPr="00522104">
        <w:rPr>
          <w:rFonts w:ascii="Times New Roman" w:eastAsia="Times New Roman" w:hAnsi="Times New Roman" w:cs="Times New Roman"/>
          <w:sz w:val="28"/>
          <w:szCs w:val="24"/>
          <w:lang w:eastAsia="ru-RU"/>
        </w:rPr>
        <w:t xml:space="preserve"> министерством труда и социальной политики Приморского края, в текущем году количество получателей по 12 мероприятиям 362244 человека, в 2022 году – 246752 человека). При этом согласно информации, предоставленной министерством труда и социальной политики Приморского края, по отдельным мероприятиям количество фактических </w:t>
      </w:r>
      <w:r w:rsidR="006467CA" w:rsidRPr="00522104">
        <w:rPr>
          <w:rFonts w:ascii="Times New Roman" w:eastAsia="Times New Roman" w:hAnsi="Times New Roman" w:cs="Times New Roman"/>
          <w:sz w:val="28"/>
          <w:szCs w:val="24"/>
          <w:lang w:eastAsia="ru-RU"/>
        </w:rPr>
        <w:t xml:space="preserve">получателей </w:t>
      </w:r>
      <w:r w:rsidRPr="00522104">
        <w:rPr>
          <w:rFonts w:ascii="Times New Roman" w:eastAsia="Times New Roman" w:hAnsi="Times New Roman" w:cs="Times New Roman"/>
          <w:sz w:val="28"/>
          <w:szCs w:val="24"/>
          <w:lang w:eastAsia="ru-RU"/>
        </w:rPr>
        <w:t>за 9 месяцев 2021 года выше плановых на 2021 год. Например, по:</w:t>
      </w:r>
    </w:p>
    <w:p w14:paraId="69B86C97"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предоставлению гражданам субсидий на оплату жилого помещения и коммунальных услуг. Мера социальной поддержки за 9 месяцев предоставлена 35488 получателям (план на 2021 год – 30403 семьи). Расчетное число получателей в 2022 году – 26584 человека;</w:t>
      </w:r>
    </w:p>
    <w:p w14:paraId="632ABF3C"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компенсации расходов по оплате жилищно-коммунальных услуг в соответствии со статьей 14 Закона Приморского края от 29.12.2004 № 206-КЗ "О социальной поддержке льготных категорий граждан, проживающих на территории Приморского края". Мера социальной поддержки за 9 месяцев предоставлена 20259 получателям (план на 2021 год – 19500 граждан). Расчетное число получателей в 2022 году – 8066 человек.</w:t>
      </w:r>
    </w:p>
    <w:p w14:paraId="79F74D97"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Средства федерального бюджета на оплату жилищно-коммунальных услуг отдельным категориям граждан запланированы в соответствии с проектом федерального закона "О федеральном бюджете на 2022 год и плановый период 2023 и 2024 годы" (1 чтение) и на 2022 год составят 694,33 млн рублей;</w:t>
      </w:r>
    </w:p>
    <w:p w14:paraId="1F68902B" w14:textId="0A92AFC9"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"Предоставление социальной помощи, пособий, компенсаций и единовременных социальных выплат" – на 205,94 млн рублей (утверждено на 2022 год – 1030,46 млн рублей, законопроект на 2022 год – 824,52 млн рублей), в основном </w:t>
      </w:r>
      <w:r w:rsidR="006467CA" w:rsidRPr="00522104">
        <w:rPr>
          <w:rFonts w:ascii="Times New Roman" w:eastAsia="Times New Roman" w:hAnsi="Times New Roman" w:cs="Times New Roman"/>
          <w:sz w:val="28"/>
          <w:szCs w:val="24"/>
          <w:lang w:eastAsia="ru-RU"/>
        </w:rPr>
        <w:t>з</w:t>
      </w:r>
      <w:r w:rsidRPr="00522104">
        <w:rPr>
          <w:rFonts w:ascii="Times New Roman" w:eastAsia="Times New Roman" w:hAnsi="Times New Roman" w:cs="Times New Roman"/>
          <w:sz w:val="28"/>
          <w:szCs w:val="24"/>
          <w:lang w:eastAsia="ru-RU"/>
        </w:rPr>
        <w:t>а счет снижения по единовременной социальной выплате лицам, получающим пенсию в Приморском крае</w:t>
      </w:r>
      <w:r w:rsidR="00822628"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 на 288,12 млн рублей (утверждено на 2022 год – 588,12 млн рублей, законопроект на 2022 год – 300,00 млн рублей). Расчетное количество лиц, получающих выплату, на 2022 год составило 295860 человек, при этом в 2021 год</w:t>
      </w:r>
      <w:r w:rsidR="00822628" w:rsidRPr="00522104">
        <w:rPr>
          <w:rFonts w:ascii="Times New Roman" w:eastAsia="Times New Roman" w:hAnsi="Times New Roman" w:cs="Times New Roman"/>
          <w:sz w:val="28"/>
          <w:szCs w:val="24"/>
          <w:lang w:eastAsia="ru-RU"/>
        </w:rPr>
        <w:t>у</w:t>
      </w:r>
      <w:r w:rsidRPr="00522104">
        <w:rPr>
          <w:rFonts w:ascii="Times New Roman" w:eastAsia="Times New Roman" w:hAnsi="Times New Roman" w:cs="Times New Roman"/>
          <w:sz w:val="28"/>
          <w:szCs w:val="24"/>
          <w:lang w:eastAsia="ru-RU"/>
        </w:rPr>
        <w:t xml:space="preserve"> данная мера социальной поддержки оказывалась 570000 человек. Размер разовой выплаты составляет 1000 рублей.</w:t>
      </w:r>
    </w:p>
    <w:p w14:paraId="096F9445"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Увеличение в рамках подпрограммы предлагается по следующим основным мероприятиям:</w:t>
      </w:r>
    </w:p>
    <w:p w14:paraId="1897DBF5" w14:textId="2E3BAE1F"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"Выплата пенсий и доплат к пенсии" – на 368,37 млн рублей (утверждено на 2022 год – 3389,91 млн рублей, законопроект на 2022 год – 3758,28 млн рублей), в основном за счет запланированного проектом федерального закона "О федеральном бюджете на 2022 год и плановый период 2023 и 2024 годы" (1 чтение) объема выплаты региональной доплаты к пенсии на 782,80 млн рублей (утверждено на 2022 год </w:t>
      </w:r>
      <w:r w:rsidR="00974338" w:rsidRPr="00522104">
        <w:rPr>
          <w:rFonts w:ascii="Times New Roman" w:eastAsia="Times New Roman" w:hAnsi="Times New Roman" w:cs="Times New Roman"/>
          <w:sz w:val="28"/>
          <w:szCs w:val="24"/>
          <w:lang w:eastAsia="ru-RU"/>
        </w:rPr>
        <w:t>2852,89</w:t>
      </w:r>
      <w:r w:rsidRPr="00522104">
        <w:rPr>
          <w:rFonts w:ascii="Times New Roman" w:eastAsia="Times New Roman" w:hAnsi="Times New Roman" w:cs="Times New Roman"/>
          <w:sz w:val="28"/>
          <w:szCs w:val="24"/>
          <w:lang w:eastAsia="ru-RU"/>
        </w:rPr>
        <w:t xml:space="preserve"> млн рублей, законопроект на 2022 год – 3635,69 млн рублей).</w:t>
      </w:r>
      <w:r w:rsidRPr="00522104">
        <w:rPr>
          <w:rFonts w:ascii="Times New Roman" w:eastAsia="Calibri" w:hAnsi="Times New Roman" w:cs="Times New Roman"/>
        </w:rPr>
        <w:t xml:space="preserve"> </w:t>
      </w:r>
      <w:r w:rsidRPr="00522104">
        <w:rPr>
          <w:rFonts w:ascii="Times New Roman" w:eastAsia="Times New Roman" w:hAnsi="Times New Roman" w:cs="Times New Roman"/>
          <w:sz w:val="28"/>
          <w:szCs w:val="24"/>
          <w:lang w:eastAsia="ru-RU"/>
        </w:rPr>
        <w:t xml:space="preserve">Количество получателей выплаты планируется 77407 человек, размер ежемесячной выплаты 3860 рублей. </w:t>
      </w:r>
    </w:p>
    <w:p w14:paraId="14DE0506" w14:textId="68DC65AF"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Выплата неработающим пенсионерам в целях сокращения уровня бедности в Приморском крае на 2022 год не планируется (утверждено на 2022 год 450,00 млн рублей). По информации министерства труда и социальной политики Приморского края в 2021 году изменен подход к установлению величины прожиточного минимума</w:t>
      </w:r>
      <w:r w:rsidRPr="00522104">
        <w:rPr>
          <w:rStyle w:val="af"/>
          <w:rFonts w:ascii="Times New Roman" w:eastAsia="Times New Roman" w:hAnsi="Times New Roman" w:cs="Times New Roman"/>
          <w:sz w:val="28"/>
          <w:szCs w:val="24"/>
          <w:lang w:eastAsia="ru-RU"/>
        </w:rPr>
        <w:footnoteReference w:id="18"/>
      </w:r>
      <w:r w:rsidRPr="00522104">
        <w:rPr>
          <w:rFonts w:ascii="Times New Roman" w:eastAsia="Times New Roman" w:hAnsi="Times New Roman" w:cs="Times New Roman"/>
          <w:sz w:val="28"/>
          <w:szCs w:val="24"/>
          <w:lang w:eastAsia="ru-RU"/>
        </w:rPr>
        <w:t xml:space="preserve">, в результате чего </w:t>
      </w:r>
      <w:r w:rsidR="00974338" w:rsidRPr="00522104">
        <w:rPr>
          <w:rFonts w:ascii="Times New Roman" w:eastAsia="Times New Roman" w:hAnsi="Times New Roman" w:cs="Times New Roman"/>
          <w:sz w:val="28"/>
          <w:szCs w:val="24"/>
          <w:lang w:eastAsia="ru-RU"/>
        </w:rPr>
        <w:t>исключено понятие</w:t>
      </w:r>
      <w:r w:rsidRPr="00522104">
        <w:rPr>
          <w:rFonts w:ascii="Times New Roman" w:eastAsia="Times New Roman" w:hAnsi="Times New Roman" w:cs="Times New Roman"/>
          <w:sz w:val="28"/>
          <w:szCs w:val="24"/>
          <w:lang w:eastAsia="ru-RU"/>
        </w:rPr>
        <w:t xml:space="preserve"> среднегодовой величины прожиточного минимума для пенсионеров в Приморском крае, не будет разницы в величинах прожиточного минимума, все получатели региональной социальной доплаты к пенсии получают доход в размере прожиточного минимума пенсионера, установленного на год;</w:t>
      </w:r>
    </w:p>
    <w:p w14:paraId="24736171" w14:textId="270A6206"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"Оказание мер социальной поддержки отдельным категориям граждан"</w:t>
      </w:r>
      <w:r w:rsidR="008C417A"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 xml:space="preserve">– на 21,58 млн рублей (утверждено на 2022 год – </w:t>
      </w:r>
      <w:r w:rsidR="00974338" w:rsidRPr="00522104">
        <w:rPr>
          <w:rFonts w:ascii="Times New Roman" w:eastAsia="Times New Roman" w:hAnsi="Times New Roman" w:cs="Times New Roman"/>
          <w:sz w:val="28"/>
          <w:szCs w:val="24"/>
          <w:lang w:eastAsia="ru-RU"/>
        </w:rPr>
        <w:t xml:space="preserve">233,51 </w:t>
      </w:r>
      <w:r w:rsidRPr="00522104">
        <w:rPr>
          <w:rFonts w:ascii="Times New Roman" w:eastAsia="Times New Roman" w:hAnsi="Times New Roman" w:cs="Times New Roman"/>
          <w:sz w:val="28"/>
          <w:szCs w:val="24"/>
          <w:lang w:eastAsia="ru-RU"/>
        </w:rPr>
        <w:t>млн рублей, законопроект на 2022 год –</w:t>
      </w:r>
      <w:r w:rsidR="00974338" w:rsidRPr="00522104">
        <w:rPr>
          <w:rFonts w:ascii="Times New Roman" w:eastAsia="Times New Roman" w:hAnsi="Times New Roman" w:cs="Times New Roman"/>
          <w:sz w:val="28"/>
          <w:szCs w:val="24"/>
          <w:lang w:eastAsia="ru-RU"/>
        </w:rPr>
        <w:t xml:space="preserve"> 255,09 </w:t>
      </w:r>
      <w:r w:rsidRPr="00522104">
        <w:rPr>
          <w:rFonts w:ascii="Times New Roman" w:eastAsia="Times New Roman" w:hAnsi="Times New Roman" w:cs="Times New Roman"/>
          <w:sz w:val="28"/>
          <w:szCs w:val="24"/>
          <w:lang w:eastAsia="ru-RU"/>
        </w:rPr>
        <w:t>млн рублей).</w:t>
      </w:r>
    </w:p>
    <w:p w14:paraId="796DF09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4"/>
          <w:lang w:eastAsia="ru-RU"/>
        </w:rPr>
        <w:t>С 2022 года планируется начать предоставление социальной поддержки отдельным категориям граждан Российской Федерации на подключение индивидуальных жилых домов к газовым сетям и приобретение газоиспользующего оборудования</w:t>
      </w:r>
      <w:r w:rsidRPr="00522104">
        <w:rPr>
          <w:rStyle w:val="af"/>
          <w:rFonts w:ascii="Times New Roman" w:eastAsia="Times New Roman" w:hAnsi="Times New Roman" w:cs="Times New Roman"/>
          <w:sz w:val="28"/>
          <w:szCs w:val="24"/>
          <w:lang w:eastAsia="ru-RU"/>
        </w:rPr>
        <w:footnoteReference w:id="19"/>
      </w:r>
      <w:r w:rsidRPr="00522104">
        <w:rPr>
          <w:rFonts w:ascii="Times New Roman" w:eastAsia="Times New Roman" w:hAnsi="Times New Roman" w:cs="Times New Roman"/>
          <w:sz w:val="28"/>
          <w:szCs w:val="24"/>
          <w:lang w:eastAsia="ru-RU"/>
        </w:rPr>
        <w:t xml:space="preserve">. Законопроектом на данную меру социальной поддержки запланировано 50,00 млн рублей. В зависимости от категорий граждан, указанных в законе, </w:t>
      </w:r>
      <w:r w:rsidRPr="00522104">
        <w:rPr>
          <w:rFonts w:ascii="Times New Roman" w:hAnsi="Times New Roman" w:cs="Times New Roman"/>
          <w:sz w:val="28"/>
          <w:szCs w:val="28"/>
        </w:rPr>
        <w:t>мера поддержки предоставляется в размере 100 % стоимости выполненных работ (оказанных услуг, поставленных товаров) по газификации, но не более 155,00 тыс. рублей, в размере 80 % стоимости выполненных работ (оказанных услуг, поставленных товаров) по газификации, но не более 124,00 тыс. рублей, в размере 50 % стоимости выполненных работ (оказанных услуг, поставленных товаров) по газификации, но не более 77,50 тыс. рублей.</w:t>
      </w:r>
    </w:p>
    <w:p w14:paraId="09B4723B" w14:textId="7292EE4B"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Средства федерального (84 %) и краевого (16 %) бюджета на оказание государственной социальной помощи на основании социального контракта отдельным категориям граждан запланированы в соответствии с проектом федерального закона "О федеральном бюджете на 2022 год и плановый период 2023 и 2024 годы" (1 чтение). Законопроектом на 2022 год предлагается 155,56</w:t>
      </w:r>
      <w:r w:rsidR="008C417A"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млн рублей, утверждено на 2022 год 183,88 млн рублей. Расчетное количество получателей 1766 человек.</w:t>
      </w:r>
    </w:p>
    <w:p w14:paraId="6A8F0817" w14:textId="6A35E3A8"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Объем расходов на реализацию </w:t>
      </w:r>
      <w:r w:rsidRPr="00522104">
        <w:rPr>
          <w:rFonts w:ascii="Times New Roman" w:eastAsia="Times New Roman" w:hAnsi="Times New Roman" w:cs="Times New Roman"/>
          <w:b/>
          <w:i/>
          <w:sz w:val="28"/>
          <w:szCs w:val="24"/>
          <w:lang w:eastAsia="ru-RU"/>
        </w:rPr>
        <w:t xml:space="preserve">подпрограммы "Обеспечение жильем отдельных категорий граждан в Приморском крае" </w:t>
      </w:r>
      <w:r w:rsidRPr="00522104">
        <w:rPr>
          <w:rFonts w:ascii="Times New Roman" w:eastAsia="Times New Roman" w:hAnsi="Times New Roman" w:cs="Times New Roman"/>
          <w:sz w:val="28"/>
          <w:szCs w:val="24"/>
          <w:lang w:eastAsia="ru-RU"/>
        </w:rPr>
        <w:t>на 2022 год запланирован с увеличением на 260,58 млн рублей (утверждено на 2022 год – 379,14 млн рублей, законопроект на 2022 год – 639,69 млн рублей), из них в рамках реализации ФП "Финансовая поддержка семей при рождении детей"</w:t>
      </w:r>
      <w:r w:rsidRPr="00522104">
        <w:rPr>
          <w:rFonts w:ascii="Times New Roman" w:eastAsia="Times New Roman" w:hAnsi="Times New Roman" w:cs="Times New Roman"/>
          <w:b/>
          <w:sz w:val="28"/>
          <w:szCs w:val="24"/>
          <w:lang w:eastAsia="ru-RU"/>
        </w:rPr>
        <w:t xml:space="preserve"> – </w:t>
      </w:r>
      <w:r w:rsidRPr="00522104">
        <w:rPr>
          <w:rFonts w:ascii="Times New Roman" w:eastAsia="Times New Roman" w:hAnsi="Times New Roman" w:cs="Times New Roman"/>
          <w:sz w:val="28"/>
          <w:szCs w:val="24"/>
          <w:lang w:eastAsia="ru-RU"/>
        </w:rPr>
        <w:t>на 203,</w:t>
      </w:r>
      <w:r w:rsidR="00974338" w:rsidRPr="00522104">
        <w:rPr>
          <w:rFonts w:ascii="Times New Roman" w:eastAsia="Times New Roman" w:hAnsi="Times New Roman" w:cs="Times New Roman"/>
          <w:sz w:val="28"/>
          <w:szCs w:val="24"/>
          <w:lang w:eastAsia="ru-RU"/>
        </w:rPr>
        <w:t>98</w:t>
      </w:r>
      <w:r w:rsidRPr="00522104">
        <w:rPr>
          <w:rFonts w:ascii="Times New Roman" w:eastAsia="Times New Roman" w:hAnsi="Times New Roman" w:cs="Times New Roman"/>
          <w:sz w:val="28"/>
          <w:szCs w:val="24"/>
          <w:lang w:eastAsia="ru-RU"/>
        </w:rPr>
        <w:t xml:space="preserve"> млн рублей (утверждено на 2022 год – 218,96 млн рублей, законопроект на 2022 год – 422,94 млн рублей).</w:t>
      </w:r>
    </w:p>
    <w:p w14:paraId="0C363F36"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Средства федерального бюджета на осуществление полномочий по обеспечению жильем отдельных категорий граждан, установленных федеральными законами</w:t>
      </w:r>
      <w:r w:rsidRPr="00522104">
        <w:rPr>
          <w:rStyle w:val="af"/>
          <w:rFonts w:ascii="Times New Roman" w:eastAsia="Times New Roman" w:hAnsi="Times New Roman" w:cs="Times New Roman"/>
          <w:sz w:val="28"/>
          <w:szCs w:val="24"/>
          <w:lang w:eastAsia="ru-RU"/>
        </w:rPr>
        <w:footnoteReference w:id="20"/>
      </w:r>
      <w:r w:rsidRPr="00522104">
        <w:rPr>
          <w:rFonts w:ascii="Times New Roman" w:eastAsia="Times New Roman" w:hAnsi="Times New Roman" w:cs="Times New Roman"/>
          <w:sz w:val="28"/>
          <w:szCs w:val="24"/>
          <w:lang w:eastAsia="ru-RU"/>
        </w:rPr>
        <w:t>, запланированы в соответствии с проектом федерального закона "О федеральном бюджете на 2022 год и плановый период 2023 и 2024 годы" (1 чтение) и на 2022 год составят 101,57 млн рублей (утверждено на 2022 год – 53,85 млн рублей). Общее количество получателей составит 48 человек.</w:t>
      </w:r>
    </w:p>
    <w:p w14:paraId="1823C0D4"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Объем расходов на реализацию </w:t>
      </w:r>
      <w:r w:rsidRPr="00522104">
        <w:rPr>
          <w:rFonts w:ascii="Times New Roman" w:eastAsia="Times New Roman" w:hAnsi="Times New Roman" w:cs="Times New Roman"/>
          <w:b/>
          <w:i/>
          <w:sz w:val="28"/>
          <w:szCs w:val="24"/>
          <w:lang w:eastAsia="ru-RU"/>
        </w:rPr>
        <w:t>подпрограммы</w:t>
      </w:r>
      <w:r w:rsidRPr="00522104">
        <w:rPr>
          <w:rFonts w:ascii="Times New Roman" w:eastAsia="Times New Roman" w:hAnsi="Times New Roman" w:cs="Times New Roman"/>
          <w:sz w:val="28"/>
          <w:szCs w:val="24"/>
          <w:lang w:eastAsia="ru-RU"/>
        </w:rPr>
        <w:t xml:space="preserve"> </w:t>
      </w:r>
      <w:r w:rsidRPr="00522104">
        <w:rPr>
          <w:rFonts w:ascii="Times New Roman" w:eastAsia="Times New Roman" w:hAnsi="Times New Roman" w:cs="Times New Roman"/>
          <w:b/>
          <w:i/>
          <w:sz w:val="28"/>
          <w:szCs w:val="24"/>
          <w:lang w:eastAsia="ru-RU"/>
        </w:rPr>
        <w:t>"Развитие и модернизация социального обслуживания населения в Приморском крае"</w:t>
      </w:r>
      <w:r w:rsidRPr="00522104">
        <w:rPr>
          <w:rFonts w:ascii="Times New Roman" w:eastAsia="Times New Roman" w:hAnsi="Times New Roman" w:cs="Times New Roman"/>
          <w:sz w:val="28"/>
          <w:szCs w:val="24"/>
          <w:u w:val="single"/>
          <w:lang w:eastAsia="ru-RU"/>
        </w:rPr>
        <w:t xml:space="preserve"> </w:t>
      </w:r>
      <w:r w:rsidRPr="00522104">
        <w:rPr>
          <w:rFonts w:ascii="Times New Roman" w:eastAsia="Times New Roman" w:hAnsi="Times New Roman" w:cs="Times New Roman"/>
          <w:sz w:val="28"/>
          <w:szCs w:val="24"/>
          <w:lang w:eastAsia="ru-RU"/>
        </w:rPr>
        <w:t>на 2022 год запланирован в сумме 5390,30 млн рублей, что на 77,87 млн рублей выше, чем в утвержденном законе на 2022 год (5312,43 млн рублей) за счет разнонаправленных корректировок по основным мероприятиям.</w:t>
      </w:r>
    </w:p>
    <w:p w14:paraId="2EA9400F" w14:textId="6E4EFCFA"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Так</w:t>
      </w:r>
      <w:r w:rsidR="00A36320"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предлагается увеличение по </w:t>
      </w:r>
      <w:r w:rsidRPr="00522104">
        <w:rPr>
          <w:rFonts w:ascii="Times New Roman" w:eastAsia="Times New Roman" w:hAnsi="Times New Roman" w:cs="Times New Roman"/>
          <w:i/>
          <w:sz w:val="28"/>
          <w:szCs w:val="24"/>
          <w:lang w:eastAsia="ru-RU"/>
        </w:rPr>
        <w:t>основным мероприятиям:</w:t>
      </w:r>
    </w:p>
    <w:p w14:paraId="2E0B5E63" w14:textId="66A776C2"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i/>
          <w:sz w:val="28"/>
          <w:szCs w:val="24"/>
          <w:lang w:eastAsia="ru-RU"/>
        </w:rPr>
        <w:t>"Социальное обслуживание граждан"</w:t>
      </w:r>
      <w:r w:rsidRPr="00522104">
        <w:rPr>
          <w:rFonts w:ascii="Times New Roman" w:eastAsia="Times New Roman" w:hAnsi="Times New Roman" w:cs="Times New Roman"/>
          <w:sz w:val="28"/>
          <w:szCs w:val="24"/>
          <w:lang w:eastAsia="ru-RU"/>
        </w:rPr>
        <w:t xml:space="preserve"> и "</w:t>
      </w:r>
      <w:r w:rsidRPr="00522104">
        <w:rPr>
          <w:rFonts w:ascii="Times New Roman" w:eastAsia="Times New Roman" w:hAnsi="Times New Roman" w:cs="Times New Roman"/>
          <w:i/>
          <w:sz w:val="28"/>
          <w:szCs w:val="24"/>
          <w:lang w:eastAsia="ru-RU"/>
        </w:rPr>
        <w:t>Обеспечение функций государственного органа в сфере социальной поддержки и содействия занятости населения"</w:t>
      </w:r>
      <w:r w:rsidRPr="00522104">
        <w:rPr>
          <w:rFonts w:ascii="Times New Roman" w:eastAsia="Times New Roman" w:hAnsi="Times New Roman" w:cs="Times New Roman"/>
          <w:sz w:val="28"/>
          <w:szCs w:val="24"/>
          <w:lang w:eastAsia="ru-RU"/>
        </w:rPr>
        <w:t xml:space="preserve"> в основном за счет увеличения расходов на обеспечение деятельности (оказание услуг, выполнение работ) краевых государственных учреждений. Увеличение по основным мероприятиям составит соответственно 177,10 млн рублей (до 3875,71 млн рублей) и 63,50</w:t>
      </w:r>
      <w:r w:rsidR="00A36320"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млн рублей (до 977,34 млн рублей);</w:t>
      </w:r>
    </w:p>
    <w:p w14:paraId="0530B4C4"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i/>
          <w:sz w:val="28"/>
          <w:szCs w:val="24"/>
          <w:lang w:eastAsia="ru-RU"/>
        </w:rPr>
        <w:t>ФП "Финансовая поддержка семей при рождении детей"</w:t>
      </w:r>
      <w:r w:rsidRPr="00522104">
        <w:rPr>
          <w:rFonts w:ascii="Times New Roman" w:eastAsia="Times New Roman" w:hAnsi="Times New Roman" w:cs="Times New Roman"/>
          <w:sz w:val="28"/>
          <w:szCs w:val="24"/>
          <w:lang w:eastAsia="ru-RU"/>
        </w:rPr>
        <w:t xml:space="preserve"> – на 2,42 млн рублей за счет запланированного (34,33 млн рублей) объема средства федерального бюджета в соответствии с проектом федерального закона "О федеральном бюджете на 2022 год и плановый период 2023 и 2024 годы" (1 чтение)</w:t>
      </w:r>
      <w:r w:rsidRPr="00522104">
        <w:rPr>
          <w:rFonts w:ascii="Times New Roman" w:hAnsi="Times New Roman" w:cs="Times New Roman"/>
        </w:rPr>
        <w:t xml:space="preserve"> </w:t>
      </w:r>
      <w:r w:rsidRPr="00522104">
        <w:rPr>
          <w:rFonts w:ascii="Times New Roman" w:hAnsi="Times New Roman" w:cs="Times New Roman"/>
          <w:sz w:val="28"/>
          <w:szCs w:val="28"/>
        </w:rPr>
        <w:t>на о</w:t>
      </w:r>
      <w:r w:rsidRPr="00522104">
        <w:rPr>
          <w:rFonts w:ascii="Times New Roman" w:eastAsia="Times New Roman" w:hAnsi="Times New Roman" w:cs="Times New Roman"/>
          <w:sz w:val="28"/>
          <w:szCs w:val="28"/>
          <w:lang w:eastAsia="ru-RU"/>
        </w:rPr>
        <w:t>с</w:t>
      </w:r>
      <w:r w:rsidRPr="00522104">
        <w:rPr>
          <w:rFonts w:ascii="Times New Roman" w:eastAsia="Times New Roman" w:hAnsi="Times New Roman" w:cs="Times New Roman"/>
          <w:sz w:val="28"/>
          <w:szCs w:val="24"/>
          <w:lang w:eastAsia="ru-RU"/>
        </w:rPr>
        <w:t>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p w14:paraId="38936A8B" w14:textId="1241472B"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По </w:t>
      </w:r>
      <w:r w:rsidRPr="00522104">
        <w:rPr>
          <w:rFonts w:ascii="Times New Roman" w:eastAsia="Times New Roman" w:hAnsi="Times New Roman" w:cs="Times New Roman"/>
          <w:i/>
          <w:sz w:val="28"/>
          <w:szCs w:val="24"/>
          <w:lang w:eastAsia="ru-RU"/>
        </w:rPr>
        <w:t>ФП "Старшее поколение"</w:t>
      </w:r>
      <w:r w:rsidRPr="00522104">
        <w:rPr>
          <w:rFonts w:ascii="Times New Roman" w:eastAsia="Times New Roman" w:hAnsi="Times New Roman" w:cs="Times New Roman"/>
          <w:sz w:val="28"/>
          <w:szCs w:val="24"/>
          <w:lang w:eastAsia="ru-RU"/>
        </w:rPr>
        <w:t xml:space="preserve"> законопроектом предлагается снижение на 165,14 млн рублей (утверждено на 2022 год 667,06 млн рублей, законопроект</w:t>
      </w:r>
      <w:r w:rsidR="00A36320"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 501,92 млн рублей), в основном за счет снижения на 184,74 млн рублей (до 19,34 млн рублей)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дома-интерната для престарелых и инвалидов в г. Уссурийске, в том числе проектно-изыскательские работы).</w:t>
      </w:r>
    </w:p>
    <w:p w14:paraId="0A6B17D6" w14:textId="6D53FABC"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 сравнению с утвержденным на 2022 год (49,38 млн рублей) объем расходов на реализацию мероприятий </w:t>
      </w:r>
      <w:r w:rsidRPr="00522104">
        <w:rPr>
          <w:rFonts w:ascii="Times New Roman" w:eastAsia="Times New Roman" w:hAnsi="Times New Roman" w:cs="Times New Roman"/>
          <w:b/>
          <w:i/>
          <w:sz w:val="28"/>
          <w:szCs w:val="28"/>
          <w:lang w:eastAsia="ru-RU"/>
        </w:rPr>
        <w:t xml:space="preserve">подпрограммы </w:t>
      </w:r>
      <w:r w:rsidRPr="00522104">
        <w:rPr>
          <w:rFonts w:ascii="Times New Roman" w:eastAsia="Times New Roman" w:hAnsi="Times New Roman" w:cs="Times New Roman"/>
          <w:b/>
          <w:i/>
          <w:sz w:val="28"/>
          <w:szCs w:val="24"/>
          <w:lang w:eastAsia="ru-RU"/>
        </w:rPr>
        <w:t xml:space="preserve">"Доступная среда" </w:t>
      </w:r>
      <w:r w:rsidRPr="00522104">
        <w:rPr>
          <w:rFonts w:ascii="Times New Roman" w:eastAsia="Times New Roman" w:hAnsi="Times New Roman" w:cs="Times New Roman"/>
          <w:sz w:val="28"/>
          <w:szCs w:val="24"/>
          <w:lang w:eastAsia="ru-RU"/>
        </w:rPr>
        <w:t xml:space="preserve">в законопроекте на 2022 год </w:t>
      </w:r>
      <w:r w:rsidRPr="00522104">
        <w:rPr>
          <w:rFonts w:ascii="Times New Roman" w:eastAsia="Times New Roman" w:hAnsi="Times New Roman" w:cs="Times New Roman"/>
          <w:sz w:val="28"/>
          <w:szCs w:val="28"/>
          <w:lang w:eastAsia="ru-RU"/>
        </w:rPr>
        <w:t>увеличивается на 31,86 млн рублей до 81,24 млн рублей, из них на 26,01 млн рублей (до 28,72 млн рублей) – объем субсидии краевым государственным бюджетным и автономным учреждениям на иные цели. Средства будут направлены на обеспечение беспрепятственного доступа инвалидов к объектам социальной инфраструктуры и информации в сфере здравоохранения, культуры, социальной защиты и занятости населения, оказание содействия в получении доступа к объектам социальной инфраструктуры и социально-бытовых услуг, поддержку учреждений спортивной направленности по адаптивной физической культуре и спорту, мероприятия по социальной адаптации инвалидов в сфере культуры и искусства, в том числе совместные мероприятия для инвалидов и граждан, не имеющих инвалидности. Кроме того, на внедрение и поддержку инфраструктуры доступа и электронных образовательных систем для обеспечения дистанционного обучения детей с ограниченными возможностями здоровья.</w:t>
      </w:r>
    </w:p>
    <w:p w14:paraId="497E2F34"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p>
    <w:p w14:paraId="08E5BC27"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13536" behindDoc="0" locked="0" layoutInCell="1" allowOverlap="1" wp14:anchorId="07CADEFE" wp14:editId="0CD964A8">
            <wp:simplePos x="0" y="0"/>
            <wp:positionH relativeFrom="column">
              <wp:posOffset>106045</wp:posOffset>
            </wp:positionH>
            <wp:positionV relativeFrom="paragraph">
              <wp:posOffset>172085</wp:posOffset>
            </wp:positionV>
            <wp:extent cx="1468755" cy="1059815"/>
            <wp:effectExtent l="0" t="0" r="0" b="0"/>
            <wp:wrapSquare wrapText="bothSides"/>
            <wp:docPr id="23" name="Рисунок 23" descr="C:\Users\zavzyataya_sv\Desktop\Картинки\_.jpg"/>
            <wp:cNvGraphicFramePr/>
            <a:graphic xmlns:a="http://schemas.openxmlformats.org/drawingml/2006/main">
              <a:graphicData uri="http://schemas.openxmlformats.org/drawingml/2006/picture">
                <pic:pic xmlns:pic="http://schemas.openxmlformats.org/drawingml/2006/picture">
                  <pic:nvPicPr>
                    <pic:cNvPr id="11" name="Рисунок 11" descr="C:\Users\zavzyataya_sv\Desktop\Картинки\_.jpg"/>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68755" cy="1059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"Развитие культуры Приморского края"</w:t>
      </w:r>
    </w:p>
    <w:p w14:paraId="706FEAF9" w14:textId="77777777" w:rsidR="00827437" w:rsidRPr="00522104" w:rsidRDefault="00827437" w:rsidP="00827437">
      <w:pPr>
        <w:spacing w:after="0" w:line="240" w:lineRule="auto"/>
        <w:ind w:firstLine="720"/>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Согласно паспорту ГП установлены ответственный исполнитель – министерство культуры и архивного дела Приморского края, соисполнители</w:t>
      </w:r>
      <w:r w:rsidRPr="00522104">
        <w:rPr>
          <w:rFonts w:ascii="Times New Roman" w:hAnsi="Times New Roman" w:cs="Times New Roman"/>
        </w:rPr>
        <w:t> </w:t>
      </w:r>
      <w:r w:rsidRPr="00522104">
        <w:rPr>
          <w:rFonts w:ascii="Times New Roman" w:eastAsia="Times New Roman" w:hAnsi="Times New Roman" w:cs="Times New Roman"/>
          <w:bCs/>
          <w:sz w:val="28"/>
          <w:szCs w:val="28"/>
          <w:lang w:eastAsia="ru-RU"/>
        </w:rPr>
        <w:t>– 3 главных распорядителя бюджетных средств (департамент информационной политики Приморского края, инспекция по охране объектов культурного наследия Приморского края, министерство строительства Приморского края).</w:t>
      </w:r>
    </w:p>
    <w:p w14:paraId="10964540" w14:textId="77777777" w:rsidR="00827437" w:rsidRPr="00522104" w:rsidRDefault="00827437" w:rsidP="00827437">
      <w:pPr>
        <w:spacing w:after="0" w:line="240" w:lineRule="auto"/>
        <w:ind w:firstLine="709"/>
        <w:jc w:val="both"/>
        <w:rPr>
          <w:rFonts w:ascii="Times New Roman" w:hAnsi="Times New Roman" w:cs="Times New Roman"/>
          <w:sz w:val="28"/>
          <w:szCs w:val="28"/>
          <w:lang w:eastAsia="x-none"/>
        </w:rPr>
      </w:pPr>
      <w:r w:rsidRPr="00522104">
        <w:rPr>
          <w:rFonts w:ascii="Times New Roman" w:eastAsia="Times New Roman" w:hAnsi="Times New Roman" w:cs="Times New Roman"/>
          <w:sz w:val="28"/>
          <w:szCs w:val="28"/>
          <w:lang w:eastAsia="ru-RU"/>
        </w:rPr>
        <w:t xml:space="preserve">Законопроектом на 2022 год предусмотрены бюджетные ассигнования в общем объеме 2673,59 млн рублей, </w:t>
      </w:r>
      <w:r w:rsidRPr="00522104">
        <w:rPr>
          <w:rFonts w:ascii="Times New Roman" w:hAnsi="Times New Roman" w:cs="Times New Roman"/>
          <w:sz w:val="28"/>
          <w:szCs w:val="28"/>
          <w:lang w:eastAsia="x-none"/>
        </w:rPr>
        <w:t xml:space="preserve">в том числе за счет средств краевого бюджета 2379,55 млн рублей, за счет средств федерального бюджета 294,04 млн рублей. </w:t>
      </w:r>
    </w:p>
    <w:p w14:paraId="6FEB6637" w14:textId="77777777" w:rsidR="00827437" w:rsidRPr="00522104" w:rsidRDefault="00827437" w:rsidP="00827437">
      <w:pPr>
        <w:spacing w:after="0" w:line="240" w:lineRule="auto"/>
        <w:ind w:firstLine="720"/>
        <w:jc w:val="both"/>
        <w:rPr>
          <w:rFonts w:ascii="Times New Roman" w:hAnsi="Times New Roman" w:cs="Times New Roman"/>
          <w:sz w:val="28"/>
          <w:szCs w:val="28"/>
          <w:lang w:eastAsia="x-none"/>
        </w:rPr>
      </w:pPr>
      <w:r w:rsidRPr="00522104">
        <w:rPr>
          <w:rFonts w:ascii="Times New Roman" w:eastAsia="Times New Roman" w:hAnsi="Times New Roman" w:cs="Times New Roman"/>
          <w:sz w:val="28"/>
          <w:szCs w:val="28"/>
          <w:lang w:eastAsia="ru-RU"/>
        </w:rPr>
        <w:t xml:space="preserve">Объем финансового обеспечения прогнозируется в 2023 году 2449,03 млн рублей, на </w:t>
      </w:r>
      <w:r w:rsidRPr="00522104">
        <w:rPr>
          <w:rFonts w:ascii="Times New Roman" w:hAnsi="Times New Roman" w:cs="Times New Roman"/>
          <w:sz w:val="28"/>
          <w:szCs w:val="28"/>
          <w:lang w:eastAsia="x-none"/>
        </w:rPr>
        <w:t>2024 год – 1919,80 млн рублей.</w:t>
      </w:r>
    </w:p>
    <w:p w14:paraId="34BD2E23" w14:textId="138068C2"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Планируемый объем расходов на 2022 год выше утвержденных назначений на 1232,66 млн рублей (1440,93 млн рублей), или на 85,55 %</w:t>
      </w:r>
      <w:r w:rsidR="00533C4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 на 2021 год на 794,25 млн рублей, или на 42,26 % (1879,34 млн рублей), в основном в связи с увеличением планируемых расходов по ФП (РП) "Культурная среда", "Творческие люди". Также увеличение средств предусмотрено на субсидии бюджетам муниципальных образований Приморского края на проведение работ по сохранению объектов культурного наследия, субсидии на обеспечение уставной деятельности автономной некоммерческой ор</w:t>
      </w:r>
      <w:r w:rsidR="00533C4C" w:rsidRPr="00522104">
        <w:rPr>
          <w:rFonts w:ascii="Times New Roman" w:eastAsia="Times New Roman" w:hAnsi="Times New Roman" w:cs="Times New Roman"/>
          <w:sz w:val="28"/>
          <w:szCs w:val="28"/>
          <w:lang w:eastAsia="ru-RU"/>
        </w:rPr>
        <w:t>ганизации "Приморский культурно-</w:t>
      </w:r>
      <w:r w:rsidRPr="00522104">
        <w:rPr>
          <w:rFonts w:ascii="Times New Roman" w:eastAsia="Times New Roman" w:hAnsi="Times New Roman" w:cs="Times New Roman"/>
          <w:sz w:val="28"/>
          <w:szCs w:val="28"/>
          <w:lang w:eastAsia="ru-RU"/>
        </w:rPr>
        <w:t xml:space="preserve"> исторический центр".</w:t>
      </w:r>
    </w:p>
    <w:p w14:paraId="589FCCC1"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на реализацию мероприятий в законопроекте на 2022 год в разрезе ведомств запланированы по министерству культуры и архивного дела Приморского края – 2430,92 млн рублей, или 90,92 % – доля в общем объеме, (в 2021 году – 1701,72 млн рублей), министерству строительства Приморского края – 52,48 млн рублей (в 2021 году – 85,37 млн рублей), департаменту информационной политики Приморского края – 12,30 млн рублей (14,30 млн рублей), инспекции по охране объектов культурного наследия Приморского края – 177,89 млн рублей (77,95 млн рублей). </w:t>
      </w:r>
    </w:p>
    <w:p w14:paraId="057EF25E" w14:textId="0A9F4B07" w:rsidR="00827437" w:rsidRPr="00522104" w:rsidRDefault="00827437" w:rsidP="00827437">
      <w:pPr>
        <w:spacing w:after="0" w:line="240" w:lineRule="auto"/>
        <w:ind w:firstLine="720"/>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sz w:val="28"/>
          <w:szCs w:val="28"/>
          <w:lang w:eastAsia="ru-RU"/>
        </w:rPr>
        <w:t xml:space="preserve">Законопроектом на 2022 год в рамках ГП запланирована реализация НП "Культура" по ФП "Творческие люди" на общую сумму 93,88 млн рублей, ФП "Культурная среда" – 469,28 млн рублей, </w:t>
      </w:r>
      <w:r w:rsidRPr="00522104">
        <w:rPr>
          <w:rFonts w:ascii="Times New Roman" w:eastAsia="Times New Roman" w:hAnsi="Times New Roman" w:cs="Times New Roman"/>
          <w:bCs/>
          <w:sz w:val="28"/>
          <w:szCs w:val="28"/>
          <w:lang w:eastAsia="ru-RU"/>
        </w:rPr>
        <w:t>ФП "Цифровая культура" – 1,02 млн рублей. Информация по планиро</w:t>
      </w:r>
      <w:r w:rsidR="009F75D5" w:rsidRPr="00522104">
        <w:rPr>
          <w:rFonts w:ascii="Times New Roman" w:eastAsia="Times New Roman" w:hAnsi="Times New Roman" w:cs="Times New Roman"/>
          <w:bCs/>
          <w:sz w:val="28"/>
          <w:szCs w:val="28"/>
          <w:lang w:eastAsia="ru-RU"/>
        </w:rPr>
        <w:t>ванию расходов НП "Культура" в п</w:t>
      </w:r>
      <w:r w:rsidRPr="00522104">
        <w:rPr>
          <w:rFonts w:ascii="Times New Roman" w:eastAsia="Times New Roman" w:hAnsi="Times New Roman" w:cs="Times New Roman"/>
          <w:bCs/>
          <w:sz w:val="28"/>
          <w:szCs w:val="28"/>
          <w:lang w:eastAsia="ru-RU"/>
        </w:rPr>
        <w:t xml:space="preserve">риложении </w:t>
      </w:r>
      <w:r w:rsidR="009F75D5" w:rsidRPr="00522104">
        <w:rPr>
          <w:rFonts w:ascii="Times New Roman" w:eastAsia="Times New Roman" w:hAnsi="Times New Roman" w:cs="Times New Roman"/>
          <w:bCs/>
          <w:sz w:val="28"/>
          <w:szCs w:val="28"/>
          <w:lang w:eastAsia="ru-RU"/>
        </w:rPr>
        <w:t xml:space="preserve">4 </w:t>
      </w:r>
      <w:r w:rsidRPr="00522104">
        <w:rPr>
          <w:rFonts w:ascii="Times New Roman" w:eastAsia="Times New Roman" w:hAnsi="Times New Roman" w:cs="Times New Roman"/>
          <w:bCs/>
          <w:sz w:val="28"/>
          <w:szCs w:val="28"/>
          <w:lang w:eastAsia="ru-RU"/>
        </w:rPr>
        <w:t>к заключению.</w:t>
      </w:r>
    </w:p>
    <w:p w14:paraId="7224A2FD"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Структура ГП на 2022-2024 год сформирована в разрезе следующих подпрограмм, которые содержат ФП.</w:t>
      </w:r>
    </w:p>
    <w:tbl>
      <w:tblPr>
        <w:tblW w:w="10033" w:type="dxa"/>
        <w:tblInd w:w="-426" w:type="dxa"/>
        <w:tblLayout w:type="fixed"/>
        <w:tblLook w:val="04A0" w:firstRow="1" w:lastRow="0" w:firstColumn="1" w:lastColumn="0" w:noHBand="0" w:noVBand="1"/>
      </w:tblPr>
      <w:tblGrid>
        <w:gridCol w:w="2269"/>
        <w:gridCol w:w="997"/>
        <w:gridCol w:w="984"/>
        <w:gridCol w:w="964"/>
        <w:gridCol w:w="992"/>
        <w:gridCol w:w="850"/>
        <w:gridCol w:w="993"/>
        <w:gridCol w:w="992"/>
        <w:gridCol w:w="992"/>
      </w:tblGrid>
      <w:tr w:rsidR="00827437" w:rsidRPr="00522104" w14:paraId="6EC43332" w14:textId="77777777" w:rsidTr="00AD44C4">
        <w:trPr>
          <w:trHeight w:val="300"/>
          <w:tblHeader/>
        </w:trPr>
        <w:tc>
          <w:tcPr>
            <w:tcW w:w="2269" w:type="dxa"/>
            <w:tcBorders>
              <w:bottom w:val="single" w:sz="4" w:space="0" w:color="auto"/>
            </w:tcBorders>
            <w:shd w:val="clear" w:color="auto" w:fill="auto"/>
          </w:tcPr>
          <w:p w14:paraId="028DAF83"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2945" w:type="dxa"/>
            <w:gridSpan w:val="3"/>
            <w:tcBorders>
              <w:bottom w:val="single" w:sz="4" w:space="0" w:color="auto"/>
            </w:tcBorders>
            <w:shd w:val="clear" w:color="auto" w:fill="auto"/>
            <w:vAlign w:val="center"/>
          </w:tcPr>
          <w:p w14:paraId="1092E1C6"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2835" w:type="dxa"/>
            <w:gridSpan w:val="3"/>
            <w:tcBorders>
              <w:bottom w:val="single" w:sz="4" w:space="0" w:color="auto"/>
            </w:tcBorders>
            <w:shd w:val="clear" w:color="auto" w:fill="auto"/>
            <w:vAlign w:val="center"/>
          </w:tcPr>
          <w:p w14:paraId="6DEC30B6"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1984" w:type="dxa"/>
            <w:gridSpan w:val="2"/>
            <w:tcBorders>
              <w:bottom w:val="single" w:sz="4" w:space="0" w:color="auto"/>
            </w:tcBorders>
            <w:shd w:val="clear" w:color="auto" w:fill="auto"/>
            <w:vAlign w:val="center"/>
          </w:tcPr>
          <w:p w14:paraId="1915A769" w14:textId="77777777" w:rsidR="00827437" w:rsidRPr="005942F8" w:rsidRDefault="00827437" w:rsidP="00E40BEE">
            <w:pPr>
              <w:spacing w:after="0" w:line="240" w:lineRule="auto"/>
              <w:jc w:val="right"/>
              <w:rPr>
                <w:rFonts w:ascii="Times New Roman" w:eastAsia="Times New Roman" w:hAnsi="Times New Roman" w:cs="Times New Roman"/>
                <w:bCs/>
                <w:sz w:val="20"/>
                <w:szCs w:val="20"/>
                <w:lang w:eastAsia="ru-RU"/>
              </w:rPr>
            </w:pPr>
            <w:r w:rsidRPr="005942F8">
              <w:rPr>
                <w:rFonts w:ascii="Times New Roman" w:eastAsia="Times New Roman" w:hAnsi="Times New Roman" w:cs="Times New Roman"/>
                <w:bCs/>
                <w:sz w:val="20"/>
                <w:szCs w:val="20"/>
                <w:lang w:eastAsia="ru-RU"/>
              </w:rPr>
              <w:t>(млн рублей)</w:t>
            </w:r>
          </w:p>
        </w:tc>
      </w:tr>
      <w:tr w:rsidR="00827437" w:rsidRPr="00522104" w14:paraId="1B6C21D1" w14:textId="77777777" w:rsidTr="00AD44C4">
        <w:trPr>
          <w:trHeight w:val="300"/>
          <w:tblHeader/>
        </w:trPr>
        <w:tc>
          <w:tcPr>
            <w:tcW w:w="22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ECED03"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Наименование</w:t>
            </w:r>
          </w:p>
        </w:tc>
        <w:tc>
          <w:tcPr>
            <w:tcW w:w="2945" w:type="dxa"/>
            <w:gridSpan w:val="3"/>
            <w:tcBorders>
              <w:top w:val="single" w:sz="4" w:space="0" w:color="auto"/>
              <w:left w:val="nil"/>
              <w:bottom w:val="single" w:sz="4" w:space="0" w:color="auto"/>
              <w:right w:val="single" w:sz="4" w:space="0" w:color="000000"/>
            </w:tcBorders>
            <w:shd w:val="clear" w:color="auto" w:fill="auto"/>
            <w:vAlign w:val="center"/>
            <w:hideMark/>
          </w:tcPr>
          <w:p w14:paraId="574D8300"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 № 969-КЗ</w:t>
            </w:r>
          </w:p>
        </w:tc>
        <w:tc>
          <w:tcPr>
            <w:tcW w:w="2835" w:type="dxa"/>
            <w:gridSpan w:val="3"/>
            <w:tcBorders>
              <w:top w:val="single" w:sz="4" w:space="0" w:color="auto"/>
              <w:left w:val="nil"/>
              <w:bottom w:val="single" w:sz="4" w:space="0" w:color="auto"/>
              <w:right w:val="single" w:sz="4" w:space="0" w:color="auto"/>
            </w:tcBorders>
            <w:shd w:val="clear" w:color="auto" w:fill="auto"/>
            <w:vAlign w:val="center"/>
            <w:hideMark/>
          </w:tcPr>
          <w:p w14:paraId="53A77B07"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Законопроект</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27A830"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Отклонения законопроекта к утвержденным назначениям</w:t>
            </w:r>
          </w:p>
        </w:tc>
      </w:tr>
      <w:tr w:rsidR="00087AD2" w:rsidRPr="00522104" w14:paraId="13006064" w14:textId="77777777" w:rsidTr="00AD44C4">
        <w:trPr>
          <w:trHeight w:val="379"/>
          <w:tblHeader/>
        </w:trPr>
        <w:tc>
          <w:tcPr>
            <w:tcW w:w="2269" w:type="dxa"/>
            <w:vMerge/>
            <w:tcBorders>
              <w:top w:val="single" w:sz="4" w:space="0" w:color="auto"/>
              <w:left w:val="single" w:sz="4" w:space="0" w:color="auto"/>
              <w:bottom w:val="single" w:sz="4" w:space="0" w:color="000000"/>
              <w:right w:val="single" w:sz="4" w:space="0" w:color="auto"/>
            </w:tcBorders>
            <w:vAlign w:val="center"/>
            <w:hideMark/>
          </w:tcPr>
          <w:p w14:paraId="1E5A0361" w14:textId="77777777" w:rsidR="00087AD2" w:rsidRPr="00522104" w:rsidRDefault="00087AD2" w:rsidP="00E40BEE">
            <w:pPr>
              <w:spacing w:after="0" w:line="240" w:lineRule="auto"/>
              <w:rPr>
                <w:rFonts w:ascii="Times New Roman" w:eastAsia="Times New Roman" w:hAnsi="Times New Roman" w:cs="Times New Roman"/>
                <w:bCs/>
                <w:sz w:val="20"/>
                <w:szCs w:val="20"/>
                <w:lang w:eastAsia="ru-RU"/>
              </w:rPr>
            </w:pPr>
          </w:p>
        </w:tc>
        <w:tc>
          <w:tcPr>
            <w:tcW w:w="997" w:type="dxa"/>
            <w:vMerge w:val="restart"/>
            <w:tcBorders>
              <w:top w:val="nil"/>
              <w:left w:val="nil"/>
              <w:right w:val="single" w:sz="4" w:space="0" w:color="auto"/>
            </w:tcBorders>
            <w:shd w:val="clear" w:color="auto" w:fill="auto"/>
            <w:vAlign w:val="center"/>
            <w:hideMark/>
          </w:tcPr>
          <w:p w14:paraId="1F17ADEF" w14:textId="557DEED2" w:rsidR="00087AD2" w:rsidRPr="00522104" w:rsidRDefault="00087AD2" w:rsidP="00AD44C4">
            <w:pPr>
              <w:spacing w:after="0" w:line="240" w:lineRule="auto"/>
              <w:ind w:lef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первона</w:t>
            </w:r>
            <w:r w:rsidR="00AD44C4">
              <w:rPr>
                <w:rFonts w:ascii="Times New Roman" w:eastAsia="Times New Roman" w:hAnsi="Times New Roman" w:cs="Times New Roman"/>
                <w:bCs/>
                <w:sz w:val="20"/>
                <w:szCs w:val="20"/>
                <w:lang w:eastAsia="ru-RU"/>
              </w:rPr>
              <w:t>-</w:t>
            </w:r>
            <w:r w:rsidRPr="00522104">
              <w:rPr>
                <w:rFonts w:ascii="Times New Roman" w:eastAsia="Times New Roman" w:hAnsi="Times New Roman" w:cs="Times New Roman"/>
                <w:bCs/>
                <w:sz w:val="20"/>
                <w:szCs w:val="20"/>
                <w:lang w:eastAsia="ru-RU"/>
              </w:rPr>
              <w:t>чальная редакция</w:t>
            </w:r>
          </w:p>
          <w:p w14:paraId="7E405968" w14:textId="6A785A9A" w:rsidR="00087AD2" w:rsidRPr="00522104" w:rsidRDefault="00087AD2" w:rsidP="00AD44C4">
            <w:pPr>
              <w:spacing w:after="0" w:line="240" w:lineRule="auto"/>
              <w:ind w:lef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w:t>
            </w:r>
          </w:p>
        </w:tc>
        <w:tc>
          <w:tcPr>
            <w:tcW w:w="1948" w:type="dxa"/>
            <w:gridSpan w:val="2"/>
            <w:tcBorders>
              <w:top w:val="single" w:sz="4" w:space="0" w:color="auto"/>
              <w:left w:val="nil"/>
              <w:bottom w:val="single" w:sz="4" w:space="0" w:color="auto"/>
              <w:right w:val="nil"/>
            </w:tcBorders>
            <w:shd w:val="clear" w:color="auto" w:fill="auto"/>
            <w:noWrap/>
            <w:vAlign w:val="center"/>
            <w:hideMark/>
          </w:tcPr>
          <w:p w14:paraId="05B2DB54"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8 редакция</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94D266"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586554"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2023</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340BEC"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2024</w:t>
            </w:r>
          </w:p>
        </w:tc>
        <w:tc>
          <w:tcPr>
            <w:tcW w:w="992" w:type="dxa"/>
            <w:vMerge w:val="restart"/>
            <w:tcBorders>
              <w:top w:val="single" w:sz="4" w:space="0" w:color="auto"/>
              <w:left w:val="nil"/>
              <w:right w:val="single" w:sz="4" w:space="0" w:color="auto"/>
            </w:tcBorders>
            <w:shd w:val="clear" w:color="auto" w:fill="auto"/>
            <w:noWrap/>
            <w:vAlign w:val="center"/>
            <w:hideMark/>
          </w:tcPr>
          <w:p w14:paraId="5EBA56B7" w14:textId="77777777" w:rsidR="00087AD2" w:rsidRPr="00522104" w:rsidRDefault="00087AD2" w:rsidP="00AD342B">
            <w:pPr>
              <w:spacing w:after="0" w:line="240" w:lineRule="auto"/>
              <w:ind w:lef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2022/2021</w:t>
            </w:r>
          </w:p>
        </w:tc>
        <w:tc>
          <w:tcPr>
            <w:tcW w:w="992" w:type="dxa"/>
            <w:vMerge w:val="restart"/>
            <w:tcBorders>
              <w:top w:val="single" w:sz="4" w:space="0" w:color="auto"/>
              <w:left w:val="single" w:sz="4" w:space="0" w:color="auto"/>
              <w:right w:val="single" w:sz="4" w:space="0" w:color="auto"/>
            </w:tcBorders>
            <w:shd w:val="clear" w:color="auto" w:fill="auto"/>
            <w:noWrap/>
            <w:vAlign w:val="center"/>
            <w:hideMark/>
          </w:tcPr>
          <w:p w14:paraId="2D9D9F98" w14:textId="77777777" w:rsidR="00087AD2" w:rsidRPr="00522104" w:rsidRDefault="00087AD2" w:rsidP="002E7523">
            <w:pPr>
              <w:spacing w:after="0" w:line="240" w:lineRule="auto"/>
              <w:ind w:left="-108"/>
              <w:jc w:val="right"/>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2022/2022</w:t>
            </w:r>
          </w:p>
        </w:tc>
      </w:tr>
      <w:tr w:rsidR="00087AD2" w:rsidRPr="00522104" w14:paraId="2E7B600F" w14:textId="77777777" w:rsidTr="00AD44C4">
        <w:trPr>
          <w:trHeight w:val="300"/>
          <w:tblHeader/>
        </w:trPr>
        <w:tc>
          <w:tcPr>
            <w:tcW w:w="2269" w:type="dxa"/>
            <w:vMerge/>
            <w:tcBorders>
              <w:top w:val="single" w:sz="4" w:space="0" w:color="auto"/>
              <w:left w:val="single" w:sz="4" w:space="0" w:color="auto"/>
              <w:bottom w:val="single" w:sz="4" w:space="0" w:color="000000"/>
              <w:right w:val="single" w:sz="4" w:space="0" w:color="auto"/>
            </w:tcBorders>
            <w:vAlign w:val="center"/>
            <w:hideMark/>
          </w:tcPr>
          <w:p w14:paraId="107E8B76" w14:textId="77777777" w:rsidR="00087AD2" w:rsidRPr="00522104" w:rsidRDefault="00087AD2" w:rsidP="00E40BEE">
            <w:pPr>
              <w:spacing w:after="0" w:line="240" w:lineRule="auto"/>
              <w:rPr>
                <w:rFonts w:ascii="Times New Roman" w:eastAsia="Times New Roman" w:hAnsi="Times New Roman" w:cs="Times New Roman"/>
                <w:bCs/>
                <w:sz w:val="20"/>
                <w:szCs w:val="20"/>
                <w:lang w:eastAsia="ru-RU"/>
              </w:rPr>
            </w:pPr>
          </w:p>
        </w:tc>
        <w:tc>
          <w:tcPr>
            <w:tcW w:w="997" w:type="dxa"/>
            <w:vMerge/>
            <w:tcBorders>
              <w:left w:val="nil"/>
              <w:bottom w:val="single" w:sz="4" w:space="0" w:color="auto"/>
              <w:right w:val="single" w:sz="4" w:space="0" w:color="auto"/>
            </w:tcBorders>
            <w:shd w:val="clear" w:color="auto" w:fill="auto"/>
            <w:vAlign w:val="center"/>
            <w:hideMark/>
          </w:tcPr>
          <w:p w14:paraId="61B8EB02" w14:textId="1BA18929"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p>
        </w:tc>
        <w:tc>
          <w:tcPr>
            <w:tcW w:w="984" w:type="dxa"/>
            <w:tcBorders>
              <w:top w:val="nil"/>
              <w:left w:val="nil"/>
              <w:bottom w:val="single" w:sz="4" w:space="0" w:color="auto"/>
              <w:right w:val="single" w:sz="4" w:space="0" w:color="auto"/>
            </w:tcBorders>
            <w:shd w:val="clear" w:color="auto" w:fill="auto"/>
            <w:noWrap/>
            <w:vAlign w:val="center"/>
            <w:hideMark/>
          </w:tcPr>
          <w:p w14:paraId="0E1C8DF6"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w:t>
            </w:r>
          </w:p>
        </w:tc>
        <w:tc>
          <w:tcPr>
            <w:tcW w:w="964" w:type="dxa"/>
            <w:tcBorders>
              <w:top w:val="nil"/>
              <w:left w:val="nil"/>
              <w:bottom w:val="single" w:sz="4" w:space="0" w:color="auto"/>
              <w:right w:val="nil"/>
            </w:tcBorders>
            <w:shd w:val="clear" w:color="auto" w:fill="auto"/>
            <w:noWrap/>
            <w:vAlign w:val="center"/>
            <w:hideMark/>
          </w:tcPr>
          <w:p w14:paraId="787ECEDC"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w:t>
            </w:r>
          </w:p>
        </w:tc>
        <w:tc>
          <w:tcPr>
            <w:tcW w:w="992" w:type="dxa"/>
            <w:vMerge/>
            <w:tcBorders>
              <w:top w:val="nil"/>
              <w:left w:val="single" w:sz="4" w:space="0" w:color="auto"/>
              <w:bottom w:val="single" w:sz="4" w:space="0" w:color="000000"/>
              <w:right w:val="single" w:sz="4" w:space="0" w:color="auto"/>
            </w:tcBorders>
            <w:vAlign w:val="center"/>
            <w:hideMark/>
          </w:tcPr>
          <w:p w14:paraId="33D2CC7A" w14:textId="77777777" w:rsidR="00087AD2" w:rsidRPr="00522104" w:rsidRDefault="00087AD2" w:rsidP="00E40BEE">
            <w:pPr>
              <w:spacing w:after="0" w:line="240" w:lineRule="auto"/>
              <w:rPr>
                <w:rFonts w:ascii="Times New Roman" w:eastAsia="Times New Roman" w:hAnsi="Times New Roman" w:cs="Times New Roman"/>
                <w:bCs/>
                <w:sz w:val="20"/>
                <w:szCs w:val="20"/>
                <w:lang w:eastAsia="ru-RU"/>
              </w:rPr>
            </w:pPr>
          </w:p>
        </w:tc>
        <w:tc>
          <w:tcPr>
            <w:tcW w:w="850" w:type="dxa"/>
            <w:vMerge/>
            <w:tcBorders>
              <w:top w:val="nil"/>
              <w:left w:val="single" w:sz="4" w:space="0" w:color="auto"/>
              <w:bottom w:val="single" w:sz="4" w:space="0" w:color="000000"/>
              <w:right w:val="single" w:sz="4" w:space="0" w:color="auto"/>
            </w:tcBorders>
            <w:vAlign w:val="center"/>
            <w:hideMark/>
          </w:tcPr>
          <w:p w14:paraId="38FB3638" w14:textId="77777777" w:rsidR="00087AD2" w:rsidRPr="00522104" w:rsidRDefault="00087AD2" w:rsidP="00E40BEE">
            <w:pPr>
              <w:spacing w:after="0" w:line="240" w:lineRule="auto"/>
              <w:rPr>
                <w:rFonts w:ascii="Times New Roman" w:eastAsia="Times New Roman" w:hAnsi="Times New Roman" w:cs="Times New Roman"/>
                <w:bCs/>
                <w:sz w:val="20"/>
                <w:szCs w:val="20"/>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85BCA47" w14:textId="77777777" w:rsidR="00087AD2" w:rsidRPr="00522104" w:rsidRDefault="00087AD2" w:rsidP="00E40BEE">
            <w:pPr>
              <w:spacing w:after="0" w:line="240" w:lineRule="auto"/>
              <w:rPr>
                <w:rFonts w:ascii="Times New Roman" w:eastAsia="Times New Roman" w:hAnsi="Times New Roman" w:cs="Times New Roman"/>
                <w:bCs/>
                <w:sz w:val="20"/>
                <w:szCs w:val="20"/>
                <w:lang w:eastAsia="ru-RU"/>
              </w:rPr>
            </w:pPr>
          </w:p>
        </w:tc>
        <w:tc>
          <w:tcPr>
            <w:tcW w:w="992" w:type="dxa"/>
            <w:vMerge/>
            <w:tcBorders>
              <w:left w:val="nil"/>
              <w:bottom w:val="single" w:sz="4" w:space="0" w:color="auto"/>
              <w:right w:val="single" w:sz="4" w:space="0" w:color="auto"/>
            </w:tcBorders>
            <w:shd w:val="clear" w:color="auto" w:fill="auto"/>
            <w:noWrap/>
            <w:vAlign w:val="center"/>
            <w:hideMark/>
          </w:tcPr>
          <w:p w14:paraId="146BC7A8"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p>
        </w:tc>
        <w:tc>
          <w:tcPr>
            <w:tcW w:w="992" w:type="dxa"/>
            <w:vMerge/>
            <w:tcBorders>
              <w:left w:val="single" w:sz="4" w:space="0" w:color="auto"/>
              <w:bottom w:val="single" w:sz="4" w:space="0" w:color="auto"/>
              <w:right w:val="single" w:sz="4" w:space="0" w:color="auto"/>
            </w:tcBorders>
            <w:shd w:val="clear" w:color="auto" w:fill="auto"/>
            <w:noWrap/>
            <w:vAlign w:val="center"/>
            <w:hideMark/>
          </w:tcPr>
          <w:p w14:paraId="05D744E9"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p>
        </w:tc>
      </w:tr>
      <w:tr w:rsidR="00827437" w:rsidRPr="00522104" w14:paraId="62E211B1" w14:textId="77777777" w:rsidTr="00AD44C4">
        <w:trPr>
          <w:trHeight w:val="89"/>
          <w:tblHeader/>
        </w:trPr>
        <w:tc>
          <w:tcPr>
            <w:tcW w:w="2269" w:type="dxa"/>
            <w:tcBorders>
              <w:top w:val="nil"/>
              <w:left w:val="single" w:sz="4" w:space="0" w:color="auto"/>
              <w:bottom w:val="single" w:sz="4" w:space="0" w:color="auto"/>
              <w:right w:val="single" w:sz="4" w:space="0" w:color="auto"/>
            </w:tcBorders>
            <w:shd w:val="clear" w:color="DDEBF7" w:fill="FFFFFF"/>
            <w:vAlign w:val="center"/>
            <w:hideMark/>
          </w:tcPr>
          <w:p w14:paraId="4E20E8E1"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1</w:t>
            </w:r>
          </w:p>
        </w:tc>
        <w:tc>
          <w:tcPr>
            <w:tcW w:w="997" w:type="dxa"/>
            <w:tcBorders>
              <w:top w:val="nil"/>
              <w:left w:val="nil"/>
              <w:bottom w:val="single" w:sz="4" w:space="0" w:color="auto"/>
              <w:right w:val="single" w:sz="4" w:space="0" w:color="auto"/>
            </w:tcBorders>
            <w:shd w:val="clear" w:color="auto" w:fill="auto"/>
            <w:vAlign w:val="center"/>
            <w:hideMark/>
          </w:tcPr>
          <w:p w14:paraId="5F92D9E0"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2</w:t>
            </w:r>
          </w:p>
        </w:tc>
        <w:tc>
          <w:tcPr>
            <w:tcW w:w="984" w:type="dxa"/>
            <w:tcBorders>
              <w:top w:val="nil"/>
              <w:left w:val="nil"/>
              <w:bottom w:val="single" w:sz="4" w:space="0" w:color="auto"/>
              <w:right w:val="single" w:sz="4" w:space="0" w:color="auto"/>
            </w:tcBorders>
            <w:shd w:val="clear" w:color="auto" w:fill="auto"/>
            <w:vAlign w:val="center"/>
            <w:hideMark/>
          </w:tcPr>
          <w:p w14:paraId="1FBD53EC"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3</w:t>
            </w:r>
          </w:p>
        </w:tc>
        <w:tc>
          <w:tcPr>
            <w:tcW w:w="964" w:type="dxa"/>
            <w:tcBorders>
              <w:top w:val="nil"/>
              <w:left w:val="nil"/>
              <w:bottom w:val="single" w:sz="4" w:space="0" w:color="auto"/>
              <w:right w:val="single" w:sz="4" w:space="0" w:color="auto"/>
            </w:tcBorders>
            <w:shd w:val="clear" w:color="auto" w:fill="auto"/>
            <w:vAlign w:val="center"/>
            <w:hideMark/>
          </w:tcPr>
          <w:p w14:paraId="3D494DA4"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40345C4D"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14:paraId="33C5DA01"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6</w:t>
            </w:r>
          </w:p>
        </w:tc>
        <w:tc>
          <w:tcPr>
            <w:tcW w:w="993" w:type="dxa"/>
            <w:tcBorders>
              <w:top w:val="nil"/>
              <w:left w:val="nil"/>
              <w:bottom w:val="single" w:sz="4" w:space="0" w:color="auto"/>
              <w:right w:val="single" w:sz="4" w:space="0" w:color="auto"/>
            </w:tcBorders>
            <w:shd w:val="clear" w:color="auto" w:fill="auto"/>
            <w:vAlign w:val="center"/>
            <w:hideMark/>
          </w:tcPr>
          <w:p w14:paraId="48491EA5"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14:paraId="38298851"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8=5-3</w:t>
            </w:r>
          </w:p>
        </w:tc>
        <w:tc>
          <w:tcPr>
            <w:tcW w:w="992" w:type="dxa"/>
            <w:tcBorders>
              <w:top w:val="nil"/>
              <w:left w:val="nil"/>
              <w:bottom w:val="single" w:sz="4" w:space="0" w:color="auto"/>
              <w:right w:val="single" w:sz="4" w:space="0" w:color="auto"/>
            </w:tcBorders>
            <w:shd w:val="clear" w:color="auto" w:fill="auto"/>
            <w:vAlign w:val="center"/>
            <w:hideMark/>
          </w:tcPr>
          <w:p w14:paraId="2C5F663E" w14:textId="77777777" w:rsidR="00827437" w:rsidRPr="00522104" w:rsidRDefault="00827437" w:rsidP="00E40BEE">
            <w:pPr>
              <w:spacing w:after="0" w:line="240" w:lineRule="auto"/>
              <w:jc w:val="center"/>
              <w:rPr>
                <w:rFonts w:ascii="Times New Roman" w:eastAsia="Times New Roman" w:hAnsi="Times New Roman" w:cs="Times New Roman"/>
                <w:bCs/>
                <w:sz w:val="18"/>
                <w:szCs w:val="20"/>
                <w:lang w:eastAsia="ru-RU"/>
              </w:rPr>
            </w:pPr>
            <w:r w:rsidRPr="00522104">
              <w:rPr>
                <w:rFonts w:ascii="Times New Roman" w:eastAsia="Times New Roman" w:hAnsi="Times New Roman" w:cs="Times New Roman"/>
                <w:bCs/>
                <w:sz w:val="18"/>
                <w:szCs w:val="20"/>
                <w:lang w:eastAsia="ru-RU"/>
              </w:rPr>
              <w:t>9=5-4</w:t>
            </w:r>
          </w:p>
        </w:tc>
      </w:tr>
      <w:tr w:rsidR="00827437" w:rsidRPr="00522104" w14:paraId="3FFCAEC5" w14:textId="77777777" w:rsidTr="00AD44C4">
        <w:trPr>
          <w:trHeight w:val="765"/>
        </w:trPr>
        <w:tc>
          <w:tcPr>
            <w:tcW w:w="2269" w:type="dxa"/>
            <w:tcBorders>
              <w:top w:val="nil"/>
              <w:left w:val="single" w:sz="4" w:space="0" w:color="auto"/>
              <w:bottom w:val="single" w:sz="4" w:space="0" w:color="auto"/>
              <w:right w:val="single" w:sz="4" w:space="0" w:color="auto"/>
            </w:tcBorders>
            <w:shd w:val="clear" w:color="000000" w:fill="FFFFFF"/>
            <w:hideMark/>
          </w:tcPr>
          <w:p w14:paraId="15CDA3D9" w14:textId="637B8F13" w:rsidR="00827437" w:rsidRPr="00522104" w:rsidRDefault="00827437" w:rsidP="00533C4C">
            <w:pPr>
              <w:spacing w:after="0" w:line="240" w:lineRule="auto"/>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ГП "Развитие культуры Приморского края на 2020-2027 годы", всего</w:t>
            </w:r>
            <w:r w:rsidRPr="00522104">
              <w:rPr>
                <w:rFonts w:ascii="Times New Roman" w:eastAsia="Times New Roman" w:hAnsi="Times New Roman" w:cs="Times New Roman"/>
                <w:bCs/>
                <w:sz w:val="20"/>
                <w:szCs w:val="20"/>
                <w:lang w:eastAsia="ru-RU"/>
              </w:rPr>
              <w:t>, в том числе</w:t>
            </w:r>
            <w:r w:rsidR="00087AD2">
              <w:rPr>
                <w:rFonts w:ascii="Times New Roman" w:eastAsia="Times New Roman" w:hAnsi="Times New Roman" w:cs="Times New Roman"/>
                <w:bCs/>
                <w:sz w:val="20"/>
                <w:szCs w:val="20"/>
                <w:lang w:eastAsia="ru-RU"/>
              </w:rPr>
              <w:t>:</w:t>
            </w:r>
          </w:p>
        </w:tc>
        <w:tc>
          <w:tcPr>
            <w:tcW w:w="997" w:type="dxa"/>
            <w:tcBorders>
              <w:top w:val="nil"/>
              <w:left w:val="nil"/>
              <w:bottom w:val="single" w:sz="4" w:space="0" w:color="auto"/>
              <w:right w:val="single" w:sz="4" w:space="0" w:color="auto"/>
            </w:tcBorders>
            <w:shd w:val="clear" w:color="000000" w:fill="FFFFFF"/>
            <w:noWrap/>
            <w:vAlign w:val="bottom"/>
            <w:hideMark/>
          </w:tcPr>
          <w:p w14:paraId="0D136891"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1655,85</w:t>
            </w:r>
          </w:p>
        </w:tc>
        <w:tc>
          <w:tcPr>
            <w:tcW w:w="984" w:type="dxa"/>
            <w:tcBorders>
              <w:top w:val="nil"/>
              <w:left w:val="nil"/>
              <w:bottom w:val="single" w:sz="4" w:space="0" w:color="auto"/>
              <w:right w:val="single" w:sz="4" w:space="0" w:color="auto"/>
            </w:tcBorders>
            <w:shd w:val="clear" w:color="000000" w:fill="FFFFFF"/>
            <w:noWrap/>
            <w:vAlign w:val="bottom"/>
            <w:hideMark/>
          </w:tcPr>
          <w:p w14:paraId="3C9F4703"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1879,34</w:t>
            </w:r>
          </w:p>
        </w:tc>
        <w:tc>
          <w:tcPr>
            <w:tcW w:w="964" w:type="dxa"/>
            <w:tcBorders>
              <w:top w:val="nil"/>
              <w:left w:val="nil"/>
              <w:bottom w:val="single" w:sz="4" w:space="0" w:color="auto"/>
              <w:right w:val="single" w:sz="4" w:space="0" w:color="auto"/>
            </w:tcBorders>
            <w:shd w:val="clear" w:color="000000" w:fill="FFFFFF"/>
            <w:noWrap/>
            <w:vAlign w:val="bottom"/>
            <w:hideMark/>
          </w:tcPr>
          <w:p w14:paraId="45740ABE"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1440,93</w:t>
            </w:r>
          </w:p>
        </w:tc>
        <w:tc>
          <w:tcPr>
            <w:tcW w:w="992" w:type="dxa"/>
            <w:tcBorders>
              <w:top w:val="nil"/>
              <w:left w:val="nil"/>
              <w:bottom w:val="single" w:sz="4" w:space="0" w:color="auto"/>
              <w:right w:val="single" w:sz="4" w:space="0" w:color="auto"/>
            </w:tcBorders>
            <w:shd w:val="clear" w:color="000000" w:fill="FFFFFF"/>
            <w:noWrap/>
            <w:vAlign w:val="bottom"/>
            <w:hideMark/>
          </w:tcPr>
          <w:p w14:paraId="0FCCEDE6"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2673,59</w:t>
            </w:r>
          </w:p>
        </w:tc>
        <w:tc>
          <w:tcPr>
            <w:tcW w:w="850" w:type="dxa"/>
            <w:tcBorders>
              <w:top w:val="nil"/>
              <w:left w:val="nil"/>
              <w:bottom w:val="single" w:sz="4" w:space="0" w:color="auto"/>
              <w:right w:val="single" w:sz="4" w:space="0" w:color="auto"/>
            </w:tcBorders>
            <w:shd w:val="clear" w:color="000000" w:fill="FFFFFF"/>
            <w:noWrap/>
            <w:vAlign w:val="bottom"/>
            <w:hideMark/>
          </w:tcPr>
          <w:p w14:paraId="43CF3FFC" w14:textId="77777777" w:rsidR="00827437" w:rsidRPr="00522104" w:rsidRDefault="00827437" w:rsidP="00AD342B">
            <w:pPr>
              <w:spacing w:after="0" w:line="240" w:lineRule="auto"/>
              <w:ind w:left="-108"/>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2449,03</w:t>
            </w:r>
          </w:p>
        </w:tc>
        <w:tc>
          <w:tcPr>
            <w:tcW w:w="993" w:type="dxa"/>
            <w:tcBorders>
              <w:top w:val="nil"/>
              <w:left w:val="nil"/>
              <w:bottom w:val="single" w:sz="4" w:space="0" w:color="auto"/>
              <w:right w:val="single" w:sz="4" w:space="0" w:color="auto"/>
            </w:tcBorders>
            <w:shd w:val="clear" w:color="000000" w:fill="FFFFFF"/>
            <w:noWrap/>
            <w:vAlign w:val="bottom"/>
            <w:hideMark/>
          </w:tcPr>
          <w:p w14:paraId="00D67F91"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1919,80</w:t>
            </w:r>
          </w:p>
        </w:tc>
        <w:tc>
          <w:tcPr>
            <w:tcW w:w="992" w:type="dxa"/>
            <w:tcBorders>
              <w:top w:val="nil"/>
              <w:left w:val="nil"/>
              <w:bottom w:val="single" w:sz="4" w:space="0" w:color="auto"/>
              <w:right w:val="single" w:sz="4" w:space="0" w:color="auto"/>
            </w:tcBorders>
            <w:shd w:val="clear" w:color="000000" w:fill="FFFFFF"/>
            <w:noWrap/>
            <w:vAlign w:val="bottom"/>
            <w:hideMark/>
          </w:tcPr>
          <w:p w14:paraId="3FE8890F"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794,25</w:t>
            </w:r>
          </w:p>
        </w:tc>
        <w:tc>
          <w:tcPr>
            <w:tcW w:w="992" w:type="dxa"/>
            <w:tcBorders>
              <w:top w:val="nil"/>
              <w:left w:val="nil"/>
              <w:bottom w:val="single" w:sz="4" w:space="0" w:color="auto"/>
              <w:right w:val="single" w:sz="4" w:space="0" w:color="auto"/>
            </w:tcBorders>
            <w:shd w:val="clear" w:color="000000" w:fill="FFFFFF"/>
            <w:noWrap/>
            <w:vAlign w:val="bottom"/>
            <w:hideMark/>
          </w:tcPr>
          <w:p w14:paraId="56DEE4CF"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1232,66</w:t>
            </w:r>
          </w:p>
        </w:tc>
      </w:tr>
      <w:tr w:rsidR="00827437" w:rsidRPr="00522104" w14:paraId="32C22668" w14:textId="77777777" w:rsidTr="00AD44C4">
        <w:trPr>
          <w:trHeight w:val="1530"/>
        </w:trPr>
        <w:tc>
          <w:tcPr>
            <w:tcW w:w="2269" w:type="dxa"/>
            <w:tcBorders>
              <w:top w:val="nil"/>
              <w:left w:val="single" w:sz="4" w:space="0" w:color="auto"/>
              <w:bottom w:val="single" w:sz="4" w:space="0" w:color="auto"/>
              <w:right w:val="single" w:sz="4" w:space="0" w:color="auto"/>
            </w:tcBorders>
            <w:shd w:val="clear" w:color="auto" w:fill="auto"/>
            <w:hideMark/>
          </w:tcPr>
          <w:p w14:paraId="5BC97FAD"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П</w:t>
            </w:r>
            <w:r w:rsidRPr="005942F8">
              <w:rPr>
                <w:rFonts w:ascii="Times New Roman" w:eastAsia="Times New Roman" w:hAnsi="Times New Roman" w:cs="Times New Roman"/>
                <w:bCs/>
                <w:sz w:val="20"/>
                <w:szCs w:val="20"/>
                <w:lang w:eastAsia="ru-RU"/>
              </w:rPr>
              <w:t xml:space="preserve">одпрограмма </w:t>
            </w:r>
            <w:r w:rsidRPr="005942F8">
              <w:rPr>
                <w:rFonts w:ascii="Times New Roman" w:eastAsia="Times New Roman" w:hAnsi="Times New Roman" w:cs="Times New Roman"/>
                <w:sz w:val="20"/>
                <w:szCs w:val="20"/>
                <w:lang w:eastAsia="ru-RU"/>
              </w:rPr>
              <w:t>"Обеспечение деятельности государственных учреждений культуры и архивного дела, государственных образовательных учреждений в сфере культуры"</w:t>
            </w:r>
          </w:p>
        </w:tc>
        <w:tc>
          <w:tcPr>
            <w:tcW w:w="997" w:type="dxa"/>
            <w:tcBorders>
              <w:top w:val="nil"/>
              <w:left w:val="nil"/>
              <w:bottom w:val="single" w:sz="4" w:space="0" w:color="auto"/>
              <w:right w:val="single" w:sz="4" w:space="0" w:color="auto"/>
            </w:tcBorders>
            <w:shd w:val="clear" w:color="auto" w:fill="auto"/>
            <w:noWrap/>
            <w:vAlign w:val="bottom"/>
            <w:hideMark/>
          </w:tcPr>
          <w:p w14:paraId="5C33EDF5"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1076,44</w:t>
            </w:r>
          </w:p>
        </w:tc>
        <w:tc>
          <w:tcPr>
            <w:tcW w:w="984" w:type="dxa"/>
            <w:tcBorders>
              <w:top w:val="nil"/>
              <w:left w:val="nil"/>
              <w:bottom w:val="single" w:sz="4" w:space="0" w:color="auto"/>
              <w:right w:val="single" w:sz="4" w:space="0" w:color="auto"/>
            </w:tcBorders>
            <w:shd w:val="clear" w:color="auto" w:fill="auto"/>
            <w:noWrap/>
            <w:vAlign w:val="bottom"/>
            <w:hideMark/>
          </w:tcPr>
          <w:p w14:paraId="4F3CAF3D"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1149,23</w:t>
            </w:r>
          </w:p>
        </w:tc>
        <w:tc>
          <w:tcPr>
            <w:tcW w:w="964" w:type="dxa"/>
            <w:tcBorders>
              <w:top w:val="nil"/>
              <w:left w:val="nil"/>
              <w:bottom w:val="single" w:sz="4" w:space="0" w:color="auto"/>
              <w:right w:val="single" w:sz="4" w:space="0" w:color="auto"/>
            </w:tcBorders>
            <w:shd w:val="clear" w:color="auto" w:fill="auto"/>
            <w:noWrap/>
            <w:vAlign w:val="bottom"/>
            <w:hideMark/>
          </w:tcPr>
          <w:p w14:paraId="661B8BD4"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1092,78</w:t>
            </w:r>
          </w:p>
        </w:tc>
        <w:tc>
          <w:tcPr>
            <w:tcW w:w="992" w:type="dxa"/>
            <w:tcBorders>
              <w:top w:val="nil"/>
              <w:left w:val="nil"/>
              <w:bottom w:val="single" w:sz="4" w:space="0" w:color="auto"/>
              <w:right w:val="single" w:sz="4" w:space="0" w:color="auto"/>
            </w:tcBorders>
            <w:shd w:val="clear" w:color="auto" w:fill="auto"/>
            <w:noWrap/>
            <w:vAlign w:val="bottom"/>
            <w:hideMark/>
          </w:tcPr>
          <w:p w14:paraId="49D02798"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1307,71</w:t>
            </w:r>
          </w:p>
        </w:tc>
        <w:tc>
          <w:tcPr>
            <w:tcW w:w="850" w:type="dxa"/>
            <w:tcBorders>
              <w:top w:val="nil"/>
              <w:left w:val="nil"/>
              <w:bottom w:val="single" w:sz="4" w:space="0" w:color="auto"/>
              <w:right w:val="single" w:sz="4" w:space="0" w:color="auto"/>
            </w:tcBorders>
            <w:shd w:val="clear" w:color="auto" w:fill="auto"/>
            <w:noWrap/>
            <w:vAlign w:val="bottom"/>
            <w:hideMark/>
          </w:tcPr>
          <w:p w14:paraId="518BDB6B" w14:textId="77777777" w:rsidR="00827437" w:rsidRPr="005942F8" w:rsidRDefault="00827437" w:rsidP="00AD342B">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1195,88</w:t>
            </w:r>
          </w:p>
        </w:tc>
        <w:tc>
          <w:tcPr>
            <w:tcW w:w="993" w:type="dxa"/>
            <w:tcBorders>
              <w:top w:val="nil"/>
              <w:left w:val="nil"/>
              <w:bottom w:val="single" w:sz="4" w:space="0" w:color="auto"/>
              <w:right w:val="single" w:sz="4" w:space="0" w:color="auto"/>
            </w:tcBorders>
            <w:shd w:val="clear" w:color="auto" w:fill="auto"/>
            <w:noWrap/>
            <w:vAlign w:val="bottom"/>
            <w:hideMark/>
          </w:tcPr>
          <w:p w14:paraId="7D6D729B"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1255,85</w:t>
            </w:r>
          </w:p>
        </w:tc>
        <w:tc>
          <w:tcPr>
            <w:tcW w:w="992" w:type="dxa"/>
            <w:tcBorders>
              <w:top w:val="nil"/>
              <w:left w:val="nil"/>
              <w:bottom w:val="single" w:sz="4" w:space="0" w:color="auto"/>
              <w:right w:val="single" w:sz="4" w:space="0" w:color="auto"/>
            </w:tcBorders>
            <w:shd w:val="clear" w:color="auto" w:fill="auto"/>
            <w:noWrap/>
            <w:vAlign w:val="bottom"/>
            <w:hideMark/>
          </w:tcPr>
          <w:p w14:paraId="6AD2A33C"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158,48</w:t>
            </w:r>
          </w:p>
        </w:tc>
        <w:tc>
          <w:tcPr>
            <w:tcW w:w="992" w:type="dxa"/>
            <w:tcBorders>
              <w:top w:val="nil"/>
              <w:left w:val="nil"/>
              <w:bottom w:val="single" w:sz="4" w:space="0" w:color="auto"/>
              <w:right w:val="single" w:sz="4" w:space="0" w:color="auto"/>
            </w:tcBorders>
            <w:shd w:val="clear" w:color="auto" w:fill="auto"/>
            <w:noWrap/>
            <w:vAlign w:val="bottom"/>
            <w:hideMark/>
          </w:tcPr>
          <w:p w14:paraId="2DCD299D"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214,93</w:t>
            </w:r>
          </w:p>
        </w:tc>
      </w:tr>
      <w:tr w:rsidR="00827437" w:rsidRPr="00522104" w14:paraId="63678D21" w14:textId="77777777" w:rsidTr="00AD44C4">
        <w:trPr>
          <w:trHeight w:val="765"/>
        </w:trPr>
        <w:tc>
          <w:tcPr>
            <w:tcW w:w="2269" w:type="dxa"/>
            <w:tcBorders>
              <w:top w:val="nil"/>
              <w:left w:val="single" w:sz="4" w:space="0" w:color="auto"/>
              <w:bottom w:val="single" w:sz="4" w:space="0" w:color="auto"/>
              <w:right w:val="single" w:sz="4" w:space="0" w:color="auto"/>
            </w:tcBorders>
            <w:shd w:val="clear" w:color="auto" w:fill="auto"/>
            <w:hideMark/>
          </w:tcPr>
          <w:p w14:paraId="5D482A5D"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 xml:space="preserve"> Подпрограмма "Мероприятия в сфере культуры и охраны объектов историко-культурного наследия"</w:t>
            </w:r>
          </w:p>
        </w:tc>
        <w:tc>
          <w:tcPr>
            <w:tcW w:w="997" w:type="dxa"/>
            <w:tcBorders>
              <w:top w:val="nil"/>
              <w:left w:val="nil"/>
              <w:bottom w:val="single" w:sz="4" w:space="0" w:color="auto"/>
              <w:right w:val="single" w:sz="4" w:space="0" w:color="auto"/>
            </w:tcBorders>
            <w:shd w:val="clear" w:color="auto" w:fill="auto"/>
            <w:noWrap/>
            <w:vAlign w:val="bottom"/>
            <w:hideMark/>
          </w:tcPr>
          <w:p w14:paraId="348E0FAC"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177,39</w:t>
            </w:r>
          </w:p>
        </w:tc>
        <w:tc>
          <w:tcPr>
            <w:tcW w:w="984" w:type="dxa"/>
            <w:tcBorders>
              <w:top w:val="nil"/>
              <w:left w:val="nil"/>
              <w:bottom w:val="single" w:sz="4" w:space="0" w:color="auto"/>
              <w:right w:val="single" w:sz="4" w:space="0" w:color="auto"/>
            </w:tcBorders>
            <w:shd w:val="clear" w:color="auto" w:fill="auto"/>
            <w:noWrap/>
            <w:vAlign w:val="bottom"/>
            <w:hideMark/>
          </w:tcPr>
          <w:p w14:paraId="48FC03D0"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284,76</w:t>
            </w:r>
          </w:p>
        </w:tc>
        <w:tc>
          <w:tcPr>
            <w:tcW w:w="964" w:type="dxa"/>
            <w:tcBorders>
              <w:top w:val="nil"/>
              <w:left w:val="nil"/>
              <w:bottom w:val="single" w:sz="4" w:space="0" w:color="auto"/>
              <w:right w:val="single" w:sz="4" w:space="0" w:color="auto"/>
            </w:tcBorders>
            <w:shd w:val="clear" w:color="auto" w:fill="auto"/>
            <w:noWrap/>
            <w:vAlign w:val="bottom"/>
            <w:hideMark/>
          </w:tcPr>
          <w:p w14:paraId="072B2399"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126,51</w:t>
            </w:r>
          </w:p>
        </w:tc>
        <w:tc>
          <w:tcPr>
            <w:tcW w:w="992" w:type="dxa"/>
            <w:tcBorders>
              <w:top w:val="nil"/>
              <w:left w:val="nil"/>
              <w:bottom w:val="single" w:sz="4" w:space="0" w:color="auto"/>
              <w:right w:val="single" w:sz="4" w:space="0" w:color="auto"/>
            </w:tcBorders>
            <w:shd w:val="clear" w:color="auto" w:fill="auto"/>
            <w:noWrap/>
            <w:vAlign w:val="bottom"/>
            <w:hideMark/>
          </w:tcPr>
          <w:p w14:paraId="1D0160AD"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518,06</w:t>
            </w:r>
          </w:p>
        </w:tc>
        <w:tc>
          <w:tcPr>
            <w:tcW w:w="850" w:type="dxa"/>
            <w:tcBorders>
              <w:top w:val="nil"/>
              <w:left w:val="nil"/>
              <w:bottom w:val="single" w:sz="4" w:space="0" w:color="auto"/>
              <w:right w:val="single" w:sz="4" w:space="0" w:color="auto"/>
            </w:tcBorders>
            <w:shd w:val="clear" w:color="auto" w:fill="auto"/>
            <w:noWrap/>
            <w:vAlign w:val="bottom"/>
            <w:hideMark/>
          </w:tcPr>
          <w:p w14:paraId="58E69A3F" w14:textId="77777777" w:rsidR="00827437" w:rsidRPr="005942F8" w:rsidRDefault="00827437" w:rsidP="00AD342B">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68,48</w:t>
            </w:r>
          </w:p>
        </w:tc>
        <w:tc>
          <w:tcPr>
            <w:tcW w:w="993" w:type="dxa"/>
            <w:tcBorders>
              <w:top w:val="nil"/>
              <w:left w:val="nil"/>
              <w:bottom w:val="single" w:sz="4" w:space="0" w:color="auto"/>
              <w:right w:val="single" w:sz="4" w:space="0" w:color="auto"/>
            </w:tcBorders>
            <w:shd w:val="clear" w:color="auto" w:fill="auto"/>
            <w:noWrap/>
            <w:vAlign w:val="bottom"/>
            <w:hideMark/>
          </w:tcPr>
          <w:p w14:paraId="21B85514"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68,48</w:t>
            </w:r>
          </w:p>
        </w:tc>
        <w:tc>
          <w:tcPr>
            <w:tcW w:w="992" w:type="dxa"/>
            <w:tcBorders>
              <w:top w:val="nil"/>
              <w:left w:val="nil"/>
              <w:bottom w:val="single" w:sz="4" w:space="0" w:color="auto"/>
              <w:right w:val="single" w:sz="4" w:space="0" w:color="auto"/>
            </w:tcBorders>
            <w:shd w:val="clear" w:color="auto" w:fill="auto"/>
            <w:noWrap/>
            <w:vAlign w:val="bottom"/>
            <w:hideMark/>
          </w:tcPr>
          <w:p w14:paraId="37A4B336"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233,30</w:t>
            </w:r>
          </w:p>
        </w:tc>
        <w:tc>
          <w:tcPr>
            <w:tcW w:w="992" w:type="dxa"/>
            <w:tcBorders>
              <w:top w:val="nil"/>
              <w:left w:val="nil"/>
              <w:bottom w:val="single" w:sz="4" w:space="0" w:color="auto"/>
              <w:right w:val="single" w:sz="4" w:space="0" w:color="auto"/>
            </w:tcBorders>
            <w:shd w:val="clear" w:color="auto" w:fill="auto"/>
            <w:noWrap/>
            <w:vAlign w:val="bottom"/>
            <w:hideMark/>
          </w:tcPr>
          <w:p w14:paraId="447BFB61"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391,55</w:t>
            </w:r>
          </w:p>
        </w:tc>
      </w:tr>
      <w:tr w:rsidR="00827437" w:rsidRPr="00522104" w14:paraId="5E6A3EA2" w14:textId="77777777" w:rsidTr="00AD44C4">
        <w:trPr>
          <w:trHeight w:val="510"/>
        </w:trPr>
        <w:tc>
          <w:tcPr>
            <w:tcW w:w="2269" w:type="dxa"/>
            <w:tcBorders>
              <w:top w:val="nil"/>
              <w:left w:val="single" w:sz="4" w:space="0" w:color="auto"/>
              <w:bottom w:val="single" w:sz="4" w:space="0" w:color="auto"/>
              <w:right w:val="single" w:sz="4" w:space="0" w:color="auto"/>
            </w:tcBorders>
            <w:shd w:val="clear" w:color="auto" w:fill="auto"/>
            <w:hideMark/>
          </w:tcPr>
          <w:p w14:paraId="169E237A"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Подпрограмма "Поддержка культуры в Приморском крае"</w:t>
            </w:r>
          </w:p>
        </w:tc>
        <w:tc>
          <w:tcPr>
            <w:tcW w:w="997" w:type="dxa"/>
            <w:tcBorders>
              <w:top w:val="nil"/>
              <w:left w:val="nil"/>
              <w:bottom w:val="single" w:sz="4" w:space="0" w:color="auto"/>
              <w:right w:val="single" w:sz="4" w:space="0" w:color="auto"/>
            </w:tcBorders>
            <w:shd w:val="clear" w:color="auto" w:fill="auto"/>
            <w:noWrap/>
            <w:vAlign w:val="bottom"/>
            <w:hideMark/>
          </w:tcPr>
          <w:p w14:paraId="4BC3B5CB"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354,24</w:t>
            </w:r>
          </w:p>
        </w:tc>
        <w:tc>
          <w:tcPr>
            <w:tcW w:w="984" w:type="dxa"/>
            <w:tcBorders>
              <w:top w:val="nil"/>
              <w:left w:val="nil"/>
              <w:bottom w:val="single" w:sz="4" w:space="0" w:color="auto"/>
              <w:right w:val="single" w:sz="4" w:space="0" w:color="auto"/>
            </w:tcBorders>
            <w:shd w:val="clear" w:color="auto" w:fill="auto"/>
            <w:noWrap/>
            <w:vAlign w:val="bottom"/>
            <w:hideMark/>
          </w:tcPr>
          <w:p w14:paraId="2E22089C"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387,77</w:t>
            </w:r>
          </w:p>
        </w:tc>
        <w:tc>
          <w:tcPr>
            <w:tcW w:w="964" w:type="dxa"/>
            <w:tcBorders>
              <w:top w:val="nil"/>
              <w:left w:val="nil"/>
              <w:bottom w:val="single" w:sz="4" w:space="0" w:color="auto"/>
              <w:right w:val="single" w:sz="4" w:space="0" w:color="auto"/>
            </w:tcBorders>
            <w:shd w:val="clear" w:color="auto" w:fill="auto"/>
            <w:noWrap/>
            <w:vAlign w:val="bottom"/>
            <w:hideMark/>
          </w:tcPr>
          <w:p w14:paraId="6AB116AC"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173,46</w:t>
            </w:r>
          </w:p>
        </w:tc>
        <w:tc>
          <w:tcPr>
            <w:tcW w:w="992" w:type="dxa"/>
            <w:tcBorders>
              <w:top w:val="nil"/>
              <w:left w:val="nil"/>
              <w:bottom w:val="single" w:sz="4" w:space="0" w:color="auto"/>
              <w:right w:val="single" w:sz="4" w:space="0" w:color="auto"/>
            </w:tcBorders>
            <w:shd w:val="clear" w:color="auto" w:fill="auto"/>
            <w:noWrap/>
            <w:vAlign w:val="bottom"/>
            <w:hideMark/>
          </w:tcPr>
          <w:p w14:paraId="26BFA1B2"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797,81</w:t>
            </w:r>
          </w:p>
        </w:tc>
        <w:tc>
          <w:tcPr>
            <w:tcW w:w="850" w:type="dxa"/>
            <w:tcBorders>
              <w:top w:val="nil"/>
              <w:left w:val="nil"/>
              <w:bottom w:val="single" w:sz="4" w:space="0" w:color="auto"/>
              <w:right w:val="single" w:sz="4" w:space="0" w:color="auto"/>
            </w:tcBorders>
            <w:shd w:val="clear" w:color="auto" w:fill="auto"/>
            <w:noWrap/>
            <w:vAlign w:val="bottom"/>
            <w:hideMark/>
          </w:tcPr>
          <w:p w14:paraId="20AB0202" w14:textId="77777777" w:rsidR="00827437" w:rsidRPr="005942F8" w:rsidRDefault="00827437" w:rsidP="00AD342B">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1132,60</w:t>
            </w:r>
          </w:p>
        </w:tc>
        <w:tc>
          <w:tcPr>
            <w:tcW w:w="993" w:type="dxa"/>
            <w:tcBorders>
              <w:top w:val="nil"/>
              <w:left w:val="nil"/>
              <w:bottom w:val="single" w:sz="4" w:space="0" w:color="auto"/>
              <w:right w:val="single" w:sz="4" w:space="0" w:color="auto"/>
            </w:tcBorders>
            <w:shd w:val="clear" w:color="auto" w:fill="auto"/>
            <w:noWrap/>
            <w:vAlign w:val="bottom"/>
            <w:hideMark/>
          </w:tcPr>
          <w:p w14:paraId="5B78C01F"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541,37</w:t>
            </w:r>
          </w:p>
        </w:tc>
        <w:tc>
          <w:tcPr>
            <w:tcW w:w="992" w:type="dxa"/>
            <w:tcBorders>
              <w:top w:val="nil"/>
              <w:left w:val="nil"/>
              <w:bottom w:val="single" w:sz="4" w:space="0" w:color="auto"/>
              <w:right w:val="single" w:sz="4" w:space="0" w:color="auto"/>
            </w:tcBorders>
            <w:shd w:val="clear" w:color="auto" w:fill="auto"/>
            <w:noWrap/>
            <w:vAlign w:val="bottom"/>
            <w:hideMark/>
          </w:tcPr>
          <w:p w14:paraId="426F4459"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410,03</w:t>
            </w:r>
          </w:p>
        </w:tc>
        <w:tc>
          <w:tcPr>
            <w:tcW w:w="992" w:type="dxa"/>
            <w:tcBorders>
              <w:top w:val="nil"/>
              <w:left w:val="nil"/>
              <w:bottom w:val="single" w:sz="4" w:space="0" w:color="auto"/>
              <w:right w:val="single" w:sz="4" w:space="0" w:color="auto"/>
            </w:tcBorders>
            <w:shd w:val="clear" w:color="auto" w:fill="auto"/>
            <w:noWrap/>
            <w:vAlign w:val="bottom"/>
            <w:hideMark/>
          </w:tcPr>
          <w:p w14:paraId="419DD111"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624,34</w:t>
            </w:r>
          </w:p>
        </w:tc>
      </w:tr>
      <w:tr w:rsidR="00827437" w:rsidRPr="00522104" w14:paraId="02DD91F6" w14:textId="77777777" w:rsidTr="00AD44C4">
        <w:trPr>
          <w:trHeight w:val="510"/>
        </w:trPr>
        <w:tc>
          <w:tcPr>
            <w:tcW w:w="2269" w:type="dxa"/>
            <w:tcBorders>
              <w:top w:val="nil"/>
              <w:left w:val="single" w:sz="4" w:space="0" w:color="auto"/>
              <w:bottom w:val="single" w:sz="4" w:space="0" w:color="auto"/>
              <w:right w:val="single" w:sz="4" w:space="0" w:color="auto"/>
            </w:tcBorders>
            <w:shd w:val="clear" w:color="auto" w:fill="auto"/>
            <w:hideMark/>
          </w:tcPr>
          <w:p w14:paraId="2CF1B54E" w14:textId="77777777" w:rsidR="00827437" w:rsidRPr="00522104" w:rsidRDefault="00827437" w:rsidP="00E40BEE">
            <w:pPr>
              <w:spacing w:after="0" w:line="240" w:lineRule="auto"/>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Федеральный проект "Культурная среда"</w:t>
            </w:r>
          </w:p>
        </w:tc>
        <w:tc>
          <w:tcPr>
            <w:tcW w:w="997" w:type="dxa"/>
            <w:tcBorders>
              <w:top w:val="nil"/>
              <w:left w:val="nil"/>
              <w:bottom w:val="single" w:sz="4" w:space="0" w:color="auto"/>
              <w:right w:val="single" w:sz="4" w:space="0" w:color="auto"/>
            </w:tcBorders>
            <w:shd w:val="clear" w:color="auto" w:fill="auto"/>
            <w:noWrap/>
            <w:vAlign w:val="bottom"/>
            <w:hideMark/>
          </w:tcPr>
          <w:p w14:paraId="4FC52CC1"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278,87</w:t>
            </w:r>
          </w:p>
        </w:tc>
        <w:tc>
          <w:tcPr>
            <w:tcW w:w="984" w:type="dxa"/>
            <w:tcBorders>
              <w:top w:val="nil"/>
              <w:left w:val="nil"/>
              <w:bottom w:val="single" w:sz="4" w:space="0" w:color="auto"/>
              <w:right w:val="single" w:sz="4" w:space="0" w:color="auto"/>
            </w:tcBorders>
            <w:shd w:val="clear" w:color="auto" w:fill="auto"/>
            <w:noWrap/>
            <w:vAlign w:val="bottom"/>
            <w:hideMark/>
          </w:tcPr>
          <w:p w14:paraId="5A52C386"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233,63</w:t>
            </w:r>
          </w:p>
        </w:tc>
        <w:tc>
          <w:tcPr>
            <w:tcW w:w="964" w:type="dxa"/>
            <w:tcBorders>
              <w:top w:val="nil"/>
              <w:left w:val="nil"/>
              <w:bottom w:val="single" w:sz="4" w:space="0" w:color="auto"/>
              <w:right w:val="single" w:sz="4" w:space="0" w:color="auto"/>
            </w:tcBorders>
            <w:shd w:val="clear" w:color="auto" w:fill="auto"/>
            <w:noWrap/>
            <w:vAlign w:val="bottom"/>
            <w:hideMark/>
          </w:tcPr>
          <w:p w14:paraId="3423DC99"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125,92</w:t>
            </w:r>
          </w:p>
        </w:tc>
        <w:tc>
          <w:tcPr>
            <w:tcW w:w="992" w:type="dxa"/>
            <w:tcBorders>
              <w:top w:val="nil"/>
              <w:left w:val="nil"/>
              <w:bottom w:val="single" w:sz="4" w:space="0" w:color="auto"/>
              <w:right w:val="single" w:sz="4" w:space="0" w:color="auto"/>
            </w:tcBorders>
            <w:shd w:val="clear" w:color="auto" w:fill="auto"/>
            <w:noWrap/>
            <w:vAlign w:val="bottom"/>
            <w:hideMark/>
          </w:tcPr>
          <w:p w14:paraId="5ED2A928"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469,28</w:t>
            </w:r>
          </w:p>
        </w:tc>
        <w:tc>
          <w:tcPr>
            <w:tcW w:w="850" w:type="dxa"/>
            <w:tcBorders>
              <w:top w:val="nil"/>
              <w:left w:val="nil"/>
              <w:bottom w:val="single" w:sz="4" w:space="0" w:color="auto"/>
              <w:right w:val="single" w:sz="4" w:space="0" w:color="auto"/>
            </w:tcBorders>
            <w:shd w:val="clear" w:color="auto" w:fill="auto"/>
            <w:noWrap/>
            <w:vAlign w:val="bottom"/>
            <w:hideMark/>
          </w:tcPr>
          <w:p w14:paraId="52B0399F" w14:textId="77777777" w:rsidR="00827437" w:rsidRPr="00522104" w:rsidRDefault="00827437" w:rsidP="00AD342B">
            <w:pPr>
              <w:spacing w:after="0" w:line="240" w:lineRule="auto"/>
              <w:ind w:left="-108"/>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565,54</w:t>
            </w:r>
          </w:p>
        </w:tc>
        <w:tc>
          <w:tcPr>
            <w:tcW w:w="993" w:type="dxa"/>
            <w:tcBorders>
              <w:top w:val="nil"/>
              <w:left w:val="nil"/>
              <w:bottom w:val="single" w:sz="4" w:space="0" w:color="auto"/>
              <w:right w:val="single" w:sz="4" w:space="0" w:color="auto"/>
            </w:tcBorders>
            <w:shd w:val="clear" w:color="auto" w:fill="auto"/>
            <w:noWrap/>
            <w:vAlign w:val="bottom"/>
            <w:hideMark/>
          </w:tcPr>
          <w:p w14:paraId="4D9F7DA6"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447,39</w:t>
            </w:r>
          </w:p>
        </w:tc>
        <w:tc>
          <w:tcPr>
            <w:tcW w:w="992" w:type="dxa"/>
            <w:tcBorders>
              <w:top w:val="nil"/>
              <w:left w:val="nil"/>
              <w:bottom w:val="single" w:sz="4" w:space="0" w:color="auto"/>
              <w:right w:val="single" w:sz="4" w:space="0" w:color="auto"/>
            </w:tcBorders>
            <w:shd w:val="clear" w:color="auto" w:fill="auto"/>
            <w:noWrap/>
            <w:vAlign w:val="bottom"/>
            <w:hideMark/>
          </w:tcPr>
          <w:p w14:paraId="7AA430ED"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235,65</w:t>
            </w:r>
          </w:p>
        </w:tc>
        <w:tc>
          <w:tcPr>
            <w:tcW w:w="992" w:type="dxa"/>
            <w:tcBorders>
              <w:top w:val="nil"/>
              <w:left w:val="nil"/>
              <w:bottom w:val="single" w:sz="4" w:space="0" w:color="auto"/>
              <w:right w:val="single" w:sz="4" w:space="0" w:color="auto"/>
            </w:tcBorders>
            <w:shd w:val="clear" w:color="auto" w:fill="auto"/>
            <w:noWrap/>
            <w:vAlign w:val="bottom"/>
            <w:hideMark/>
          </w:tcPr>
          <w:p w14:paraId="07F5FC52"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343,36</w:t>
            </w:r>
          </w:p>
        </w:tc>
      </w:tr>
      <w:tr w:rsidR="00827437" w:rsidRPr="00522104" w14:paraId="4EB31A29" w14:textId="77777777" w:rsidTr="00AD44C4">
        <w:trPr>
          <w:trHeight w:val="510"/>
        </w:trPr>
        <w:tc>
          <w:tcPr>
            <w:tcW w:w="2269" w:type="dxa"/>
            <w:tcBorders>
              <w:top w:val="nil"/>
              <w:left w:val="single" w:sz="4" w:space="0" w:color="auto"/>
              <w:bottom w:val="single" w:sz="4" w:space="0" w:color="auto"/>
              <w:right w:val="single" w:sz="4" w:space="0" w:color="auto"/>
            </w:tcBorders>
            <w:shd w:val="clear" w:color="auto" w:fill="auto"/>
            <w:hideMark/>
          </w:tcPr>
          <w:p w14:paraId="09353860" w14:textId="77777777" w:rsidR="00827437" w:rsidRPr="00522104" w:rsidRDefault="00827437" w:rsidP="00E40BEE">
            <w:pPr>
              <w:spacing w:after="0" w:line="240" w:lineRule="auto"/>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Федеральный проект "Творческие люди"</w:t>
            </w:r>
          </w:p>
        </w:tc>
        <w:tc>
          <w:tcPr>
            <w:tcW w:w="997" w:type="dxa"/>
            <w:tcBorders>
              <w:top w:val="nil"/>
              <w:left w:val="nil"/>
              <w:bottom w:val="single" w:sz="4" w:space="0" w:color="auto"/>
              <w:right w:val="single" w:sz="4" w:space="0" w:color="auto"/>
            </w:tcBorders>
            <w:shd w:val="clear" w:color="auto" w:fill="auto"/>
            <w:noWrap/>
            <w:vAlign w:val="bottom"/>
            <w:hideMark/>
          </w:tcPr>
          <w:p w14:paraId="59C08295"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0,45</w:t>
            </w:r>
          </w:p>
        </w:tc>
        <w:tc>
          <w:tcPr>
            <w:tcW w:w="984" w:type="dxa"/>
            <w:tcBorders>
              <w:top w:val="nil"/>
              <w:left w:val="nil"/>
              <w:bottom w:val="single" w:sz="4" w:space="0" w:color="auto"/>
              <w:right w:val="single" w:sz="4" w:space="0" w:color="auto"/>
            </w:tcBorders>
            <w:shd w:val="clear" w:color="auto" w:fill="auto"/>
            <w:noWrap/>
            <w:vAlign w:val="bottom"/>
            <w:hideMark/>
          </w:tcPr>
          <w:p w14:paraId="495E7871"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1,81</w:t>
            </w:r>
          </w:p>
        </w:tc>
        <w:tc>
          <w:tcPr>
            <w:tcW w:w="964" w:type="dxa"/>
            <w:tcBorders>
              <w:top w:val="nil"/>
              <w:left w:val="nil"/>
              <w:bottom w:val="single" w:sz="4" w:space="0" w:color="auto"/>
              <w:right w:val="single" w:sz="4" w:space="0" w:color="auto"/>
            </w:tcBorders>
            <w:shd w:val="clear" w:color="auto" w:fill="auto"/>
            <w:noWrap/>
            <w:vAlign w:val="bottom"/>
            <w:hideMark/>
          </w:tcPr>
          <w:p w14:paraId="483F6E4D"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5,38</w:t>
            </w:r>
          </w:p>
        </w:tc>
        <w:tc>
          <w:tcPr>
            <w:tcW w:w="992" w:type="dxa"/>
            <w:tcBorders>
              <w:top w:val="nil"/>
              <w:left w:val="nil"/>
              <w:bottom w:val="single" w:sz="4" w:space="0" w:color="auto"/>
              <w:right w:val="single" w:sz="4" w:space="0" w:color="auto"/>
            </w:tcBorders>
            <w:shd w:val="clear" w:color="auto" w:fill="auto"/>
            <w:noWrap/>
            <w:vAlign w:val="bottom"/>
            <w:hideMark/>
          </w:tcPr>
          <w:p w14:paraId="4477655A"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93,88</w:t>
            </w:r>
          </w:p>
        </w:tc>
        <w:tc>
          <w:tcPr>
            <w:tcW w:w="850" w:type="dxa"/>
            <w:tcBorders>
              <w:top w:val="nil"/>
              <w:left w:val="nil"/>
              <w:bottom w:val="single" w:sz="4" w:space="0" w:color="auto"/>
              <w:right w:val="single" w:sz="4" w:space="0" w:color="auto"/>
            </w:tcBorders>
            <w:shd w:val="clear" w:color="auto" w:fill="auto"/>
            <w:noWrap/>
            <w:vAlign w:val="bottom"/>
            <w:hideMark/>
          </w:tcPr>
          <w:p w14:paraId="3377FE52" w14:textId="77777777" w:rsidR="00827437" w:rsidRPr="00522104" w:rsidRDefault="00827437" w:rsidP="00AD342B">
            <w:pPr>
              <w:spacing w:after="0" w:line="240" w:lineRule="auto"/>
              <w:ind w:left="-108"/>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45,38</w:t>
            </w:r>
          </w:p>
        </w:tc>
        <w:tc>
          <w:tcPr>
            <w:tcW w:w="993" w:type="dxa"/>
            <w:tcBorders>
              <w:top w:val="nil"/>
              <w:left w:val="nil"/>
              <w:bottom w:val="single" w:sz="4" w:space="0" w:color="auto"/>
              <w:right w:val="single" w:sz="4" w:space="0" w:color="auto"/>
            </w:tcBorders>
            <w:shd w:val="clear" w:color="auto" w:fill="auto"/>
            <w:noWrap/>
            <w:vAlign w:val="bottom"/>
            <w:hideMark/>
          </w:tcPr>
          <w:p w14:paraId="1D64545A"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45,38</w:t>
            </w:r>
          </w:p>
        </w:tc>
        <w:tc>
          <w:tcPr>
            <w:tcW w:w="992" w:type="dxa"/>
            <w:tcBorders>
              <w:top w:val="nil"/>
              <w:left w:val="nil"/>
              <w:bottom w:val="single" w:sz="4" w:space="0" w:color="auto"/>
              <w:right w:val="single" w:sz="4" w:space="0" w:color="auto"/>
            </w:tcBorders>
            <w:shd w:val="clear" w:color="auto" w:fill="auto"/>
            <w:noWrap/>
            <w:vAlign w:val="bottom"/>
            <w:hideMark/>
          </w:tcPr>
          <w:p w14:paraId="2D04BBE4"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92,06</w:t>
            </w:r>
          </w:p>
        </w:tc>
        <w:tc>
          <w:tcPr>
            <w:tcW w:w="992" w:type="dxa"/>
            <w:tcBorders>
              <w:top w:val="nil"/>
              <w:left w:val="nil"/>
              <w:bottom w:val="single" w:sz="4" w:space="0" w:color="auto"/>
              <w:right w:val="single" w:sz="4" w:space="0" w:color="auto"/>
            </w:tcBorders>
            <w:shd w:val="clear" w:color="auto" w:fill="auto"/>
            <w:noWrap/>
            <w:vAlign w:val="bottom"/>
            <w:hideMark/>
          </w:tcPr>
          <w:p w14:paraId="29A8E056"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88,50</w:t>
            </w:r>
          </w:p>
        </w:tc>
      </w:tr>
      <w:tr w:rsidR="00827437" w:rsidRPr="00522104" w14:paraId="65A10219" w14:textId="77777777" w:rsidTr="00AD44C4">
        <w:trPr>
          <w:trHeight w:val="510"/>
        </w:trPr>
        <w:tc>
          <w:tcPr>
            <w:tcW w:w="2269" w:type="dxa"/>
            <w:tcBorders>
              <w:top w:val="nil"/>
              <w:left w:val="single" w:sz="4" w:space="0" w:color="auto"/>
              <w:bottom w:val="single" w:sz="4" w:space="0" w:color="auto"/>
              <w:right w:val="single" w:sz="4" w:space="0" w:color="auto"/>
            </w:tcBorders>
            <w:shd w:val="clear" w:color="auto" w:fill="auto"/>
            <w:hideMark/>
          </w:tcPr>
          <w:p w14:paraId="47FF6558" w14:textId="77777777" w:rsidR="00827437" w:rsidRPr="00522104" w:rsidRDefault="00827437" w:rsidP="00E40BEE">
            <w:pPr>
              <w:spacing w:after="0" w:line="240" w:lineRule="auto"/>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Федеральный проект "Цифровая культура"</w:t>
            </w:r>
          </w:p>
        </w:tc>
        <w:tc>
          <w:tcPr>
            <w:tcW w:w="997" w:type="dxa"/>
            <w:tcBorders>
              <w:top w:val="nil"/>
              <w:left w:val="nil"/>
              <w:bottom w:val="single" w:sz="4" w:space="0" w:color="auto"/>
              <w:right w:val="single" w:sz="4" w:space="0" w:color="auto"/>
            </w:tcBorders>
            <w:shd w:val="clear" w:color="auto" w:fill="auto"/>
            <w:noWrap/>
            <w:vAlign w:val="bottom"/>
            <w:hideMark/>
          </w:tcPr>
          <w:p w14:paraId="2BDFC1A1"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1,02</w:t>
            </w:r>
          </w:p>
        </w:tc>
        <w:tc>
          <w:tcPr>
            <w:tcW w:w="984" w:type="dxa"/>
            <w:tcBorders>
              <w:top w:val="nil"/>
              <w:left w:val="nil"/>
              <w:bottom w:val="single" w:sz="4" w:space="0" w:color="auto"/>
              <w:right w:val="single" w:sz="4" w:space="0" w:color="auto"/>
            </w:tcBorders>
            <w:shd w:val="clear" w:color="auto" w:fill="auto"/>
            <w:noWrap/>
            <w:vAlign w:val="bottom"/>
            <w:hideMark/>
          </w:tcPr>
          <w:p w14:paraId="4213FD1A"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1,02</w:t>
            </w:r>
          </w:p>
        </w:tc>
        <w:tc>
          <w:tcPr>
            <w:tcW w:w="964" w:type="dxa"/>
            <w:tcBorders>
              <w:top w:val="nil"/>
              <w:left w:val="nil"/>
              <w:bottom w:val="single" w:sz="4" w:space="0" w:color="auto"/>
              <w:right w:val="single" w:sz="4" w:space="0" w:color="auto"/>
            </w:tcBorders>
            <w:shd w:val="clear" w:color="auto" w:fill="auto"/>
            <w:noWrap/>
            <w:vAlign w:val="bottom"/>
            <w:hideMark/>
          </w:tcPr>
          <w:p w14:paraId="13E1B074"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1,02</w:t>
            </w:r>
          </w:p>
        </w:tc>
        <w:tc>
          <w:tcPr>
            <w:tcW w:w="992" w:type="dxa"/>
            <w:tcBorders>
              <w:top w:val="nil"/>
              <w:left w:val="nil"/>
              <w:bottom w:val="single" w:sz="4" w:space="0" w:color="auto"/>
              <w:right w:val="single" w:sz="4" w:space="0" w:color="auto"/>
            </w:tcBorders>
            <w:shd w:val="clear" w:color="auto" w:fill="auto"/>
            <w:noWrap/>
            <w:vAlign w:val="bottom"/>
            <w:hideMark/>
          </w:tcPr>
          <w:p w14:paraId="543B1C18"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1,02</w:t>
            </w:r>
          </w:p>
        </w:tc>
        <w:tc>
          <w:tcPr>
            <w:tcW w:w="850" w:type="dxa"/>
            <w:tcBorders>
              <w:top w:val="nil"/>
              <w:left w:val="nil"/>
              <w:bottom w:val="single" w:sz="4" w:space="0" w:color="auto"/>
              <w:right w:val="single" w:sz="4" w:space="0" w:color="auto"/>
            </w:tcBorders>
            <w:shd w:val="clear" w:color="auto" w:fill="auto"/>
            <w:noWrap/>
            <w:vAlign w:val="bottom"/>
            <w:hideMark/>
          </w:tcPr>
          <w:p w14:paraId="7AB1A945" w14:textId="77777777" w:rsidR="00827437" w:rsidRPr="00522104" w:rsidRDefault="00827437" w:rsidP="00AD342B">
            <w:pPr>
              <w:spacing w:after="0" w:line="240" w:lineRule="auto"/>
              <w:ind w:left="-108"/>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0,00</w:t>
            </w:r>
          </w:p>
        </w:tc>
        <w:tc>
          <w:tcPr>
            <w:tcW w:w="993" w:type="dxa"/>
            <w:tcBorders>
              <w:top w:val="nil"/>
              <w:left w:val="nil"/>
              <w:bottom w:val="single" w:sz="4" w:space="0" w:color="auto"/>
              <w:right w:val="single" w:sz="4" w:space="0" w:color="auto"/>
            </w:tcBorders>
            <w:shd w:val="clear" w:color="auto" w:fill="auto"/>
            <w:noWrap/>
            <w:vAlign w:val="bottom"/>
            <w:hideMark/>
          </w:tcPr>
          <w:p w14:paraId="0CB7B322"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7E5FC496"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0,00</w:t>
            </w:r>
          </w:p>
        </w:tc>
        <w:tc>
          <w:tcPr>
            <w:tcW w:w="992" w:type="dxa"/>
            <w:tcBorders>
              <w:top w:val="nil"/>
              <w:left w:val="nil"/>
              <w:bottom w:val="single" w:sz="4" w:space="0" w:color="auto"/>
              <w:right w:val="single" w:sz="4" w:space="0" w:color="auto"/>
            </w:tcBorders>
            <w:shd w:val="clear" w:color="auto" w:fill="auto"/>
            <w:noWrap/>
            <w:vAlign w:val="bottom"/>
            <w:hideMark/>
          </w:tcPr>
          <w:p w14:paraId="3B05B943" w14:textId="77777777" w:rsidR="00827437" w:rsidRPr="00522104" w:rsidRDefault="00827437" w:rsidP="00E40BEE">
            <w:pPr>
              <w:spacing w:after="0" w:line="240" w:lineRule="auto"/>
              <w:jc w:val="right"/>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0,00</w:t>
            </w:r>
          </w:p>
        </w:tc>
      </w:tr>
      <w:tr w:rsidR="00827437" w:rsidRPr="00522104" w14:paraId="73D6B71A" w14:textId="77777777" w:rsidTr="00AD44C4">
        <w:trPr>
          <w:trHeight w:val="510"/>
        </w:trPr>
        <w:tc>
          <w:tcPr>
            <w:tcW w:w="2269" w:type="dxa"/>
            <w:tcBorders>
              <w:top w:val="nil"/>
              <w:left w:val="single" w:sz="4" w:space="0" w:color="auto"/>
              <w:bottom w:val="single" w:sz="4" w:space="0" w:color="auto"/>
              <w:right w:val="single" w:sz="4" w:space="0" w:color="auto"/>
            </w:tcBorders>
            <w:shd w:val="clear" w:color="auto" w:fill="auto"/>
            <w:hideMark/>
          </w:tcPr>
          <w:p w14:paraId="6CDA7336"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Подпрограмма "Управление государственной программой Приморского края"</w:t>
            </w:r>
          </w:p>
        </w:tc>
        <w:tc>
          <w:tcPr>
            <w:tcW w:w="997" w:type="dxa"/>
            <w:tcBorders>
              <w:top w:val="nil"/>
              <w:left w:val="nil"/>
              <w:bottom w:val="single" w:sz="4" w:space="0" w:color="auto"/>
              <w:right w:val="single" w:sz="4" w:space="0" w:color="auto"/>
            </w:tcBorders>
            <w:shd w:val="clear" w:color="auto" w:fill="auto"/>
            <w:noWrap/>
            <w:vAlign w:val="bottom"/>
            <w:hideMark/>
          </w:tcPr>
          <w:p w14:paraId="1382E1AB"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47,78</w:t>
            </w:r>
          </w:p>
        </w:tc>
        <w:tc>
          <w:tcPr>
            <w:tcW w:w="984" w:type="dxa"/>
            <w:tcBorders>
              <w:top w:val="nil"/>
              <w:left w:val="nil"/>
              <w:bottom w:val="single" w:sz="4" w:space="0" w:color="auto"/>
              <w:right w:val="single" w:sz="4" w:space="0" w:color="auto"/>
            </w:tcBorders>
            <w:shd w:val="clear" w:color="auto" w:fill="auto"/>
            <w:noWrap/>
            <w:vAlign w:val="bottom"/>
            <w:hideMark/>
          </w:tcPr>
          <w:p w14:paraId="1F182B20"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57,57</w:t>
            </w:r>
          </w:p>
        </w:tc>
        <w:tc>
          <w:tcPr>
            <w:tcW w:w="964" w:type="dxa"/>
            <w:tcBorders>
              <w:top w:val="nil"/>
              <w:left w:val="nil"/>
              <w:bottom w:val="single" w:sz="4" w:space="0" w:color="auto"/>
              <w:right w:val="single" w:sz="4" w:space="0" w:color="auto"/>
            </w:tcBorders>
            <w:shd w:val="clear" w:color="auto" w:fill="auto"/>
            <w:noWrap/>
            <w:vAlign w:val="bottom"/>
            <w:hideMark/>
          </w:tcPr>
          <w:p w14:paraId="7D3B2178"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48,17</w:t>
            </w:r>
          </w:p>
        </w:tc>
        <w:tc>
          <w:tcPr>
            <w:tcW w:w="992" w:type="dxa"/>
            <w:tcBorders>
              <w:top w:val="nil"/>
              <w:left w:val="nil"/>
              <w:bottom w:val="single" w:sz="4" w:space="0" w:color="auto"/>
              <w:right w:val="single" w:sz="4" w:space="0" w:color="auto"/>
            </w:tcBorders>
            <w:shd w:val="clear" w:color="auto" w:fill="auto"/>
            <w:noWrap/>
            <w:vAlign w:val="bottom"/>
            <w:hideMark/>
          </w:tcPr>
          <w:p w14:paraId="607FF74C"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50,01</w:t>
            </w:r>
          </w:p>
        </w:tc>
        <w:tc>
          <w:tcPr>
            <w:tcW w:w="850" w:type="dxa"/>
            <w:tcBorders>
              <w:top w:val="nil"/>
              <w:left w:val="nil"/>
              <w:bottom w:val="single" w:sz="4" w:space="0" w:color="auto"/>
              <w:right w:val="single" w:sz="4" w:space="0" w:color="auto"/>
            </w:tcBorders>
            <w:shd w:val="clear" w:color="auto" w:fill="auto"/>
            <w:noWrap/>
            <w:vAlign w:val="bottom"/>
            <w:hideMark/>
          </w:tcPr>
          <w:p w14:paraId="283EFE72" w14:textId="77777777" w:rsidR="00827437" w:rsidRPr="005942F8" w:rsidRDefault="00827437" w:rsidP="00AD342B">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52,06</w:t>
            </w:r>
          </w:p>
        </w:tc>
        <w:tc>
          <w:tcPr>
            <w:tcW w:w="993" w:type="dxa"/>
            <w:tcBorders>
              <w:top w:val="nil"/>
              <w:left w:val="nil"/>
              <w:bottom w:val="single" w:sz="4" w:space="0" w:color="auto"/>
              <w:right w:val="single" w:sz="4" w:space="0" w:color="auto"/>
            </w:tcBorders>
            <w:shd w:val="clear" w:color="auto" w:fill="auto"/>
            <w:noWrap/>
            <w:vAlign w:val="bottom"/>
            <w:hideMark/>
          </w:tcPr>
          <w:p w14:paraId="13B41B1B"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54,09</w:t>
            </w:r>
          </w:p>
        </w:tc>
        <w:tc>
          <w:tcPr>
            <w:tcW w:w="992" w:type="dxa"/>
            <w:tcBorders>
              <w:top w:val="nil"/>
              <w:left w:val="nil"/>
              <w:bottom w:val="single" w:sz="4" w:space="0" w:color="auto"/>
              <w:right w:val="single" w:sz="4" w:space="0" w:color="auto"/>
            </w:tcBorders>
            <w:shd w:val="clear" w:color="auto" w:fill="auto"/>
            <w:noWrap/>
            <w:vAlign w:val="bottom"/>
            <w:hideMark/>
          </w:tcPr>
          <w:p w14:paraId="7F809D6B"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-7,56</w:t>
            </w:r>
          </w:p>
        </w:tc>
        <w:tc>
          <w:tcPr>
            <w:tcW w:w="992" w:type="dxa"/>
            <w:tcBorders>
              <w:top w:val="nil"/>
              <w:left w:val="nil"/>
              <w:bottom w:val="single" w:sz="4" w:space="0" w:color="auto"/>
              <w:right w:val="single" w:sz="4" w:space="0" w:color="auto"/>
            </w:tcBorders>
            <w:shd w:val="clear" w:color="auto" w:fill="auto"/>
            <w:noWrap/>
            <w:vAlign w:val="bottom"/>
            <w:hideMark/>
          </w:tcPr>
          <w:p w14:paraId="0423FE12"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1,84</w:t>
            </w:r>
          </w:p>
        </w:tc>
      </w:tr>
    </w:tbl>
    <w:p w14:paraId="0F3B53FD"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p>
    <w:p w14:paraId="7211C7FB" w14:textId="632CA4AE"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"Обеспечение деятельности государственных учреждений культуры, государственных образовательных учреждений в сфере культуры"</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законопроектом на 2022 год запланировано 1307,71 млн рублей, больше утвержденных назначений (1092,78 млн рублей)</w:t>
      </w:r>
      <w:r w:rsidR="00533C4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или на 214,93 млн рублей, и больше на 2021 год (1149,23 млн рублей), или на 158,48 млн рублей, из них:</w:t>
      </w:r>
    </w:p>
    <w:p w14:paraId="2F31D56E"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обеспечение деятельности краевых государственных учреждений культуры в сумме 1083,33 млн рублей, или больше на 73,20 млн рублей, или на 7,25 % по сравнению с утвержденными назначениями на 2021 год (1010,13 млн рублей), из них:</w:t>
      </w:r>
    </w:p>
    <w:p w14:paraId="25D5B082" w14:textId="1B818CE9"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финансовое обеспечение государственного задания, в соответствии с нормативными затратами на оказание услуг </w:t>
      </w:r>
      <w:r w:rsidR="00533C4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932,60 млн рублей, или больше на 64,73 млн рублей, или на 7,46 % по сравнению с утвержденными назначениями на 2021 год – 867,87 млн рублей, из них:</w:t>
      </w:r>
    </w:p>
    <w:p w14:paraId="11E13303"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ГАУК "Приморский академический краевой драматический театр имени М. Горького" – на 24,84 млн рублей, или на 14,78 % (2022 год – 193,31 млн рублей, 2021 год – 168,42 млн рублей);</w:t>
      </w:r>
    </w:p>
    <w:p w14:paraId="076EAE05"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ГАУК "Приморский краевой драматический театр молодежи" – на 5,97 млн рублей, или на 7,22 % (2022 год – 88,59 млн рублей, 2021 год – 82,62 млн рублей);</w:t>
      </w:r>
    </w:p>
    <w:p w14:paraId="3C16A492"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ГАУК "Приморская краевая филармония"– на 10,44 млн рублей, или на 10,10 % (2022 год – 113,81 млн рублей, 2021 год – 103,37 млн рублей);</w:t>
      </w:r>
    </w:p>
    <w:p w14:paraId="4BB45C11"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ГАУК "Приморская государственная картинная галерея" – на 5,7 млн рублей, или на 11,5 % (2022 год – 55,15 млн рублей, 2021 год – 49,45 млн рублей);</w:t>
      </w:r>
    </w:p>
    <w:p w14:paraId="613CC8A6"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ГБУК "Приморская краевая публичная библиотека им. А.М. Горького"– на 0,48 млн рублей, или на 6,11 % (2022 год – 60,46 млн рублей, 2021 год – 56,99 млн рублей);</w:t>
      </w:r>
    </w:p>
    <w:p w14:paraId="73EA654A"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краевые государственные образовательные учреждения в сфере культуры в 2022 году – 356,19 млн рублей, или больше на 19,45 млн рублей, или на 5,78 % (в 2021 – 336,74 млн рублей);</w:t>
      </w:r>
    </w:p>
    <w:p w14:paraId="023CB1B0" w14:textId="763927E5"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обеспечение деятельности государственных казенных учреждений "Государственный архив Приморского края", "Приморская краевая детская библиотека", "Приморская краевая библиотека для слепых" – на 2022 год – 150,73 млн рублей, или больше на 8,47 млн рублей, или на 5,95 % (в 2021 году</w:t>
      </w:r>
      <w:r w:rsidR="00533C4C"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142,26 млн рублей).</w:t>
      </w:r>
    </w:p>
    <w:p w14:paraId="6D794C54"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Повышение оплаты труда отдельных категорий работников краевых государственных учреждений, определенных Указами Президента Российской Федерации</w:t>
      </w:r>
      <w:r w:rsidRPr="00522104">
        <w:rPr>
          <w:rFonts w:ascii="Times New Roman" w:eastAsia="Times New Roman" w:hAnsi="Times New Roman" w:cs="Times New Roman"/>
          <w:sz w:val="28"/>
          <w:szCs w:val="28"/>
          <w:vertAlign w:val="superscript"/>
          <w:lang w:eastAsia="ru-RU"/>
        </w:rPr>
        <w:footnoteReference w:id="21"/>
      </w:r>
      <w:r w:rsidRPr="00522104">
        <w:rPr>
          <w:rFonts w:ascii="Times New Roman" w:eastAsia="Times New Roman" w:hAnsi="Times New Roman" w:cs="Times New Roman"/>
          <w:sz w:val="28"/>
          <w:szCs w:val="28"/>
          <w:lang w:eastAsia="ru-RU"/>
        </w:rPr>
        <w:t>, в 2022 году производится в соответствии с темпами роста средней заработной платы, установленными планами мероприятий ("дорожными картами") изменений в отраслях социальной сферы, направленных на повышение эффективности и качества услуг в сферах образования и науки, социального обслуживания населения, культуры, здравоохранения, утвержденными нормативными правовыми актами Приморского края.</w:t>
      </w:r>
    </w:p>
    <w:p w14:paraId="617236D7"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Контрольно-счетная палата отмечает, что на 2022 год в соответствии с планом мероприятий ("дорожной картой")</w:t>
      </w:r>
      <w:r w:rsidRPr="00522104">
        <w:rPr>
          <w:rFonts w:ascii="Times New Roman" w:eastAsia="Times New Roman" w:hAnsi="Times New Roman" w:cs="Times New Roman"/>
          <w:sz w:val="28"/>
          <w:szCs w:val="28"/>
          <w:vertAlign w:val="superscript"/>
          <w:lang w:eastAsia="ru-RU"/>
        </w:rPr>
        <w:footnoteReference w:id="22"/>
      </w:r>
      <w:r w:rsidRPr="00522104">
        <w:rPr>
          <w:rFonts w:ascii="Times New Roman" w:eastAsia="Times New Roman" w:hAnsi="Times New Roman" w:cs="Times New Roman"/>
          <w:sz w:val="28"/>
          <w:szCs w:val="28"/>
          <w:lang w:eastAsia="ru-RU"/>
        </w:rPr>
        <w:t xml:space="preserve"> планируется доведение средней заработной платы работников учреждений культуры до уровня среднемесячного дохода от трудовой деятельности – 48778,90 рублей, то есть с ростом 106,60 % к прогнозному значению на 2021 год – 45759,80 рублей.</w:t>
      </w:r>
    </w:p>
    <w:p w14:paraId="75AEBE7A" w14:textId="1AFACEAF"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Министерством культуры и архивного дела Приморского края за 9 месяцев 2021 года не выдержаны параметры, установленные в приложениях к Плану мероприятий ("дорожной карте") по доведению средней заработной платы по категориям работников учреждений культуры к прогнозу среднемесячного дохода от трудовой деятельности на 2021 год – 45759,80</w:t>
      </w:r>
      <w:r w:rsidR="00533C4C" w:rsidRPr="00522104">
        <w:rPr>
          <w:rFonts w:ascii="Times New Roman" w:hAnsi="Times New Roman" w:cs="Times New Roman"/>
          <w:sz w:val="28"/>
          <w:szCs w:val="28"/>
        </w:rPr>
        <w:t> </w:t>
      </w:r>
      <w:r w:rsidRPr="00522104">
        <w:rPr>
          <w:rFonts w:ascii="Times New Roman" w:hAnsi="Times New Roman" w:cs="Times New Roman"/>
          <w:sz w:val="28"/>
          <w:szCs w:val="28"/>
        </w:rPr>
        <w:t xml:space="preserve">рублей (за 9 месяцев 2021 года – 44557,20 рубля, или 97,37 %). Контрольно-счетная палата рекомендует министерству проконтролировать поэтапный рост оплаты труда работников учреждений культуры, достижение целевых показателей по доведению уровня оплаты труда (средней заработной платы) работников учреждений культуры до среднемесячного дохода от трудовой деятельности в соответствии с </w:t>
      </w:r>
      <w:hyperlink r:id="rId34" w:history="1">
        <w:r w:rsidRPr="00522104">
          <w:rPr>
            <w:rFonts w:ascii="Times New Roman" w:hAnsi="Times New Roman" w:cs="Times New Roman"/>
            <w:sz w:val="28"/>
            <w:szCs w:val="28"/>
          </w:rPr>
          <w:t>Указом</w:t>
        </w:r>
      </w:hyperlink>
      <w:r w:rsidRPr="00522104">
        <w:rPr>
          <w:rFonts w:ascii="Times New Roman" w:hAnsi="Times New Roman" w:cs="Times New Roman"/>
          <w:sz w:val="28"/>
          <w:szCs w:val="28"/>
        </w:rPr>
        <w:t xml:space="preserve"> Президента Российской Федерации от 07.05.2012 № 597 "О мероприятиях по реализации государственной социальной политики" для привлечения высококвалифицированных работников в учреждения культуры).</w:t>
      </w:r>
    </w:p>
    <w:p w14:paraId="4BCE4F7F" w14:textId="4E6A8CF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законопроекте на 2022 год проиндексированы на 4,0 % бюджетные ассигнования на предоставление социальных и иных выплат гражданам, а именно на социальное обеспечение детей 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r w:rsidR="00533C4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расходы планируются в сумме 3,48 млн рублей (утверждены законом № 969-КЗ на 2021 год и на 2022 год – 3,35 млн рублей).</w:t>
      </w:r>
    </w:p>
    <w:p w14:paraId="44CC9AAC" w14:textId="294FAFDE"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2022 год в указанной подпрограмме планируются 150,07 млн рублей с увеличением по сравнению с утвержденными назначениями на 2022 год на 88,11 млн рублей и на 2021 год –</w:t>
      </w:r>
      <w:r w:rsidR="00533C4C"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на 90,70 млн рублей, или в 2,5 раза (2022 год</w:t>
      </w:r>
      <w:r w:rsidR="00533C4C"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61,96 млн рублей</w:t>
      </w:r>
      <w:r w:rsidR="00533C4C" w:rsidRPr="00522104">
        <w:rPr>
          <w:rFonts w:ascii="Times New Roman" w:eastAsia="Times New Roman" w:hAnsi="Times New Roman" w:cs="Times New Roman"/>
          <w:sz w:val="28"/>
          <w:szCs w:val="28"/>
          <w:lang w:eastAsia="ru-RU"/>
        </w:rPr>
        <w:t>, 2021 год – 59,37 млн рублей) –</w:t>
      </w:r>
      <w:r w:rsidRPr="00522104">
        <w:rPr>
          <w:rFonts w:ascii="Times New Roman" w:eastAsia="Times New Roman" w:hAnsi="Times New Roman" w:cs="Times New Roman"/>
          <w:sz w:val="28"/>
          <w:szCs w:val="28"/>
          <w:lang w:eastAsia="ru-RU"/>
        </w:rPr>
        <w:t xml:space="preserve"> субсидии краевым государственным бюджетным и автономным учреждениям на иные цели, которые включают:</w:t>
      </w:r>
    </w:p>
    <w:p w14:paraId="785682A9"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расходы на проведение капитального ремонта в г</w:t>
      </w:r>
      <w:r w:rsidRPr="00522104">
        <w:rPr>
          <w:rStyle w:val="afb"/>
          <w:rFonts w:ascii="Times New Roman" w:hAnsi="Times New Roman" w:cs="Times New Roman"/>
          <w:b w:val="0"/>
          <w:sz w:val="28"/>
          <w:szCs w:val="28"/>
          <w:shd w:val="clear" w:color="auto" w:fill="FCFCFC"/>
        </w:rPr>
        <w:t>осударственном автономном профессиональном образовательном учреждении "Приморский краевой колледж культуры"</w:t>
      </w:r>
      <w:r w:rsidRPr="00522104">
        <w:rPr>
          <w:rFonts w:ascii="Times New Roman" w:eastAsia="Times New Roman" w:hAnsi="Times New Roman" w:cs="Times New Roman"/>
          <w:b/>
          <w:sz w:val="28"/>
          <w:szCs w:val="28"/>
          <w:lang w:eastAsia="ru-RU"/>
        </w:rPr>
        <w:t xml:space="preserve"> – </w:t>
      </w:r>
      <w:r w:rsidRPr="00522104">
        <w:rPr>
          <w:rFonts w:ascii="Times New Roman" w:eastAsia="Times New Roman" w:hAnsi="Times New Roman" w:cs="Times New Roman"/>
          <w:sz w:val="28"/>
          <w:szCs w:val="28"/>
          <w:lang w:eastAsia="ru-RU"/>
        </w:rPr>
        <w:t xml:space="preserve">10,00 млн рублей, расходы на разработку проектно-сметной документации по ГАПОУ </w:t>
      </w:r>
      <w:r w:rsidRPr="00522104">
        <w:rPr>
          <w:rStyle w:val="afb"/>
          <w:rFonts w:ascii="Times New Roman" w:hAnsi="Times New Roman" w:cs="Times New Roman"/>
          <w:b w:val="0"/>
          <w:sz w:val="28"/>
          <w:szCs w:val="28"/>
          <w:shd w:val="clear" w:color="auto" w:fill="FCFCFC"/>
        </w:rPr>
        <w:t>"Приморский краевой колледж искусств"</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 xml:space="preserve"> 3,18 млн рублей; мероприятия по обеспечению требований пожарной безопасности в краевых государственных учреждениях Приморского края – 7,53 млн рублей;</w:t>
      </w:r>
    </w:p>
    <w:p w14:paraId="29DF86D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 – 5,27 млн рублей;</w:t>
      </w:r>
    </w:p>
    <w:p w14:paraId="7F4543F7"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стипендии обучающимся в краевых государственных профессиональных образовательных учреждениях – 5,73 млн рублей; </w:t>
      </w:r>
    </w:p>
    <w:p w14:paraId="1F4D54B7" w14:textId="711AA905"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расходы на организацию питания обучающихся средних профессиональных образовательных учреждений, проживающих в общежитии</w:t>
      </w:r>
      <w:r w:rsidR="00533C4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 11,45 млн рублей;</w:t>
      </w:r>
    </w:p>
    <w:p w14:paraId="74B7BF3A"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расходы на приобретение краевыми государственными учреждениями особо ценного движимого имущества – 35,90 млн рублей, в том числе:</w:t>
      </w:r>
    </w:p>
    <w:p w14:paraId="4830109A" w14:textId="02FE19BD"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приобретение основных средств для КГБУ ДО "ДШЦИ им. В.М.</w:t>
      </w:r>
      <w:r w:rsidR="00533C4C"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Агарёва" – 3,49 млн рублей; музыкальных инструментов для ГАПОУ </w:t>
      </w:r>
      <w:r w:rsidRPr="00522104">
        <w:rPr>
          <w:rStyle w:val="afb"/>
          <w:rFonts w:ascii="Times New Roman" w:hAnsi="Times New Roman" w:cs="Times New Roman"/>
          <w:b w:val="0"/>
          <w:sz w:val="28"/>
          <w:szCs w:val="28"/>
          <w:shd w:val="clear" w:color="auto" w:fill="FCFCFC"/>
        </w:rPr>
        <w:t>"Приморский краевой колледж искусства" – 10,51 млн рублей; приобретение книжной продукции</w:t>
      </w:r>
      <w:r w:rsidRPr="00522104">
        <w:rPr>
          <w:rStyle w:val="afb"/>
          <w:rFonts w:ascii="Times New Roman" w:hAnsi="Times New Roman" w:cs="Times New Roman"/>
          <w:sz w:val="28"/>
          <w:szCs w:val="28"/>
          <w:shd w:val="clear" w:color="auto" w:fill="FCFCFC"/>
        </w:rPr>
        <w:t xml:space="preserve"> </w:t>
      </w:r>
      <w:r w:rsidR="00533C4C" w:rsidRPr="00522104">
        <w:rPr>
          <w:rStyle w:val="afb"/>
          <w:rFonts w:ascii="Times New Roman" w:hAnsi="Times New Roman" w:cs="Times New Roman"/>
          <w:sz w:val="28"/>
          <w:szCs w:val="28"/>
          <w:shd w:val="clear" w:color="auto" w:fill="FCFCFC"/>
        </w:rPr>
        <w:t>–</w:t>
      </w:r>
      <w:r w:rsidRPr="00522104">
        <w:rPr>
          <w:rStyle w:val="afb"/>
          <w:rFonts w:ascii="Times New Roman" w:hAnsi="Times New Roman" w:cs="Times New Roman"/>
          <w:sz w:val="28"/>
          <w:szCs w:val="28"/>
          <w:shd w:val="clear" w:color="auto" w:fill="FCFCFC"/>
        </w:rPr>
        <w:t xml:space="preserve"> </w:t>
      </w:r>
      <w:r w:rsidRPr="00522104">
        <w:rPr>
          <w:rFonts w:ascii="Times New Roman" w:eastAsia="Times New Roman" w:hAnsi="Times New Roman" w:cs="Times New Roman"/>
          <w:sz w:val="28"/>
          <w:szCs w:val="28"/>
          <w:lang w:eastAsia="ru-RU"/>
        </w:rPr>
        <w:t>ГБУК "Приморская краевая публичная библиотека им.</w:t>
      </w:r>
      <w:r w:rsidR="00533C4C"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А.М. Горького" – 1,20 млн рублей; основных средств КГАУК "Приморский академический краевой драматический театр имени М. Горького" – 11,02 млн рублей, ГАУК "Приморская государственная картинная галерея" – 9,67 млн рублей. Обращаем внимание, что в законопроекте не планируются средства на приобретение хранилища библиотечного фонда ГБУК "Приморская краевая публичная библиотека им.</w:t>
      </w:r>
      <w:r w:rsidR="00B463DC"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А.М. Горького"</w:t>
      </w:r>
      <w:r w:rsidR="00B463D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в связи с чем библиотека им. А.М. Горького арендует у АО "Торговый дом Владивостокский ГУМ" нежило</w:t>
      </w:r>
      <w:r w:rsidR="00B463DC" w:rsidRPr="00522104">
        <w:rPr>
          <w:rFonts w:ascii="Times New Roman" w:eastAsia="Times New Roman" w:hAnsi="Times New Roman" w:cs="Times New Roman"/>
          <w:sz w:val="28"/>
          <w:szCs w:val="28"/>
          <w:lang w:eastAsia="ru-RU"/>
        </w:rPr>
        <w:t>е помещение площадью 364,9 кв.</w:t>
      </w:r>
      <w:r w:rsidR="002A603E" w:rsidRPr="00522104">
        <w:rPr>
          <w:rFonts w:ascii="Times New Roman" w:eastAsia="Times New Roman" w:hAnsi="Times New Roman" w:cs="Times New Roman"/>
          <w:sz w:val="28"/>
          <w:szCs w:val="28"/>
          <w:lang w:eastAsia="ru-RU"/>
        </w:rPr>
        <w:t xml:space="preserve"> </w:t>
      </w:r>
      <w:r w:rsidR="00B463DC" w:rsidRPr="00522104">
        <w:rPr>
          <w:rFonts w:ascii="Times New Roman" w:eastAsia="Times New Roman" w:hAnsi="Times New Roman" w:cs="Times New Roman"/>
          <w:sz w:val="28"/>
          <w:szCs w:val="28"/>
          <w:lang w:eastAsia="ru-RU"/>
        </w:rPr>
        <w:t>м</w:t>
      </w:r>
      <w:r w:rsidRPr="00522104">
        <w:rPr>
          <w:rFonts w:ascii="Times New Roman" w:eastAsia="Times New Roman" w:hAnsi="Times New Roman" w:cs="Times New Roman"/>
          <w:sz w:val="28"/>
          <w:szCs w:val="28"/>
          <w:lang w:eastAsia="ru-RU"/>
        </w:rPr>
        <w:t>, расположенное на 3 этаже здания по адресу</w:t>
      </w:r>
      <w:r w:rsidR="00B463D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г. Владивосток ул.</w:t>
      </w:r>
      <w:r w:rsidR="00B463DC"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Светланская, 33 (лит 6)</w:t>
      </w:r>
      <w:r w:rsidRPr="00522104">
        <w:rPr>
          <w:rStyle w:val="af"/>
          <w:rFonts w:ascii="Times New Roman" w:eastAsia="Times New Roman" w:hAnsi="Times New Roman" w:cs="Times New Roman"/>
          <w:sz w:val="28"/>
          <w:szCs w:val="28"/>
          <w:lang w:eastAsia="ru-RU"/>
        </w:rPr>
        <w:footnoteReference w:id="23"/>
      </w:r>
      <w:r w:rsidRPr="00522104">
        <w:rPr>
          <w:rFonts w:ascii="Times New Roman" w:eastAsia="Times New Roman" w:hAnsi="Times New Roman" w:cs="Times New Roman"/>
          <w:sz w:val="28"/>
          <w:szCs w:val="28"/>
          <w:lang w:eastAsia="ru-RU"/>
        </w:rPr>
        <w:t xml:space="preserve">, оплачивает арендную плату в размере 2,85 млн рублей. При этом качественно предоставлять абонентские услуги библиотечного фонда у библиотеки не имеется возможности. </w:t>
      </w:r>
    </w:p>
    <w:p w14:paraId="76F9B996" w14:textId="2051909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на управление и распоряжение имуществом, находящимся в собственности и ведении Приморского края, планируются </w:t>
      </w:r>
      <w:r w:rsidRPr="00522104">
        <w:rPr>
          <w:rFonts w:ascii="Times New Roman" w:eastAsia="Times New Roman" w:hAnsi="Times New Roman" w:cs="Times New Roman"/>
          <w:bCs/>
          <w:sz w:val="28"/>
          <w:szCs w:val="28"/>
          <w:lang w:eastAsia="ru-RU"/>
        </w:rPr>
        <w:t xml:space="preserve">в законопроекте на 2022 год в сумме 66,42 млн рублей и по сравнению с утвержденными назначениями увеличены </w:t>
      </w:r>
      <w:r w:rsidRPr="00522104">
        <w:rPr>
          <w:rFonts w:ascii="Times New Roman" w:eastAsia="Times New Roman" w:hAnsi="Times New Roman" w:cs="Times New Roman"/>
          <w:sz w:val="28"/>
          <w:szCs w:val="28"/>
          <w:lang w:eastAsia="ru-RU"/>
        </w:rPr>
        <w:t xml:space="preserve">на 58,91 млн рублей, на 2021 год с уменьшением на 5,52 млн </w:t>
      </w:r>
      <w:r w:rsidR="00BD6626" w:rsidRPr="00522104">
        <w:rPr>
          <w:rFonts w:ascii="Times New Roman" w:eastAsia="Times New Roman" w:hAnsi="Times New Roman" w:cs="Times New Roman"/>
          <w:sz w:val="28"/>
          <w:szCs w:val="28"/>
          <w:lang w:eastAsia="ru-RU"/>
        </w:rPr>
        <w:t>рублей (утверждено на 2022 год</w:t>
      </w:r>
      <w:r w:rsidRPr="00522104">
        <w:rPr>
          <w:rFonts w:ascii="Times New Roman" w:eastAsia="Times New Roman" w:hAnsi="Times New Roman" w:cs="Times New Roman"/>
          <w:sz w:val="28"/>
          <w:szCs w:val="28"/>
          <w:lang w:eastAsia="ru-RU"/>
        </w:rPr>
        <w:t xml:space="preserve"> 7,51 млн рублей, 2021 год – 71,94 млн рублей).</w:t>
      </w:r>
    </w:p>
    <w:p w14:paraId="6551A0EF"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Практически без изменений в законопроекте на 2022 год планируются расходы на предоставление мер социальной поддержки педагогическим работникам краевых государственных образовательных организаций в сумме 4,41 млн рублей на уровне утвержденных назначений Законом № 969-КЗ на тот же год. Размер выплат, установленных З</w:t>
      </w:r>
      <w:r w:rsidRPr="00522104">
        <w:rPr>
          <w:rFonts w:ascii="Times New Roman" w:hAnsi="Times New Roman" w:cs="Times New Roman"/>
          <w:sz w:val="28"/>
          <w:szCs w:val="28"/>
        </w:rPr>
        <w:t>аконом Приморского края от 23.11.2018 № 389-КЗ "О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w:t>
      </w:r>
      <w:r w:rsidRPr="00522104">
        <w:rPr>
          <w:rFonts w:ascii="Times New Roman" w:eastAsia="Times New Roman" w:hAnsi="Times New Roman" w:cs="Times New Roman"/>
          <w:sz w:val="28"/>
          <w:szCs w:val="28"/>
          <w:lang w:eastAsia="ru-RU"/>
        </w:rPr>
        <w:t xml:space="preserve"> на 2022 год без изменений:</w:t>
      </w:r>
      <w:r w:rsidRPr="00522104">
        <w:rPr>
          <w:rFonts w:ascii="Times New Roman" w:hAnsi="Times New Roman" w:cs="Times New Roman"/>
          <w:sz w:val="28"/>
          <w:szCs w:val="28"/>
        </w:rPr>
        <w:t xml:space="preserve"> е</w:t>
      </w:r>
      <w:r w:rsidRPr="00522104">
        <w:rPr>
          <w:rFonts w:ascii="Times New Roman" w:eastAsia="Times New Roman" w:hAnsi="Times New Roman" w:cs="Times New Roman"/>
          <w:sz w:val="28"/>
          <w:szCs w:val="28"/>
          <w:lang w:eastAsia="ru-RU"/>
        </w:rPr>
        <w:t xml:space="preserve">диновременная выплата молодым специалистам (от 250 до 440,00 тыс. рублей), </w:t>
      </w:r>
      <w:r w:rsidRPr="00522104">
        <w:rPr>
          <w:rFonts w:ascii="Times New Roman" w:hAnsi="Times New Roman" w:cs="Times New Roman"/>
          <w:sz w:val="28"/>
          <w:szCs w:val="28"/>
        </w:rPr>
        <w:t>ежемесячные денежные выплаты</w:t>
      </w:r>
      <w:r w:rsidRPr="00522104">
        <w:rPr>
          <w:rStyle w:val="af"/>
          <w:rFonts w:ascii="Times New Roman" w:hAnsi="Times New Roman" w:cs="Times New Roman"/>
          <w:sz w:val="28"/>
          <w:szCs w:val="28"/>
        </w:rPr>
        <w:footnoteReference w:id="24"/>
      </w:r>
      <w:r w:rsidRPr="00522104">
        <w:rPr>
          <w:rFonts w:ascii="Times New Roman" w:hAnsi="Times New Roman" w:cs="Times New Roman"/>
          <w:sz w:val="28"/>
          <w:szCs w:val="28"/>
        </w:rPr>
        <w:t>. Кроме того, по основному месту работы на должности педагогического работника, раз в три года предоставляется мера социальной поддержки в виде компенсации части стоимости путевки на санаторно-курортное лечение в размере 25 % фактических расходов стоимости путевки.</w:t>
      </w:r>
    </w:p>
    <w:p w14:paraId="0797CAF7" w14:textId="794E6B93"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"Мероприятия в сфере культуры и охраны объектов историко-культурного наследия"</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расходы на 2022 год планируются в сумме 518,06 млн рублей</w:t>
      </w:r>
      <w:r w:rsidR="00BD662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или с увеличением на 391,55 млн рублей по сравнению с утвержденными назначениями на тот же год (126,51</w:t>
      </w:r>
      <w:r w:rsidR="00BD6626"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рублей), на 2021 год – на 233,30 (план – 284,76 млн рублей), из них:</w:t>
      </w:r>
    </w:p>
    <w:p w14:paraId="65522CE9"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 министерству </w:t>
      </w:r>
      <w:r w:rsidRPr="00522104">
        <w:rPr>
          <w:rFonts w:ascii="Times New Roman" w:hAnsi="Times New Roman" w:cs="Times New Roman"/>
          <w:sz w:val="28"/>
          <w:szCs w:val="28"/>
        </w:rPr>
        <w:t>культуры и архивного дела Приморского края в сумме 345,70 млн рублей, или больше на 231,49 млн рублей утвержденных назначений (114,21 млн рублей), на 2021 год – на 134,50 млн рублей (план – 211,20 млн рублей), в основном за счет увеличения расходов:</w:t>
      </w:r>
    </w:p>
    <w:p w14:paraId="1C91D5EA" w14:textId="60963455"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260,04 млн рублей, или в 6,7 раза по сравнению с утвержденными назначениями</w:t>
      </w:r>
      <w:r w:rsidR="00BD662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 на 149,21 млн рублей – на 2021 год и составили 263,95 млн рублей </w:t>
      </w:r>
      <w:r w:rsidR="00BD662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субсидии на обеспечение уставной деятельности автономной некоммерческой организации "Приморский культурно-исторический центр" (утверждено на 2022 год – 3,91 млн рублей, на 2021 год – 114,74 млн рублей). За 9 месяцев 2021 года субсидии направлены в полном объеме.</w:t>
      </w:r>
    </w:p>
    <w:p w14:paraId="21C841BC" w14:textId="77777777" w:rsidR="00827437" w:rsidRPr="00522104" w:rsidRDefault="00827437" w:rsidP="00827437">
      <w:pPr>
        <w:spacing w:after="0" w:line="240" w:lineRule="auto"/>
        <w:ind w:firstLine="720"/>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 xml:space="preserve">Справочно: АНО "Приморский культурно-исторический центр" </w:t>
      </w:r>
      <w:r w:rsidRPr="00522104">
        <w:rPr>
          <w:rFonts w:ascii="Times New Roman" w:hAnsi="Times New Roman" w:cs="Times New Roman"/>
          <w:i/>
          <w:sz w:val="28"/>
          <w:szCs w:val="28"/>
        </w:rPr>
        <w:t xml:space="preserve">является региональным оператором всероссийского проекта "Россия — моя история", исторический парк в г. Владивостоке, где реализуется программа Фонда проектов социального и культурного назначения "Национальное культурное наследие". До 2023 года планируется строительство музейно-театрального комплекса, который объединит под своей крышей филиалы Третьяковской галереи, Государственного Эрмитажа, Русского музея и Музея Востока. Также в состав культурного образовательного кластера во Владивостоке войдет образовательный комплекс на остове Русском. </w:t>
      </w:r>
    </w:p>
    <w:p w14:paraId="1A8E86F7" w14:textId="15FDBC81"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Сокращаются в законопроекте на 2022 год субсидии краевым государственным бюджетным и автономным учреждениям на иные цели и составят 77,58 млн рублей по сравнению с утвержденными назначениями на 28,55 млн рублей</w:t>
      </w:r>
      <w:r w:rsidR="00BD662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 на 2021 год </w:t>
      </w:r>
      <w:r w:rsidR="00BD662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на 17,49 млн рублей (утверждено в 2022 году 106,13 млн рублей, в 2021 году – 95,07 млн рублей), из них:</w:t>
      </w:r>
    </w:p>
    <w:p w14:paraId="68DC7803"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гастрольную деятельность составят 20,00 млн рублей;</w:t>
      </w:r>
    </w:p>
    <w:p w14:paraId="6CF4F376" w14:textId="2B0A7B79"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организацию и проведение культурных мероприятий краевыми государственными учреждениями культуры и образовательными учреждениями в сфере культуры </w:t>
      </w:r>
      <w:r w:rsidR="00BD662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28,08 млн рублей;</w:t>
      </w:r>
    </w:p>
    <w:p w14:paraId="0C2CF70C"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реализацию совместных проектов в области культуры и искусства с федеральными и региональными организациями – 17,50 млн рублей;</w:t>
      </w:r>
    </w:p>
    <w:p w14:paraId="340E4088"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реализацию проекта "Народные театры Приморского края – 7,00 млн рублей;</w:t>
      </w:r>
    </w:p>
    <w:p w14:paraId="21CE6B96"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организацию и проведение культурных мероприятий в рамках Восточного экономического форума – 5,00 млн рублей.</w:t>
      </w:r>
    </w:p>
    <w:p w14:paraId="07022C97" w14:textId="77777777" w:rsidR="00827437" w:rsidRPr="00522104" w:rsidRDefault="00827437" w:rsidP="00827437">
      <w:pPr>
        <w:spacing w:after="0" w:line="240" w:lineRule="auto"/>
        <w:ind w:firstLine="720"/>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sz w:val="28"/>
          <w:szCs w:val="28"/>
          <w:lang w:eastAsia="ru-RU"/>
        </w:rPr>
        <w:t>По инспекции по охране объектов культурного наследия Приморского края в законопроект на 2022 год по сравнению с утвержденными назначениями включены расходы в сумме 160,06 млн рублей, и увеличены по сравнению с 2021 годом на 100,80 млн рублей, из них:</w:t>
      </w:r>
      <w:r w:rsidRPr="00522104">
        <w:rPr>
          <w:rFonts w:ascii="Times New Roman" w:eastAsia="Times New Roman" w:hAnsi="Times New Roman" w:cs="Times New Roman"/>
          <w:i/>
          <w:sz w:val="28"/>
          <w:szCs w:val="28"/>
          <w:lang w:eastAsia="ru-RU"/>
        </w:rPr>
        <w:t xml:space="preserve"> </w:t>
      </w:r>
    </w:p>
    <w:p w14:paraId="79756130" w14:textId="21D0060D"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мероприятия по государственной охране объектов культурного наследия – на 31,61 млн рублей и составят 37,09 млн рублей (в 2021 году – 5,48</w:t>
      </w:r>
      <w:r w:rsidR="00C9249E"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рублей);</w:t>
      </w:r>
    </w:p>
    <w:p w14:paraId="271E6174"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проведение работ по сохранению объектов культурного наследия – на 105,71 млн рублей (в 2021 году – 12,91 млн рублей, в 2022 году – 118,62 млн рублей);</w:t>
      </w:r>
    </w:p>
    <w:p w14:paraId="538D7216" w14:textId="77777777" w:rsidR="00827437" w:rsidRPr="00087AD2"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087AD2">
        <w:rPr>
          <w:rFonts w:ascii="Times New Roman" w:eastAsia="Times New Roman" w:hAnsi="Times New Roman" w:cs="Times New Roman"/>
          <w:sz w:val="28"/>
          <w:szCs w:val="28"/>
          <w:lang w:eastAsia="ru-RU"/>
        </w:rPr>
        <w:t>сокращены в полном объеме:</w:t>
      </w:r>
    </w:p>
    <w:p w14:paraId="745E92C0"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 (10,21 млн рублей в 2021 году). За 9 месяцев 2021 года расходы не освоены;</w:t>
      </w:r>
    </w:p>
    <w:p w14:paraId="6B30CB01"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гранты организациям, расположенным на территории Приморского края, осуществляющим работы по выявлению и изучению объектов археологического наследия (выявленных объектов археологического наследия) (в 2021 году – 21,12 млн рублей, за 9 месяцев освоены в полном объеме);</w:t>
      </w:r>
    </w:p>
    <w:p w14:paraId="49E8DDEC" w14:textId="0B3A4ABD"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790555">
        <w:rPr>
          <w:rFonts w:ascii="Times New Roman" w:eastAsia="Times New Roman" w:hAnsi="Times New Roman" w:cs="Times New Roman"/>
          <w:sz w:val="28"/>
          <w:szCs w:val="28"/>
          <w:lang w:eastAsia="ru-RU"/>
        </w:rPr>
        <w:t xml:space="preserve">уменьшены </w:t>
      </w:r>
      <w:r w:rsidRPr="00522104">
        <w:rPr>
          <w:rFonts w:ascii="Times New Roman" w:eastAsia="Times New Roman" w:hAnsi="Times New Roman" w:cs="Times New Roman"/>
          <w:sz w:val="28"/>
          <w:szCs w:val="28"/>
          <w:lang w:eastAsia="ru-RU"/>
        </w:rPr>
        <w:t xml:space="preserve">на 5,19 млн рублей по сравнению с 2021 годом и составили 4,35 млн рублей </w:t>
      </w:r>
      <w:r w:rsidR="006856B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 (в 2021 году – 9,54</w:t>
      </w:r>
      <w:r w:rsidR="006856B4"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рублей).</w:t>
      </w:r>
    </w:p>
    <w:p w14:paraId="05968A9E"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 департаменту информационной политики Приморского края подпрограммой планируются расходы в сумме 12,30 млн рублей на уровне утвержденных назначений в 2022 году, но меньше на 2,00 млн рублей по сравнению с 2021 годом (14,30 млн рублей), из них:</w:t>
      </w:r>
    </w:p>
    <w:p w14:paraId="7B5087BE" w14:textId="7CC68CDA"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087AD2">
        <w:rPr>
          <w:rFonts w:ascii="Times New Roman" w:eastAsia="Times New Roman" w:hAnsi="Times New Roman" w:cs="Times New Roman"/>
          <w:sz w:val="28"/>
          <w:szCs w:val="28"/>
          <w:lang w:eastAsia="ru-RU"/>
        </w:rPr>
        <w:t>на уровне 2021 года запланированы</w:t>
      </w:r>
      <w:r w:rsidRPr="00522104">
        <w:rPr>
          <w:rFonts w:ascii="Times New Roman" w:eastAsia="Times New Roman" w:hAnsi="Times New Roman" w:cs="Times New Roman"/>
          <w:sz w:val="28"/>
          <w:szCs w:val="28"/>
          <w:lang w:eastAsia="ru-RU"/>
        </w:rPr>
        <w:t xml:space="preserve"> расходы на изготовление и размещение информационных материалов, направленных на популяризацию социально значимых культурных мероприятий Приморского края: на телеканалах, вещающих на территории Приморского края</w:t>
      </w:r>
      <w:r w:rsidR="006856B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 5,00 млн рублей, на ресурсах информационных агентств информационных материалов – 4,00</w:t>
      </w:r>
      <w:r w:rsidR="006856B4"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рублей;</w:t>
      </w:r>
    </w:p>
    <w:p w14:paraId="5B7474A4" w14:textId="2145D63E"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 уменьшением в законопроекте на 2022 год запланированы расходы на изготовление и размещение информационных материалов, направленных на популяризацию социально значимых культурных мероприятий Приморского края: на 1,00 млн рублей и составят 1,0 млн </w:t>
      </w:r>
      <w:r w:rsidR="006856B4" w:rsidRPr="00522104">
        <w:rPr>
          <w:rFonts w:ascii="Times New Roman" w:eastAsia="Times New Roman" w:hAnsi="Times New Roman" w:cs="Times New Roman"/>
          <w:sz w:val="28"/>
          <w:szCs w:val="28"/>
          <w:lang w:eastAsia="ru-RU"/>
        </w:rPr>
        <w:t>рублей –</w:t>
      </w:r>
      <w:r w:rsidRPr="00522104">
        <w:rPr>
          <w:rFonts w:ascii="Times New Roman" w:eastAsia="Times New Roman" w:hAnsi="Times New Roman" w:cs="Times New Roman"/>
          <w:sz w:val="28"/>
          <w:szCs w:val="28"/>
          <w:lang w:eastAsia="ru-RU"/>
        </w:rPr>
        <w:t xml:space="preserve"> на радиостанциях, на 1,00 млн рублей и составят 2,95 млн рублей – в печатных средствах массовой информации.</w:t>
      </w:r>
    </w:p>
    <w:p w14:paraId="1DAB91B8" w14:textId="01C207C6"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"Поддержка учреждений культуры в Приморском крае"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в законопроекте на 2022 год</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расходы составят</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797,81 млн рублей</w:t>
      </w:r>
      <w:r w:rsidR="006856B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по сравнению с утвержденными назначениями расходы увеличиваются на 624,34</w:t>
      </w:r>
      <w:r w:rsidR="006856B4"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млн рублей (173,46 млн рублей), по сравнению с 2021 годом </w:t>
      </w:r>
      <w:r w:rsidR="006856B4"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на 410,03</w:t>
      </w:r>
      <w:r w:rsidR="006856B4"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рублей (387,77 млн рублей), из них:</w:t>
      </w:r>
    </w:p>
    <w:p w14:paraId="5A020706"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 министерству культуры и архивного дела Приморского края – больше на 572,76 млн рублей и составят 745,32 млн рублей (утверждено на 2022 год – 172,56 млн рублей, на 2021 год – 302,41 млн рублей), из них:</w:t>
      </w:r>
    </w:p>
    <w:p w14:paraId="1AD46073"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087AD2">
        <w:rPr>
          <w:rFonts w:ascii="Times New Roman" w:hAnsi="Times New Roman" w:cs="Times New Roman"/>
          <w:sz w:val="28"/>
          <w:szCs w:val="28"/>
        </w:rPr>
        <w:t xml:space="preserve">включены </w:t>
      </w:r>
      <w:r w:rsidRPr="00522104">
        <w:rPr>
          <w:rFonts w:ascii="Times New Roman" w:hAnsi="Times New Roman" w:cs="Times New Roman"/>
          <w:i/>
          <w:sz w:val="28"/>
          <w:szCs w:val="28"/>
        </w:rPr>
        <w:t>в</w:t>
      </w:r>
      <w:r w:rsidRPr="00522104">
        <w:rPr>
          <w:rFonts w:ascii="Times New Roman" w:hAnsi="Times New Roman" w:cs="Times New Roman"/>
          <w:sz w:val="28"/>
          <w:szCs w:val="28"/>
        </w:rPr>
        <w:t xml:space="preserve"> законопроект на 2022 год:</w:t>
      </w:r>
    </w:p>
    <w:p w14:paraId="6084EB8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субсидии некоммерческим организациям: на осуществление издательской деятельности – 10,00 млн рублей, на реализацию креативных проектов – 10,00 млн рублей;</w:t>
      </w:r>
    </w:p>
    <w:p w14:paraId="664B7187"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премия молодым авторам и исполнителям – 1,00 млн рублей;</w:t>
      </w:r>
    </w:p>
    <w:p w14:paraId="774F34B0" w14:textId="11A43049"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модернизация муниципальных библиотек – 60,00 млн рублей</w:t>
      </w:r>
      <w:r w:rsidR="00C9249E" w:rsidRPr="00522104">
        <w:rPr>
          <w:rFonts w:ascii="Times New Roman" w:hAnsi="Times New Roman" w:cs="Times New Roman"/>
          <w:sz w:val="28"/>
          <w:szCs w:val="28"/>
        </w:rPr>
        <w:t xml:space="preserve"> (в рамках краевого проекта "Библиотеки Приморья</w:t>
      </w:r>
      <w:r w:rsidRPr="00522104">
        <w:rPr>
          <w:rFonts w:ascii="Times New Roman" w:hAnsi="Times New Roman" w:cs="Times New Roman"/>
          <w:sz w:val="28"/>
          <w:szCs w:val="28"/>
        </w:rPr>
        <w:t>.</w:t>
      </w:r>
      <w:r w:rsidR="00C9249E" w:rsidRPr="00522104">
        <w:rPr>
          <w:rFonts w:ascii="Times New Roman" w:hAnsi="Times New Roman" w:cs="Times New Roman"/>
          <w:sz w:val="28"/>
          <w:szCs w:val="28"/>
        </w:rPr>
        <w:t xml:space="preserve"> Перезагрузка").</w:t>
      </w:r>
    </w:p>
    <w:p w14:paraId="34A52C5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Включение указанных расходов потребует принятие нормативных правовых актов, устанавливающих порядок предоставления бюджетных средств.</w:t>
      </w:r>
    </w:p>
    <w:p w14:paraId="3FA1D3F3" w14:textId="77777777" w:rsidR="00827437" w:rsidRPr="00087AD2" w:rsidRDefault="00827437" w:rsidP="00827437">
      <w:pPr>
        <w:spacing w:after="0" w:line="240" w:lineRule="auto"/>
        <w:ind w:firstLine="709"/>
        <w:jc w:val="both"/>
        <w:rPr>
          <w:rFonts w:ascii="Times New Roman" w:hAnsi="Times New Roman" w:cs="Times New Roman"/>
          <w:sz w:val="28"/>
          <w:szCs w:val="28"/>
        </w:rPr>
      </w:pPr>
      <w:r w:rsidRPr="00087AD2">
        <w:rPr>
          <w:rFonts w:ascii="Times New Roman" w:hAnsi="Times New Roman" w:cs="Times New Roman"/>
          <w:sz w:val="28"/>
          <w:szCs w:val="28"/>
        </w:rPr>
        <w:t>Планируются с увеличением по сравнению с 2021 годом расходы:</w:t>
      </w:r>
    </w:p>
    <w:p w14:paraId="3E4CF7C8" w14:textId="0BB0F5CC"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модернизацию библиотек в части комплектования книжных фондов библиотек муниципальных образований и государственных общедоступных библиотек – на 0,98 млн рублей (в 2021 году – 9,21 млн рублей, в законопроекте на 2022</w:t>
      </w:r>
      <w:r w:rsidR="006856B4" w:rsidRPr="00522104">
        <w:rPr>
          <w:rFonts w:ascii="Times New Roman" w:hAnsi="Times New Roman" w:cs="Times New Roman"/>
          <w:sz w:val="28"/>
          <w:szCs w:val="28"/>
        </w:rPr>
        <w:t xml:space="preserve"> год</w:t>
      </w:r>
      <w:r w:rsidRPr="00522104">
        <w:rPr>
          <w:rFonts w:ascii="Times New Roman" w:hAnsi="Times New Roman" w:cs="Times New Roman"/>
          <w:sz w:val="28"/>
          <w:szCs w:val="28"/>
        </w:rPr>
        <w:t xml:space="preserve"> – 10,19 млн рублей);</w:t>
      </w:r>
    </w:p>
    <w:p w14:paraId="29CA79B7" w14:textId="05948291"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строительство, реконструкци</w:t>
      </w:r>
      <w:r w:rsidR="006856B4" w:rsidRPr="00522104">
        <w:rPr>
          <w:rFonts w:ascii="Times New Roman" w:hAnsi="Times New Roman" w:cs="Times New Roman"/>
          <w:sz w:val="28"/>
          <w:szCs w:val="28"/>
        </w:rPr>
        <w:t>ю</w:t>
      </w:r>
      <w:r w:rsidRPr="00522104">
        <w:rPr>
          <w:rFonts w:ascii="Times New Roman" w:hAnsi="Times New Roman" w:cs="Times New Roman"/>
          <w:sz w:val="28"/>
          <w:szCs w:val="28"/>
        </w:rPr>
        <w:t>,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r w:rsidR="006856B4" w:rsidRPr="00522104">
        <w:rPr>
          <w:rFonts w:ascii="Times New Roman" w:hAnsi="Times New Roman" w:cs="Times New Roman"/>
          <w:sz w:val="28"/>
          <w:szCs w:val="28"/>
        </w:rPr>
        <w:t> </w:t>
      </w:r>
      <w:r w:rsidRPr="00522104">
        <w:rPr>
          <w:rFonts w:ascii="Times New Roman" w:hAnsi="Times New Roman" w:cs="Times New Roman"/>
          <w:sz w:val="28"/>
          <w:szCs w:val="28"/>
        </w:rPr>
        <w:t xml:space="preserve">– на 7,50 млн рублей (в 2021 году – 16,58 млн рублей, в законопроекте на 2022 </w:t>
      </w:r>
      <w:r w:rsidR="006856B4" w:rsidRPr="00522104">
        <w:rPr>
          <w:rFonts w:ascii="Times New Roman" w:hAnsi="Times New Roman" w:cs="Times New Roman"/>
          <w:sz w:val="28"/>
          <w:szCs w:val="28"/>
        </w:rPr>
        <w:t xml:space="preserve">год </w:t>
      </w:r>
      <w:r w:rsidRPr="00522104">
        <w:rPr>
          <w:rFonts w:ascii="Times New Roman" w:hAnsi="Times New Roman" w:cs="Times New Roman"/>
          <w:sz w:val="28"/>
          <w:szCs w:val="28"/>
        </w:rPr>
        <w:t>– 24,08 млн рублей);</w:t>
      </w:r>
    </w:p>
    <w:p w14:paraId="57AC34F3" w14:textId="2D61A934"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обеспечение развития и укрепления материально-технической базы муниципальных домов культуры – на 35,98 млн рублей (в 2021 году – 0,20 млн рублей, в законопроекте на 2022</w:t>
      </w:r>
      <w:r w:rsidR="006856B4" w:rsidRPr="00522104">
        <w:rPr>
          <w:rFonts w:ascii="Times New Roman" w:hAnsi="Times New Roman" w:cs="Times New Roman"/>
          <w:sz w:val="28"/>
          <w:szCs w:val="28"/>
        </w:rPr>
        <w:t xml:space="preserve"> год</w:t>
      </w:r>
      <w:r w:rsidRPr="00522104">
        <w:rPr>
          <w:rFonts w:ascii="Times New Roman" w:hAnsi="Times New Roman" w:cs="Times New Roman"/>
          <w:sz w:val="28"/>
          <w:szCs w:val="28"/>
        </w:rPr>
        <w:t xml:space="preserve"> – 36,18 млн рублей).</w:t>
      </w:r>
    </w:p>
    <w:p w14:paraId="04783575" w14:textId="77777777" w:rsidR="00827437" w:rsidRPr="00087AD2" w:rsidRDefault="00827437" w:rsidP="00827437">
      <w:pPr>
        <w:spacing w:after="0" w:line="240" w:lineRule="auto"/>
        <w:ind w:firstLine="709"/>
        <w:jc w:val="both"/>
        <w:rPr>
          <w:rFonts w:ascii="Times New Roman" w:hAnsi="Times New Roman" w:cs="Times New Roman"/>
          <w:sz w:val="28"/>
          <w:szCs w:val="28"/>
        </w:rPr>
      </w:pPr>
      <w:r w:rsidRPr="00087AD2">
        <w:rPr>
          <w:rFonts w:ascii="Times New Roman" w:hAnsi="Times New Roman" w:cs="Times New Roman"/>
          <w:sz w:val="28"/>
          <w:szCs w:val="28"/>
        </w:rPr>
        <w:t>Уменьшены расходы по сравнению с 2021 годом в законопроекте на 2022 год:</w:t>
      </w:r>
    </w:p>
    <w:p w14:paraId="12A7818E" w14:textId="3F5AEDCD"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 на 4,20 млн рублей (в 2021 году – 7,60 млн рублей, в законопроекте на 2022 </w:t>
      </w:r>
      <w:r w:rsidR="00C514E1" w:rsidRPr="00522104">
        <w:rPr>
          <w:rFonts w:ascii="Times New Roman" w:hAnsi="Times New Roman" w:cs="Times New Roman"/>
          <w:sz w:val="28"/>
          <w:szCs w:val="28"/>
        </w:rPr>
        <w:t xml:space="preserve">год </w:t>
      </w:r>
      <w:r w:rsidRPr="00522104">
        <w:rPr>
          <w:rFonts w:ascii="Times New Roman" w:hAnsi="Times New Roman" w:cs="Times New Roman"/>
          <w:sz w:val="28"/>
          <w:szCs w:val="28"/>
        </w:rPr>
        <w:t>– 3,40 млн рублей);</w:t>
      </w:r>
    </w:p>
    <w:p w14:paraId="3F21D2F8" w14:textId="4E96C660"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обеспечение развития и укрепления материально-технической базы домов культуры в населенных пунктах с числом жителей до 50 тысяч человек</w:t>
      </w:r>
      <w:r w:rsidR="00C514E1" w:rsidRPr="00522104">
        <w:rPr>
          <w:rFonts w:ascii="Times New Roman" w:hAnsi="Times New Roman" w:cs="Times New Roman"/>
          <w:sz w:val="28"/>
          <w:szCs w:val="28"/>
        </w:rPr>
        <w:t> </w:t>
      </w:r>
      <w:r w:rsidRPr="00522104">
        <w:rPr>
          <w:rFonts w:ascii="Times New Roman" w:hAnsi="Times New Roman" w:cs="Times New Roman"/>
          <w:sz w:val="28"/>
          <w:szCs w:val="28"/>
        </w:rPr>
        <w:t>– на 1,57 млн рублей (в 2021 году – 15,96 млн рублей, в законопроекте на 2022</w:t>
      </w:r>
      <w:r w:rsidR="00C514E1" w:rsidRPr="00522104">
        <w:rPr>
          <w:rFonts w:ascii="Times New Roman" w:hAnsi="Times New Roman" w:cs="Times New Roman"/>
          <w:sz w:val="28"/>
          <w:szCs w:val="28"/>
        </w:rPr>
        <w:t xml:space="preserve"> год </w:t>
      </w:r>
      <w:r w:rsidRPr="00522104">
        <w:rPr>
          <w:rFonts w:ascii="Times New Roman" w:hAnsi="Times New Roman" w:cs="Times New Roman"/>
          <w:sz w:val="28"/>
          <w:szCs w:val="28"/>
        </w:rPr>
        <w:t>– 14,41 млн рублей);</w:t>
      </w:r>
    </w:p>
    <w:p w14:paraId="0FA73848"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 министерству строительства по подпрограмме расходы планируются в сумме 52,48 млн рублей, или меньше на 32,89 млн рублей уровня 2021 года (85,37 млн рублей), из них:</w:t>
      </w:r>
    </w:p>
    <w:p w14:paraId="1D26E0E0"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оказание услуг по охране объектов культуры и их содержание во время консервации больше на 0,22 млн рублей и составили 2,48 млн рублей (в 2021 году – 2,26 млн рублей); </w:t>
      </w:r>
    </w:p>
    <w:p w14:paraId="7D6B4561" w14:textId="23942A6A" w:rsidR="008C417A" w:rsidRPr="00522104" w:rsidRDefault="00827437" w:rsidP="008C417A">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строительство, реконструкци</w:t>
      </w:r>
      <w:r w:rsidR="00C514E1" w:rsidRPr="00522104">
        <w:rPr>
          <w:rFonts w:ascii="Times New Roman" w:eastAsia="Times New Roman" w:hAnsi="Times New Roman" w:cs="Times New Roman"/>
          <w:sz w:val="28"/>
          <w:szCs w:val="28"/>
          <w:lang w:eastAsia="ru-RU"/>
        </w:rPr>
        <w:t>ю</w:t>
      </w:r>
      <w:r w:rsidRPr="00522104">
        <w:rPr>
          <w:rFonts w:ascii="Times New Roman" w:eastAsia="Times New Roman" w:hAnsi="Times New Roman" w:cs="Times New Roman"/>
          <w:sz w:val="28"/>
          <w:szCs w:val="28"/>
          <w:lang w:eastAsia="ru-RU"/>
        </w:rPr>
        <w:t>,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r w:rsidR="00C514E1"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больше на 33,54 млн рублей в сумме 50,00 млн рублей (в 2021</w:t>
      </w:r>
      <w:r w:rsidR="00C514E1" w:rsidRPr="00522104">
        <w:rPr>
          <w:rFonts w:ascii="Times New Roman" w:eastAsia="Times New Roman" w:hAnsi="Times New Roman" w:cs="Times New Roman"/>
          <w:sz w:val="28"/>
          <w:szCs w:val="28"/>
          <w:lang w:eastAsia="ru-RU"/>
        </w:rPr>
        <w:t xml:space="preserve"> году</w:t>
      </w:r>
      <w:r w:rsidRPr="00522104">
        <w:rPr>
          <w:rFonts w:ascii="Times New Roman" w:eastAsia="Times New Roman" w:hAnsi="Times New Roman" w:cs="Times New Roman"/>
          <w:sz w:val="28"/>
          <w:szCs w:val="28"/>
          <w:lang w:eastAsia="ru-RU"/>
        </w:rPr>
        <w:t xml:space="preserve"> – 16,46 млн рублей</w:t>
      </w:r>
      <w:r w:rsidR="008C417A" w:rsidRPr="00522104">
        <w:rPr>
          <w:rFonts w:ascii="Times New Roman" w:eastAsia="Times New Roman" w:hAnsi="Times New Roman" w:cs="Times New Roman"/>
          <w:sz w:val="28"/>
          <w:szCs w:val="28"/>
          <w:lang w:eastAsia="ru-RU"/>
        </w:rPr>
        <w:t xml:space="preserve"> на проведение ПИР, за 9 месяцев 2021 года средства не осваивались</w:t>
      </w:r>
      <w:r w:rsidR="00C514E1" w:rsidRPr="00522104">
        <w:rPr>
          <w:rFonts w:ascii="Times New Roman" w:eastAsia="Times New Roman" w:hAnsi="Times New Roman" w:cs="Times New Roman"/>
          <w:sz w:val="28"/>
          <w:szCs w:val="28"/>
          <w:lang w:eastAsia="ru-RU"/>
        </w:rPr>
        <w:t>)</w:t>
      </w:r>
      <w:r w:rsidR="008C417A" w:rsidRPr="00522104">
        <w:rPr>
          <w:rFonts w:ascii="Times New Roman" w:eastAsia="Times New Roman" w:hAnsi="Times New Roman" w:cs="Times New Roman"/>
          <w:sz w:val="28"/>
          <w:szCs w:val="28"/>
          <w:lang w:eastAsia="ru-RU"/>
        </w:rPr>
        <w:t xml:space="preserve">. </w:t>
      </w:r>
      <w:r w:rsidR="008C417A" w:rsidRPr="00522104">
        <w:rPr>
          <w:rFonts w:ascii="Times New Roman" w:hAnsi="Times New Roman" w:cs="Times New Roman"/>
          <w:sz w:val="28"/>
          <w:szCs w:val="28"/>
        </w:rPr>
        <w:t>Бюджетные ассигнования планируются при отсутствии проектно-сметной документации</w:t>
      </w:r>
      <w:r w:rsidR="008C417A" w:rsidRPr="00522104">
        <w:rPr>
          <w:rFonts w:ascii="Times New Roman" w:eastAsia="Times New Roman" w:hAnsi="Times New Roman" w:cs="Times New Roman"/>
          <w:sz w:val="28"/>
          <w:szCs w:val="28"/>
          <w:lang w:eastAsia="ru-RU"/>
        </w:rPr>
        <w:t>. На 2022-2023 годы запланированы строительно-монтажные работы по объекту реконструкция здания дворца культуры "Горняк" г. Дальнегорск, проспект 50 лет Октября, 106.</w:t>
      </w:r>
    </w:p>
    <w:p w14:paraId="1E4CB47C" w14:textId="5B5FEC56" w:rsidR="008C417A" w:rsidRPr="00522104" w:rsidRDefault="008C417A" w:rsidP="008C417A">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законопроекте на 2022 год не планируются расходы в связи с планируемым завершением в 2021 году, при этом расходы не осваивались в 2021 году, за 9 месяцев 2021 года исполнены на низком уровне </w:t>
      </w:r>
      <w:r w:rsidR="00C514E1"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16,16 %, или 10,77 млн рублей (план на 2021 год – 66,64 млн рублей): </w:t>
      </w:r>
    </w:p>
    <w:p w14:paraId="7FB4BE0D" w14:textId="325F4481" w:rsidR="008C417A" w:rsidRPr="00522104" w:rsidRDefault="008C417A" w:rsidP="008C417A">
      <w:pPr>
        <w:spacing w:after="0" w:line="240" w:lineRule="auto"/>
        <w:ind w:firstLine="720"/>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на осуществление капитальных вложений в объекты государственной собственности Приморского края в социальной сфере: </w:t>
      </w:r>
      <w:r w:rsidRPr="00522104">
        <w:rPr>
          <w:rFonts w:ascii="Times New Roman" w:hAnsi="Times New Roman" w:cs="Times New Roman"/>
          <w:sz w:val="28"/>
          <w:szCs w:val="28"/>
        </w:rPr>
        <w:t>на повышение категории надежности электроустановок объекта "Приморский филиал федерального государственного бюджетного учреждения культуры "Мариинский театр" – 53,20 млн рублей; демонтаж трех объектов здания магнитно-резонансной томографии, гаражи, центр вакцинации по адресу</w:t>
      </w:r>
      <w:r w:rsidR="00C514E1" w:rsidRPr="00522104">
        <w:rPr>
          <w:rFonts w:ascii="Times New Roman" w:hAnsi="Times New Roman" w:cs="Times New Roman"/>
          <w:sz w:val="28"/>
          <w:szCs w:val="28"/>
        </w:rPr>
        <w:t>:</w:t>
      </w:r>
      <w:r w:rsidRPr="00522104">
        <w:rPr>
          <w:rFonts w:ascii="Times New Roman" w:hAnsi="Times New Roman" w:cs="Times New Roman"/>
          <w:sz w:val="28"/>
          <w:szCs w:val="28"/>
        </w:rPr>
        <w:t xml:space="preserve"> г.</w:t>
      </w:r>
      <w:r w:rsidR="00C514E1" w:rsidRPr="00522104">
        <w:rPr>
          <w:rFonts w:ascii="Times New Roman" w:hAnsi="Times New Roman" w:cs="Times New Roman"/>
          <w:sz w:val="28"/>
          <w:szCs w:val="28"/>
        </w:rPr>
        <w:t> </w:t>
      </w:r>
      <w:r w:rsidRPr="00522104">
        <w:rPr>
          <w:rFonts w:ascii="Times New Roman" w:hAnsi="Times New Roman" w:cs="Times New Roman"/>
          <w:sz w:val="28"/>
          <w:szCs w:val="28"/>
        </w:rPr>
        <w:t xml:space="preserve">Владивосток, ул. Светланская 38/40 – 0,38 млн рублей; мероприятия по консервации объекта строительства "Инновационный культурный центр" – 13,03 млн рублей. </w:t>
      </w:r>
    </w:p>
    <w:p w14:paraId="7EDCDB87" w14:textId="77777777" w:rsidR="00827437" w:rsidRPr="00522104" w:rsidRDefault="00827437" w:rsidP="00827437">
      <w:pPr>
        <w:spacing w:after="0" w:line="240" w:lineRule="auto"/>
        <w:ind w:firstLine="720"/>
        <w:jc w:val="both"/>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14560" behindDoc="0" locked="0" layoutInCell="1" allowOverlap="1" wp14:anchorId="0AF74538" wp14:editId="4B27340F">
            <wp:simplePos x="0" y="0"/>
            <wp:positionH relativeFrom="column">
              <wp:posOffset>-49530</wp:posOffset>
            </wp:positionH>
            <wp:positionV relativeFrom="paragraph">
              <wp:posOffset>45720</wp:posOffset>
            </wp:positionV>
            <wp:extent cx="1371600" cy="1235075"/>
            <wp:effectExtent l="0" t="0" r="0" b="0"/>
            <wp:wrapSquare wrapText="bothSides"/>
            <wp:docPr id="24" name="Рисунок 24" descr="C:\Users\zavzyataya_sv\Desktop\Картинки\Коммерческая-недвижимость11.png"/>
            <wp:cNvGraphicFramePr/>
            <a:graphic xmlns:a="http://schemas.openxmlformats.org/drawingml/2006/main">
              <a:graphicData uri="http://schemas.openxmlformats.org/drawingml/2006/picture">
                <pic:pic xmlns:pic="http://schemas.openxmlformats.org/drawingml/2006/picture">
                  <pic:nvPicPr>
                    <pic:cNvPr id="19" name="Рисунок 19" descr="C:\Users\zavzyataya_sv\Desktop\Картинки\Коммерческая-недвижимость11.png"/>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71600" cy="1235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"Обеспечение доступным жильем и качественными услугами жилищно-коммунального хозяйства населения Приморского края"</w:t>
      </w:r>
    </w:p>
    <w:p w14:paraId="79DEB7E2"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Согласно проекту паспорта ГП ответственным исполнителем является министерство строительства Приморского края, соисполнители – 6 ведомств. </w:t>
      </w:r>
    </w:p>
    <w:p w14:paraId="70416464"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Объем финансового обеспечения в проекте паспорта ГП соответствует бюджетным ассигнованиям, предусмотренным в законопроекте.</w:t>
      </w:r>
    </w:p>
    <w:p w14:paraId="17B543F2"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На реализацию мероприятий ГП в краевом бюджете на 2022 год предусмотрены бюджетные ассигнования в объеме 17968,79 млн рублей, что составляет 11,06 % от общих расходов краевого бюджета, в том числе за счет средств федерального бюджета 718,26 млн рублей, за счет средств Государственной корпорации – Фонд содействия реформированию жилищно-коммунального хозяйства </w:t>
      </w:r>
      <w:r w:rsidRPr="00522104">
        <w:rPr>
          <w:rFonts w:ascii="Times New Roman" w:eastAsia="Calibri" w:hAnsi="Times New Roman" w:cs="Times New Roman"/>
          <w:sz w:val="28"/>
          <w:szCs w:val="28"/>
        </w:rPr>
        <w:t>2075,80 млн</w:t>
      </w:r>
      <w:r w:rsidRPr="00522104">
        <w:rPr>
          <w:rFonts w:ascii="Times New Roman" w:hAnsi="Times New Roman" w:cs="Times New Roman"/>
          <w:sz w:val="28"/>
          <w:szCs w:val="28"/>
        </w:rPr>
        <w:t xml:space="preserve"> рублей, за счет средств краевого бюджета 14176,45 млн рублей. </w:t>
      </w:r>
    </w:p>
    <w:p w14:paraId="1FFC58E2" w14:textId="77777777"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плановый период 2023 - 2024 годов бюджетные ассигнования на реализацию мероприятий государственной программы предусмотрены в объемах 9631,76 млн рублей и 7088,57 млн рублей соответственно.</w:t>
      </w:r>
    </w:p>
    <w:p w14:paraId="2EEA91E5" w14:textId="77777777"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Планируемый объем расходов в законопроекте на 2022 год:</w:t>
      </w:r>
    </w:p>
    <w:p w14:paraId="77EBD614" w14:textId="77777777"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выше уровня 2022 года, утвержденного законом о краевом бюджете № 969-КЗ на 5416,26 млн рублей, или на 43,15 % (12552,53 млн рублей);</w:t>
      </w:r>
    </w:p>
    <w:p w14:paraId="2D80BFF1" w14:textId="77777777"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ниже уровня 2021 года на 1306,15 млн рублей (19274,93 млн рублей). </w:t>
      </w:r>
    </w:p>
    <w:p w14:paraId="3F505200" w14:textId="77777777"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Расходы на 2023 год снижены по сравнению с 2022 годом на 8337,03 млн рублей, на 2024 год по сравнению с 2023 годом – на 2543,19 млн рублей.</w:t>
      </w:r>
    </w:p>
    <w:p w14:paraId="07668E7D"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Структура ГП на 2021-2024 годы сформирована в разрезе следующих подпрограмм.</w:t>
      </w:r>
    </w:p>
    <w:p w14:paraId="047505A4" w14:textId="77777777" w:rsidR="00827437" w:rsidRPr="00522104" w:rsidRDefault="00827437" w:rsidP="00827437">
      <w:pPr>
        <w:spacing w:after="0" w:line="240" w:lineRule="auto"/>
        <w:ind w:firstLine="709"/>
        <w:contextualSpacing/>
        <w:jc w:val="right"/>
        <w:rPr>
          <w:rFonts w:ascii="Times New Roman" w:hAnsi="Times New Roman" w:cs="Times New Roman"/>
          <w:sz w:val="20"/>
          <w:szCs w:val="20"/>
        </w:rPr>
      </w:pPr>
    </w:p>
    <w:tbl>
      <w:tblPr>
        <w:tblW w:w="10076" w:type="dxa"/>
        <w:tblInd w:w="-289" w:type="dxa"/>
        <w:tblLayout w:type="fixed"/>
        <w:tblLook w:val="04A0" w:firstRow="1" w:lastRow="0" w:firstColumn="1" w:lastColumn="0" w:noHBand="0" w:noVBand="1"/>
      </w:tblPr>
      <w:tblGrid>
        <w:gridCol w:w="2416"/>
        <w:gridCol w:w="992"/>
        <w:gridCol w:w="992"/>
        <w:gridCol w:w="992"/>
        <w:gridCol w:w="993"/>
        <w:gridCol w:w="850"/>
        <w:gridCol w:w="851"/>
        <w:gridCol w:w="992"/>
        <w:gridCol w:w="998"/>
      </w:tblGrid>
      <w:tr w:rsidR="00827437" w:rsidRPr="00522104" w14:paraId="3690CC39" w14:textId="77777777" w:rsidTr="002E7523">
        <w:trPr>
          <w:trHeight w:val="191"/>
          <w:tblHeader/>
        </w:trPr>
        <w:tc>
          <w:tcPr>
            <w:tcW w:w="2416" w:type="dxa"/>
            <w:tcBorders>
              <w:bottom w:val="single" w:sz="4" w:space="0" w:color="auto"/>
            </w:tcBorders>
            <w:shd w:val="clear" w:color="auto" w:fill="auto"/>
            <w:vAlign w:val="center"/>
          </w:tcPr>
          <w:p w14:paraId="186608D9"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2976" w:type="dxa"/>
            <w:gridSpan w:val="3"/>
            <w:tcBorders>
              <w:bottom w:val="single" w:sz="4" w:space="0" w:color="auto"/>
            </w:tcBorders>
            <w:shd w:val="clear" w:color="auto" w:fill="auto"/>
            <w:vAlign w:val="center"/>
          </w:tcPr>
          <w:p w14:paraId="1D6E1D03"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2694" w:type="dxa"/>
            <w:gridSpan w:val="3"/>
            <w:tcBorders>
              <w:bottom w:val="single" w:sz="4" w:space="0" w:color="auto"/>
            </w:tcBorders>
            <w:shd w:val="clear" w:color="auto" w:fill="auto"/>
            <w:vAlign w:val="center"/>
          </w:tcPr>
          <w:p w14:paraId="245BCE10"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1990" w:type="dxa"/>
            <w:gridSpan w:val="2"/>
            <w:tcBorders>
              <w:bottom w:val="single" w:sz="4" w:space="0" w:color="auto"/>
            </w:tcBorders>
            <w:shd w:val="clear" w:color="auto" w:fill="auto"/>
            <w:vAlign w:val="center"/>
          </w:tcPr>
          <w:p w14:paraId="70FD0AB6"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hAnsi="Times New Roman" w:cs="Times New Roman"/>
                <w:sz w:val="20"/>
                <w:szCs w:val="20"/>
              </w:rPr>
              <w:t>(млн рублей)</w:t>
            </w:r>
          </w:p>
        </w:tc>
      </w:tr>
      <w:tr w:rsidR="00827437" w:rsidRPr="00522104" w14:paraId="549C12C9" w14:textId="77777777" w:rsidTr="002E7523">
        <w:trPr>
          <w:trHeight w:val="237"/>
          <w:tblHeader/>
        </w:trPr>
        <w:tc>
          <w:tcPr>
            <w:tcW w:w="24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BF773F5"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Наименование</w:t>
            </w:r>
          </w:p>
        </w:tc>
        <w:tc>
          <w:tcPr>
            <w:tcW w:w="2976" w:type="dxa"/>
            <w:gridSpan w:val="3"/>
            <w:tcBorders>
              <w:top w:val="single" w:sz="4" w:space="0" w:color="auto"/>
              <w:left w:val="nil"/>
              <w:bottom w:val="single" w:sz="4" w:space="0" w:color="auto"/>
              <w:right w:val="single" w:sz="4" w:space="0" w:color="000000"/>
            </w:tcBorders>
            <w:shd w:val="clear" w:color="auto" w:fill="auto"/>
            <w:vAlign w:val="center"/>
            <w:hideMark/>
          </w:tcPr>
          <w:p w14:paraId="0F286243"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 № 969-КЗ</w:t>
            </w:r>
          </w:p>
        </w:tc>
        <w:tc>
          <w:tcPr>
            <w:tcW w:w="2694" w:type="dxa"/>
            <w:gridSpan w:val="3"/>
            <w:tcBorders>
              <w:top w:val="single" w:sz="4" w:space="0" w:color="auto"/>
              <w:left w:val="nil"/>
              <w:bottom w:val="single" w:sz="4" w:space="0" w:color="auto"/>
              <w:right w:val="single" w:sz="4" w:space="0" w:color="000000"/>
            </w:tcBorders>
            <w:shd w:val="clear" w:color="auto" w:fill="auto"/>
            <w:vAlign w:val="center"/>
            <w:hideMark/>
          </w:tcPr>
          <w:p w14:paraId="1B4E5951"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Законопроект</w:t>
            </w:r>
          </w:p>
        </w:tc>
        <w:tc>
          <w:tcPr>
            <w:tcW w:w="1990" w:type="dxa"/>
            <w:gridSpan w:val="2"/>
            <w:tcBorders>
              <w:top w:val="single" w:sz="4" w:space="0" w:color="auto"/>
              <w:left w:val="nil"/>
              <w:bottom w:val="single" w:sz="4" w:space="0" w:color="auto"/>
              <w:right w:val="single" w:sz="4" w:space="0" w:color="auto"/>
            </w:tcBorders>
            <w:shd w:val="clear" w:color="auto" w:fill="auto"/>
            <w:vAlign w:val="center"/>
            <w:hideMark/>
          </w:tcPr>
          <w:p w14:paraId="27C53C03"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Отклонения законопроекта к утвержденным назначениям</w:t>
            </w:r>
          </w:p>
        </w:tc>
      </w:tr>
      <w:tr w:rsidR="00087AD2" w:rsidRPr="00522104" w14:paraId="0E7ED12A" w14:textId="77777777" w:rsidTr="00087AD2">
        <w:trPr>
          <w:trHeight w:val="604"/>
          <w:tblHeader/>
        </w:trPr>
        <w:tc>
          <w:tcPr>
            <w:tcW w:w="2416" w:type="dxa"/>
            <w:vMerge/>
            <w:tcBorders>
              <w:top w:val="single" w:sz="4" w:space="0" w:color="auto"/>
              <w:left w:val="single" w:sz="4" w:space="0" w:color="auto"/>
              <w:bottom w:val="single" w:sz="4" w:space="0" w:color="000000"/>
              <w:right w:val="single" w:sz="4" w:space="0" w:color="auto"/>
            </w:tcBorders>
            <w:vAlign w:val="center"/>
            <w:hideMark/>
          </w:tcPr>
          <w:p w14:paraId="02897EBE" w14:textId="77777777" w:rsidR="00087AD2" w:rsidRPr="00522104" w:rsidRDefault="00087AD2" w:rsidP="00E40BEE">
            <w:pPr>
              <w:spacing w:after="0" w:line="240" w:lineRule="auto"/>
              <w:rPr>
                <w:rFonts w:ascii="Times New Roman" w:eastAsia="Times New Roman" w:hAnsi="Times New Roman" w:cs="Times New Roman"/>
                <w:bCs/>
                <w:sz w:val="20"/>
                <w:szCs w:val="20"/>
                <w:lang w:eastAsia="ru-RU"/>
              </w:rPr>
            </w:pPr>
          </w:p>
        </w:tc>
        <w:tc>
          <w:tcPr>
            <w:tcW w:w="992" w:type="dxa"/>
            <w:vMerge w:val="restart"/>
            <w:tcBorders>
              <w:top w:val="nil"/>
              <w:left w:val="nil"/>
              <w:right w:val="single" w:sz="4" w:space="0" w:color="auto"/>
            </w:tcBorders>
            <w:shd w:val="clear" w:color="auto" w:fill="auto"/>
            <w:vAlign w:val="center"/>
            <w:hideMark/>
          </w:tcPr>
          <w:p w14:paraId="66150D9A" w14:textId="77777777" w:rsidR="00087AD2" w:rsidRPr="00522104" w:rsidRDefault="00087AD2" w:rsidP="00D15C87">
            <w:pPr>
              <w:spacing w:after="0" w:line="240" w:lineRule="auto"/>
              <w:ind w:left="-122"/>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первоначальная редакция</w:t>
            </w:r>
          </w:p>
          <w:p w14:paraId="6FCFEAB4" w14:textId="50B7BCF6"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 год</w:t>
            </w:r>
          </w:p>
        </w:tc>
        <w:tc>
          <w:tcPr>
            <w:tcW w:w="1984" w:type="dxa"/>
            <w:gridSpan w:val="2"/>
            <w:tcBorders>
              <w:top w:val="single" w:sz="4" w:space="0" w:color="auto"/>
              <w:left w:val="nil"/>
              <w:bottom w:val="single" w:sz="4" w:space="0" w:color="auto"/>
              <w:right w:val="nil"/>
            </w:tcBorders>
            <w:shd w:val="clear" w:color="auto" w:fill="auto"/>
            <w:noWrap/>
            <w:vAlign w:val="center"/>
            <w:hideMark/>
          </w:tcPr>
          <w:p w14:paraId="166BF7A0"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8 редакция</w:t>
            </w:r>
          </w:p>
        </w:tc>
        <w:tc>
          <w:tcPr>
            <w:tcW w:w="9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0785D3"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 год</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A5BB2F"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2023 год</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0AB126"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2024 год</w:t>
            </w:r>
          </w:p>
        </w:tc>
        <w:tc>
          <w:tcPr>
            <w:tcW w:w="992" w:type="dxa"/>
            <w:vMerge w:val="restart"/>
            <w:tcBorders>
              <w:top w:val="nil"/>
              <w:left w:val="nil"/>
              <w:right w:val="single" w:sz="4" w:space="0" w:color="auto"/>
            </w:tcBorders>
            <w:shd w:val="clear" w:color="auto" w:fill="auto"/>
            <w:noWrap/>
            <w:vAlign w:val="center"/>
            <w:hideMark/>
          </w:tcPr>
          <w:p w14:paraId="783AC5AF" w14:textId="77777777" w:rsidR="00087AD2" w:rsidRPr="00522104" w:rsidRDefault="00087AD2" w:rsidP="00D15C87">
            <w:pPr>
              <w:spacing w:after="0" w:line="240" w:lineRule="auto"/>
              <w:ind w:left="-96"/>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2022/2021</w:t>
            </w:r>
          </w:p>
        </w:tc>
        <w:tc>
          <w:tcPr>
            <w:tcW w:w="998" w:type="dxa"/>
            <w:vMerge w:val="restart"/>
            <w:tcBorders>
              <w:top w:val="nil"/>
              <w:left w:val="nil"/>
              <w:right w:val="single" w:sz="4" w:space="0" w:color="auto"/>
            </w:tcBorders>
            <w:shd w:val="clear" w:color="auto" w:fill="auto"/>
            <w:noWrap/>
            <w:vAlign w:val="center"/>
            <w:hideMark/>
          </w:tcPr>
          <w:p w14:paraId="01BEC456" w14:textId="77777777" w:rsidR="00087AD2" w:rsidRPr="00522104" w:rsidRDefault="00087AD2" w:rsidP="00D15C87">
            <w:pPr>
              <w:spacing w:after="0" w:line="240" w:lineRule="auto"/>
              <w:ind w:left="-176"/>
              <w:jc w:val="right"/>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2022/2022</w:t>
            </w:r>
          </w:p>
        </w:tc>
      </w:tr>
      <w:tr w:rsidR="00087AD2" w:rsidRPr="00522104" w14:paraId="63DAD90C" w14:textId="77777777" w:rsidTr="00E86AFD">
        <w:trPr>
          <w:trHeight w:val="319"/>
          <w:tblHeader/>
        </w:trPr>
        <w:tc>
          <w:tcPr>
            <w:tcW w:w="2416" w:type="dxa"/>
            <w:vMerge/>
            <w:tcBorders>
              <w:top w:val="single" w:sz="4" w:space="0" w:color="auto"/>
              <w:left w:val="single" w:sz="4" w:space="0" w:color="auto"/>
              <w:bottom w:val="single" w:sz="4" w:space="0" w:color="000000"/>
              <w:right w:val="single" w:sz="4" w:space="0" w:color="auto"/>
            </w:tcBorders>
            <w:vAlign w:val="center"/>
            <w:hideMark/>
          </w:tcPr>
          <w:p w14:paraId="322AFB66" w14:textId="77777777" w:rsidR="00087AD2" w:rsidRPr="00522104" w:rsidRDefault="00087AD2" w:rsidP="00E40BEE">
            <w:pPr>
              <w:spacing w:after="0" w:line="240" w:lineRule="auto"/>
              <w:rPr>
                <w:rFonts w:ascii="Times New Roman" w:eastAsia="Times New Roman" w:hAnsi="Times New Roman" w:cs="Times New Roman"/>
                <w:b/>
                <w:bCs/>
                <w:sz w:val="20"/>
                <w:szCs w:val="20"/>
                <w:lang w:eastAsia="ru-RU"/>
              </w:rPr>
            </w:pPr>
          </w:p>
        </w:tc>
        <w:tc>
          <w:tcPr>
            <w:tcW w:w="992" w:type="dxa"/>
            <w:vMerge/>
            <w:tcBorders>
              <w:left w:val="nil"/>
              <w:bottom w:val="single" w:sz="4" w:space="0" w:color="auto"/>
              <w:right w:val="single" w:sz="4" w:space="0" w:color="auto"/>
            </w:tcBorders>
            <w:shd w:val="clear" w:color="auto" w:fill="auto"/>
            <w:vAlign w:val="center"/>
            <w:hideMark/>
          </w:tcPr>
          <w:p w14:paraId="35FB38F2" w14:textId="3C460AB1"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14:paraId="01C45AEF"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 год</w:t>
            </w:r>
          </w:p>
        </w:tc>
        <w:tc>
          <w:tcPr>
            <w:tcW w:w="992" w:type="dxa"/>
            <w:tcBorders>
              <w:top w:val="nil"/>
              <w:left w:val="nil"/>
              <w:bottom w:val="single" w:sz="4" w:space="0" w:color="auto"/>
              <w:right w:val="nil"/>
            </w:tcBorders>
            <w:shd w:val="clear" w:color="auto" w:fill="auto"/>
            <w:noWrap/>
            <w:vAlign w:val="center"/>
            <w:hideMark/>
          </w:tcPr>
          <w:p w14:paraId="64E12D15" w14:textId="77777777" w:rsidR="00087AD2" w:rsidRPr="00522104" w:rsidRDefault="00087AD2"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 год</w:t>
            </w:r>
          </w:p>
        </w:tc>
        <w:tc>
          <w:tcPr>
            <w:tcW w:w="993" w:type="dxa"/>
            <w:vMerge/>
            <w:tcBorders>
              <w:top w:val="nil"/>
              <w:left w:val="single" w:sz="4" w:space="0" w:color="auto"/>
              <w:bottom w:val="single" w:sz="4" w:space="0" w:color="000000"/>
              <w:right w:val="single" w:sz="4" w:space="0" w:color="auto"/>
            </w:tcBorders>
            <w:vAlign w:val="center"/>
            <w:hideMark/>
          </w:tcPr>
          <w:p w14:paraId="2D8B698E" w14:textId="77777777" w:rsidR="00087AD2" w:rsidRPr="00522104" w:rsidRDefault="00087AD2" w:rsidP="00E40BEE">
            <w:pPr>
              <w:spacing w:after="0" w:line="240" w:lineRule="auto"/>
              <w:rPr>
                <w:rFonts w:ascii="Times New Roman" w:eastAsia="Times New Roman" w:hAnsi="Times New Roman" w:cs="Times New Roman"/>
                <w:b/>
                <w:bCs/>
                <w:sz w:val="20"/>
                <w:szCs w:val="20"/>
                <w:lang w:eastAsia="ru-RU"/>
              </w:rPr>
            </w:pPr>
          </w:p>
        </w:tc>
        <w:tc>
          <w:tcPr>
            <w:tcW w:w="850" w:type="dxa"/>
            <w:vMerge/>
            <w:tcBorders>
              <w:top w:val="nil"/>
              <w:left w:val="single" w:sz="4" w:space="0" w:color="auto"/>
              <w:bottom w:val="single" w:sz="4" w:space="0" w:color="000000"/>
              <w:right w:val="single" w:sz="4" w:space="0" w:color="auto"/>
            </w:tcBorders>
            <w:vAlign w:val="center"/>
            <w:hideMark/>
          </w:tcPr>
          <w:p w14:paraId="585D3EC8" w14:textId="77777777" w:rsidR="00087AD2" w:rsidRPr="00522104" w:rsidRDefault="00087AD2" w:rsidP="00E40BEE">
            <w:pPr>
              <w:spacing w:after="0" w:line="240" w:lineRule="auto"/>
              <w:rPr>
                <w:rFonts w:ascii="Times New Roman" w:eastAsia="Times New Roman" w:hAnsi="Times New Roman" w:cs="Times New Roman"/>
                <w:b/>
                <w:bCs/>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14:paraId="0C3E6277" w14:textId="77777777" w:rsidR="00087AD2" w:rsidRPr="00522104" w:rsidRDefault="00087AD2" w:rsidP="00E40BEE">
            <w:pPr>
              <w:spacing w:after="0" w:line="240" w:lineRule="auto"/>
              <w:rPr>
                <w:rFonts w:ascii="Times New Roman" w:eastAsia="Times New Roman" w:hAnsi="Times New Roman" w:cs="Times New Roman"/>
                <w:b/>
                <w:bCs/>
                <w:sz w:val="20"/>
                <w:szCs w:val="20"/>
                <w:lang w:eastAsia="ru-RU"/>
              </w:rPr>
            </w:pPr>
          </w:p>
        </w:tc>
        <w:tc>
          <w:tcPr>
            <w:tcW w:w="992" w:type="dxa"/>
            <w:vMerge/>
            <w:tcBorders>
              <w:left w:val="nil"/>
              <w:bottom w:val="single" w:sz="4" w:space="0" w:color="auto"/>
              <w:right w:val="single" w:sz="4" w:space="0" w:color="auto"/>
            </w:tcBorders>
            <w:shd w:val="clear" w:color="auto" w:fill="auto"/>
            <w:noWrap/>
            <w:vAlign w:val="center"/>
          </w:tcPr>
          <w:p w14:paraId="5054209C" w14:textId="77777777" w:rsidR="00087AD2" w:rsidRPr="00522104" w:rsidRDefault="00087AD2" w:rsidP="00E40BEE">
            <w:pPr>
              <w:spacing w:after="0" w:line="240" w:lineRule="auto"/>
              <w:jc w:val="center"/>
              <w:rPr>
                <w:rFonts w:ascii="Times New Roman" w:eastAsia="Times New Roman" w:hAnsi="Times New Roman" w:cs="Times New Roman"/>
                <w:b/>
                <w:bCs/>
                <w:sz w:val="20"/>
                <w:szCs w:val="20"/>
                <w:lang w:eastAsia="ru-RU"/>
              </w:rPr>
            </w:pPr>
          </w:p>
        </w:tc>
        <w:tc>
          <w:tcPr>
            <w:tcW w:w="998" w:type="dxa"/>
            <w:vMerge/>
            <w:tcBorders>
              <w:left w:val="nil"/>
              <w:bottom w:val="single" w:sz="4" w:space="0" w:color="auto"/>
              <w:right w:val="single" w:sz="4" w:space="0" w:color="auto"/>
            </w:tcBorders>
            <w:shd w:val="clear" w:color="auto" w:fill="auto"/>
            <w:noWrap/>
            <w:vAlign w:val="center"/>
          </w:tcPr>
          <w:p w14:paraId="4673CF0C" w14:textId="77777777" w:rsidR="00087AD2" w:rsidRPr="00522104" w:rsidRDefault="00087AD2" w:rsidP="00E40BEE">
            <w:pPr>
              <w:spacing w:after="0" w:line="240" w:lineRule="auto"/>
              <w:jc w:val="center"/>
              <w:rPr>
                <w:rFonts w:ascii="Times New Roman" w:eastAsia="Times New Roman" w:hAnsi="Times New Roman" w:cs="Times New Roman"/>
                <w:b/>
                <w:bCs/>
                <w:sz w:val="20"/>
                <w:szCs w:val="20"/>
                <w:lang w:eastAsia="ru-RU"/>
              </w:rPr>
            </w:pPr>
          </w:p>
        </w:tc>
      </w:tr>
      <w:tr w:rsidR="00827437" w:rsidRPr="00522104" w14:paraId="209C9834" w14:textId="77777777" w:rsidTr="00AD44C4">
        <w:trPr>
          <w:trHeight w:val="207"/>
          <w:tblHeader/>
        </w:trPr>
        <w:tc>
          <w:tcPr>
            <w:tcW w:w="2416" w:type="dxa"/>
            <w:tcBorders>
              <w:top w:val="nil"/>
              <w:left w:val="single" w:sz="4" w:space="0" w:color="auto"/>
              <w:bottom w:val="single" w:sz="4" w:space="0" w:color="auto"/>
              <w:right w:val="single" w:sz="4" w:space="0" w:color="auto"/>
            </w:tcBorders>
            <w:shd w:val="clear" w:color="DDEBF7" w:fill="FFFFFF"/>
            <w:vAlign w:val="bottom"/>
            <w:hideMark/>
          </w:tcPr>
          <w:p w14:paraId="5DC58B75"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7E83E922"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2</w:t>
            </w:r>
          </w:p>
        </w:tc>
        <w:tc>
          <w:tcPr>
            <w:tcW w:w="992" w:type="dxa"/>
            <w:tcBorders>
              <w:top w:val="nil"/>
              <w:left w:val="nil"/>
              <w:bottom w:val="single" w:sz="4" w:space="0" w:color="auto"/>
              <w:right w:val="single" w:sz="4" w:space="0" w:color="auto"/>
            </w:tcBorders>
            <w:shd w:val="clear" w:color="auto" w:fill="auto"/>
            <w:vAlign w:val="center"/>
            <w:hideMark/>
          </w:tcPr>
          <w:p w14:paraId="2593B131"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2E0177BF"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4</w:t>
            </w:r>
          </w:p>
        </w:tc>
        <w:tc>
          <w:tcPr>
            <w:tcW w:w="993" w:type="dxa"/>
            <w:tcBorders>
              <w:top w:val="nil"/>
              <w:left w:val="nil"/>
              <w:bottom w:val="single" w:sz="4" w:space="0" w:color="auto"/>
              <w:right w:val="single" w:sz="4" w:space="0" w:color="auto"/>
            </w:tcBorders>
            <w:shd w:val="clear" w:color="auto" w:fill="auto"/>
            <w:vAlign w:val="center"/>
            <w:hideMark/>
          </w:tcPr>
          <w:p w14:paraId="095BB727"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14:paraId="1E8E01B3"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6</w:t>
            </w:r>
          </w:p>
        </w:tc>
        <w:tc>
          <w:tcPr>
            <w:tcW w:w="851" w:type="dxa"/>
            <w:tcBorders>
              <w:top w:val="nil"/>
              <w:left w:val="nil"/>
              <w:bottom w:val="single" w:sz="4" w:space="0" w:color="auto"/>
              <w:right w:val="single" w:sz="4" w:space="0" w:color="auto"/>
            </w:tcBorders>
            <w:shd w:val="clear" w:color="auto" w:fill="auto"/>
            <w:vAlign w:val="center"/>
            <w:hideMark/>
          </w:tcPr>
          <w:p w14:paraId="48E40226"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14:paraId="6E3348A3"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8=5-4</w:t>
            </w:r>
          </w:p>
        </w:tc>
        <w:tc>
          <w:tcPr>
            <w:tcW w:w="998" w:type="dxa"/>
            <w:tcBorders>
              <w:top w:val="nil"/>
              <w:left w:val="nil"/>
              <w:bottom w:val="single" w:sz="4" w:space="0" w:color="auto"/>
              <w:right w:val="single" w:sz="4" w:space="0" w:color="auto"/>
            </w:tcBorders>
            <w:shd w:val="clear" w:color="auto" w:fill="auto"/>
            <w:vAlign w:val="center"/>
            <w:hideMark/>
          </w:tcPr>
          <w:p w14:paraId="40769771" w14:textId="77777777" w:rsidR="00827437" w:rsidRPr="00AD44C4" w:rsidRDefault="00827437" w:rsidP="00E40BEE">
            <w:pPr>
              <w:spacing w:after="0" w:line="240" w:lineRule="auto"/>
              <w:jc w:val="center"/>
              <w:rPr>
                <w:rFonts w:ascii="Times New Roman" w:eastAsia="Times New Roman" w:hAnsi="Times New Roman" w:cs="Times New Roman"/>
                <w:bCs/>
                <w:sz w:val="16"/>
                <w:szCs w:val="16"/>
                <w:lang w:eastAsia="ru-RU"/>
              </w:rPr>
            </w:pPr>
            <w:r w:rsidRPr="00AD44C4">
              <w:rPr>
                <w:rFonts w:ascii="Times New Roman" w:eastAsia="Times New Roman" w:hAnsi="Times New Roman" w:cs="Times New Roman"/>
                <w:bCs/>
                <w:sz w:val="16"/>
                <w:szCs w:val="16"/>
                <w:lang w:eastAsia="ru-RU"/>
              </w:rPr>
              <w:t>9=7-6</w:t>
            </w:r>
          </w:p>
        </w:tc>
      </w:tr>
      <w:tr w:rsidR="00827437" w:rsidRPr="00522104" w14:paraId="5489B265" w14:textId="77777777" w:rsidTr="002E7523">
        <w:trPr>
          <w:trHeight w:val="1785"/>
        </w:trPr>
        <w:tc>
          <w:tcPr>
            <w:tcW w:w="2416" w:type="dxa"/>
            <w:tcBorders>
              <w:top w:val="nil"/>
              <w:left w:val="single" w:sz="4" w:space="0" w:color="auto"/>
              <w:bottom w:val="single" w:sz="4" w:space="0" w:color="auto"/>
              <w:right w:val="single" w:sz="4" w:space="0" w:color="auto"/>
            </w:tcBorders>
            <w:shd w:val="clear" w:color="000000" w:fill="FFFFFF"/>
            <w:hideMark/>
          </w:tcPr>
          <w:p w14:paraId="3287C7AD" w14:textId="77777777" w:rsidR="00827437" w:rsidRPr="00522104" w:rsidRDefault="00827437" w:rsidP="00E40BEE">
            <w:pPr>
              <w:spacing w:after="0" w:line="240" w:lineRule="auto"/>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ГП "Обеспечение доступным жильем и качественными услугами жилищно-коммунального хозяйства населения Приморского края" на 2020 - 2027 годы, в том числе подпрограммы:</w:t>
            </w:r>
          </w:p>
        </w:tc>
        <w:tc>
          <w:tcPr>
            <w:tcW w:w="992" w:type="dxa"/>
            <w:tcBorders>
              <w:top w:val="nil"/>
              <w:left w:val="nil"/>
              <w:bottom w:val="single" w:sz="4" w:space="0" w:color="auto"/>
              <w:right w:val="single" w:sz="4" w:space="0" w:color="auto"/>
            </w:tcBorders>
            <w:shd w:val="clear" w:color="000000" w:fill="FFFFFF"/>
            <w:noWrap/>
            <w:vAlign w:val="bottom"/>
            <w:hideMark/>
          </w:tcPr>
          <w:p w14:paraId="1E0407F3"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11095,37</w:t>
            </w:r>
          </w:p>
        </w:tc>
        <w:tc>
          <w:tcPr>
            <w:tcW w:w="992" w:type="dxa"/>
            <w:tcBorders>
              <w:top w:val="nil"/>
              <w:left w:val="nil"/>
              <w:bottom w:val="single" w:sz="4" w:space="0" w:color="auto"/>
              <w:right w:val="single" w:sz="4" w:space="0" w:color="auto"/>
            </w:tcBorders>
            <w:shd w:val="clear" w:color="000000" w:fill="FFFFFF"/>
            <w:noWrap/>
            <w:vAlign w:val="bottom"/>
            <w:hideMark/>
          </w:tcPr>
          <w:p w14:paraId="1BB1AF6D"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19274,93</w:t>
            </w:r>
          </w:p>
        </w:tc>
        <w:tc>
          <w:tcPr>
            <w:tcW w:w="992" w:type="dxa"/>
            <w:tcBorders>
              <w:top w:val="nil"/>
              <w:left w:val="nil"/>
              <w:bottom w:val="single" w:sz="4" w:space="0" w:color="auto"/>
              <w:right w:val="single" w:sz="4" w:space="0" w:color="auto"/>
            </w:tcBorders>
            <w:shd w:val="clear" w:color="000000" w:fill="FFFFFF"/>
            <w:noWrap/>
            <w:vAlign w:val="bottom"/>
            <w:hideMark/>
          </w:tcPr>
          <w:p w14:paraId="0AA39A47"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12552,53</w:t>
            </w:r>
          </w:p>
        </w:tc>
        <w:tc>
          <w:tcPr>
            <w:tcW w:w="993" w:type="dxa"/>
            <w:tcBorders>
              <w:top w:val="nil"/>
              <w:left w:val="nil"/>
              <w:bottom w:val="single" w:sz="4" w:space="0" w:color="auto"/>
              <w:right w:val="single" w:sz="4" w:space="0" w:color="auto"/>
            </w:tcBorders>
            <w:shd w:val="clear" w:color="000000" w:fill="FFFFFF"/>
            <w:noWrap/>
            <w:vAlign w:val="bottom"/>
            <w:hideMark/>
          </w:tcPr>
          <w:p w14:paraId="416259AE"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17968,79</w:t>
            </w:r>
          </w:p>
        </w:tc>
        <w:tc>
          <w:tcPr>
            <w:tcW w:w="850" w:type="dxa"/>
            <w:tcBorders>
              <w:top w:val="nil"/>
              <w:left w:val="nil"/>
              <w:bottom w:val="single" w:sz="4" w:space="0" w:color="auto"/>
              <w:right w:val="single" w:sz="4" w:space="0" w:color="auto"/>
            </w:tcBorders>
            <w:shd w:val="clear" w:color="000000" w:fill="FFFFFF"/>
            <w:noWrap/>
            <w:vAlign w:val="bottom"/>
            <w:hideMark/>
          </w:tcPr>
          <w:p w14:paraId="7517316A" w14:textId="77777777" w:rsidR="00827437" w:rsidRPr="00522104" w:rsidRDefault="00827437" w:rsidP="002E7523">
            <w:pPr>
              <w:spacing w:after="0" w:line="240" w:lineRule="auto"/>
              <w:ind w:left="-108"/>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9631,76</w:t>
            </w:r>
          </w:p>
        </w:tc>
        <w:tc>
          <w:tcPr>
            <w:tcW w:w="851" w:type="dxa"/>
            <w:tcBorders>
              <w:top w:val="nil"/>
              <w:left w:val="nil"/>
              <w:bottom w:val="single" w:sz="4" w:space="0" w:color="auto"/>
              <w:right w:val="single" w:sz="4" w:space="0" w:color="auto"/>
            </w:tcBorders>
            <w:shd w:val="clear" w:color="000000" w:fill="FFFFFF"/>
            <w:noWrap/>
            <w:vAlign w:val="bottom"/>
            <w:hideMark/>
          </w:tcPr>
          <w:p w14:paraId="15CF9B1C" w14:textId="77777777" w:rsidR="00827437" w:rsidRPr="00522104" w:rsidRDefault="00827437" w:rsidP="00D15C87">
            <w:pPr>
              <w:spacing w:after="0" w:line="240" w:lineRule="auto"/>
              <w:ind w:left="-108"/>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7088,57</w:t>
            </w:r>
          </w:p>
        </w:tc>
        <w:tc>
          <w:tcPr>
            <w:tcW w:w="992" w:type="dxa"/>
            <w:tcBorders>
              <w:top w:val="nil"/>
              <w:left w:val="nil"/>
              <w:bottom w:val="single" w:sz="4" w:space="0" w:color="auto"/>
              <w:right w:val="single" w:sz="4" w:space="0" w:color="auto"/>
            </w:tcBorders>
            <w:shd w:val="clear" w:color="000000" w:fill="FFFFFF"/>
            <w:noWrap/>
            <w:vAlign w:val="bottom"/>
            <w:hideMark/>
          </w:tcPr>
          <w:p w14:paraId="587E2E5A"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-1306,14</w:t>
            </w:r>
          </w:p>
        </w:tc>
        <w:tc>
          <w:tcPr>
            <w:tcW w:w="998" w:type="dxa"/>
            <w:tcBorders>
              <w:top w:val="nil"/>
              <w:left w:val="nil"/>
              <w:bottom w:val="single" w:sz="4" w:space="0" w:color="auto"/>
              <w:right w:val="single" w:sz="4" w:space="0" w:color="auto"/>
            </w:tcBorders>
            <w:shd w:val="clear" w:color="000000" w:fill="FFFFFF"/>
            <w:noWrap/>
            <w:vAlign w:val="bottom"/>
            <w:hideMark/>
          </w:tcPr>
          <w:p w14:paraId="7BC520D6" w14:textId="77777777" w:rsidR="00827437" w:rsidRPr="00522104" w:rsidRDefault="00827437" w:rsidP="00E40BEE">
            <w:pPr>
              <w:spacing w:after="0" w:line="240" w:lineRule="auto"/>
              <w:jc w:val="right"/>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5416,26</w:t>
            </w:r>
          </w:p>
        </w:tc>
      </w:tr>
      <w:tr w:rsidR="00827437" w:rsidRPr="00522104" w14:paraId="6CDA9FC2" w14:textId="77777777" w:rsidTr="002E7523">
        <w:trPr>
          <w:trHeight w:val="765"/>
        </w:trPr>
        <w:tc>
          <w:tcPr>
            <w:tcW w:w="2416" w:type="dxa"/>
            <w:tcBorders>
              <w:top w:val="nil"/>
              <w:left w:val="single" w:sz="4" w:space="0" w:color="auto"/>
              <w:bottom w:val="single" w:sz="4" w:space="0" w:color="auto"/>
              <w:right w:val="single" w:sz="4" w:space="0" w:color="auto"/>
            </w:tcBorders>
            <w:shd w:val="clear" w:color="000000" w:fill="FFFFFF"/>
            <w:hideMark/>
          </w:tcPr>
          <w:p w14:paraId="418DA1E3"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"Обеспечение жильем отдельных категорий граждан Приморского края"</w:t>
            </w:r>
          </w:p>
        </w:tc>
        <w:tc>
          <w:tcPr>
            <w:tcW w:w="992" w:type="dxa"/>
            <w:tcBorders>
              <w:top w:val="nil"/>
              <w:left w:val="nil"/>
              <w:bottom w:val="single" w:sz="4" w:space="0" w:color="auto"/>
              <w:right w:val="single" w:sz="4" w:space="0" w:color="auto"/>
            </w:tcBorders>
            <w:shd w:val="clear" w:color="000000" w:fill="FFFFFF"/>
            <w:noWrap/>
            <w:vAlign w:val="bottom"/>
            <w:hideMark/>
          </w:tcPr>
          <w:p w14:paraId="71884918"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2,18</w:t>
            </w:r>
          </w:p>
        </w:tc>
        <w:tc>
          <w:tcPr>
            <w:tcW w:w="992" w:type="dxa"/>
            <w:tcBorders>
              <w:top w:val="nil"/>
              <w:left w:val="nil"/>
              <w:bottom w:val="single" w:sz="4" w:space="0" w:color="auto"/>
              <w:right w:val="single" w:sz="4" w:space="0" w:color="auto"/>
            </w:tcBorders>
            <w:shd w:val="clear" w:color="000000" w:fill="FFFFFF"/>
            <w:noWrap/>
            <w:vAlign w:val="bottom"/>
            <w:hideMark/>
          </w:tcPr>
          <w:p w14:paraId="14691070"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2,18</w:t>
            </w:r>
          </w:p>
        </w:tc>
        <w:tc>
          <w:tcPr>
            <w:tcW w:w="992" w:type="dxa"/>
            <w:tcBorders>
              <w:top w:val="nil"/>
              <w:left w:val="nil"/>
              <w:bottom w:val="single" w:sz="4" w:space="0" w:color="auto"/>
              <w:right w:val="single" w:sz="4" w:space="0" w:color="auto"/>
            </w:tcBorders>
            <w:shd w:val="clear" w:color="000000" w:fill="FFFFFF"/>
            <w:noWrap/>
            <w:vAlign w:val="bottom"/>
            <w:hideMark/>
          </w:tcPr>
          <w:p w14:paraId="1DA84FC3"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2,20</w:t>
            </w:r>
          </w:p>
        </w:tc>
        <w:tc>
          <w:tcPr>
            <w:tcW w:w="993" w:type="dxa"/>
            <w:tcBorders>
              <w:top w:val="nil"/>
              <w:left w:val="nil"/>
              <w:bottom w:val="single" w:sz="4" w:space="0" w:color="auto"/>
              <w:right w:val="single" w:sz="4" w:space="0" w:color="auto"/>
            </w:tcBorders>
            <w:shd w:val="clear" w:color="000000" w:fill="FFFFFF"/>
            <w:noWrap/>
            <w:vAlign w:val="bottom"/>
            <w:hideMark/>
          </w:tcPr>
          <w:p w14:paraId="5D08B2B8"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3060,94</w:t>
            </w:r>
          </w:p>
        </w:tc>
        <w:tc>
          <w:tcPr>
            <w:tcW w:w="850" w:type="dxa"/>
            <w:tcBorders>
              <w:top w:val="nil"/>
              <w:left w:val="nil"/>
              <w:bottom w:val="single" w:sz="4" w:space="0" w:color="auto"/>
              <w:right w:val="single" w:sz="4" w:space="0" w:color="auto"/>
            </w:tcBorders>
            <w:shd w:val="clear" w:color="000000" w:fill="FFFFFF"/>
            <w:noWrap/>
            <w:vAlign w:val="bottom"/>
            <w:hideMark/>
          </w:tcPr>
          <w:p w14:paraId="31BD369A" w14:textId="77777777" w:rsidR="00827437" w:rsidRPr="005942F8" w:rsidRDefault="00827437" w:rsidP="002E7523">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765,42</w:t>
            </w:r>
          </w:p>
        </w:tc>
        <w:tc>
          <w:tcPr>
            <w:tcW w:w="851" w:type="dxa"/>
            <w:tcBorders>
              <w:top w:val="nil"/>
              <w:left w:val="nil"/>
              <w:bottom w:val="single" w:sz="4" w:space="0" w:color="auto"/>
              <w:right w:val="single" w:sz="4" w:space="0" w:color="auto"/>
            </w:tcBorders>
            <w:shd w:val="clear" w:color="000000" w:fill="FFFFFF"/>
            <w:noWrap/>
            <w:vAlign w:val="bottom"/>
            <w:hideMark/>
          </w:tcPr>
          <w:p w14:paraId="42E49227" w14:textId="77777777" w:rsidR="00827437" w:rsidRPr="005942F8" w:rsidRDefault="00827437" w:rsidP="00D15C87">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2,40</w:t>
            </w:r>
          </w:p>
        </w:tc>
        <w:tc>
          <w:tcPr>
            <w:tcW w:w="992" w:type="dxa"/>
            <w:tcBorders>
              <w:top w:val="nil"/>
              <w:left w:val="nil"/>
              <w:bottom w:val="single" w:sz="4" w:space="0" w:color="auto"/>
              <w:right w:val="single" w:sz="4" w:space="0" w:color="auto"/>
            </w:tcBorders>
            <w:shd w:val="clear" w:color="000000" w:fill="FFFFFF"/>
            <w:noWrap/>
            <w:vAlign w:val="bottom"/>
            <w:hideMark/>
          </w:tcPr>
          <w:p w14:paraId="55C7C4B3"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3058,76</w:t>
            </w:r>
          </w:p>
        </w:tc>
        <w:tc>
          <w:tcPr>
            <w:tcW w:w="998" w:type="dxa"/>
            <w:tcBorders>
              <w:top w:val="nil"/>
              <w:left w:val="nil"/>
              <w:bottom w:val="single" w:sz="4" w:space="0" w:color="auto"/>
              <w:right w:val="single" w:sz="4" w:space="0" w:color="auto"/>
            </w:tcBorders>
            <w:shd w:val="clear" w:color="000000" w:fill="FFFFFF"/>
            <w:noWrap/>
            <w:vAlign w:val="bottom"/>
            <w:hideMark/>
          </w:tcPr>
          <w:p w14:paraId="6BD1DB65"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3058,74</w:t>
            </w:r>
          </w:p>
        </w:tc>
      </w:tr>
      <w:tr w:rsidR="00827437" w:rsidRPr="00522104" w14:paraId="623F7274" w14:textId="77777777" w:rsidTr="002E7523">
        <w:trPr>
          <w:trHeight w:val="1020"/>
        </w:trPr>
        <w:tc>
          <w:tcPr>
            <w:tcW w:w="2416" w:type="dxa"/>
            <w:tcBorders>
              <w:top w:val="nil"/>
              <w:left w:val="single" w:sz="4" w:space="0" w:color="auto"/>
              <w:bottom w:val="single" w:sz="4" w:space="0" w:color="auto"/>
              <w:right w:val="single" w:sz="4" w:space="0" w:color="auto"/>
            </w:tcBorders>
            <w:shd w:val="clear" w:color="000000" w:fill="FFFFFF"/>
            <w:hideMark/>
          </w:tcPr>
          <w:p w14:paraId="1A2FCF3D"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"Стимулирование развития жилищного строительства на территории Приморского края"</w:t>
            </w:r>
          </w:p>
        </w:tc>
        <w:tc>
          <w:tcPr>
            <w:tcW w:w="992" w:type="dxa"/>
            <w:tcBorders>
              <w:top w:val="nil"/>
              <w:left w:val="nil"/>
              <w:bottom w:val="single" w:sz="4" w:space="0" w:color="auto"/>
              <w:right w:val="single" w:sz="4" w:space="0" w:color="auto"/>
            </w:tcBorders>
            <w:shd w:val="clear" w:color="000000" w:fill="FFFFFF"/>
            <w:noWrap/>
            <w:vAlign w:val="bottom"/>
            <w:hideMark/>
          </w:tcPr>
          <w:p w14:paraId="372E1115"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84,75</w:t>
            </w:r>
          </w:p>
        </w:tc>
        <w:tc>
          <w:tcPr>
            <w:tcW w:w="992" w:type="dxa"/>
            <w:tcBorders>
              <w:top w:val="nil"/>
              <w:left w:val="nil"/>
              <w:bottom w:val="single" w:sz="4" w:space="0" w:color="auto"/>
              <w:right w:val="single" w:sz="4" w:space="0" w:color="auto"/>
            </w:tcBorders>
            <w:shd w:val="clear" w:color="000000" w:fill="FFFFFF"/>
            <w:noWrap/>
            <w:vAlign w:val="bottom"/>
            <w:hideMark/>
          </w:tcPr>
          <w:p w14:paraId="7D5215C3"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134,48</w:t>
            </w:r>
          </w:p>
        </w:tc>
        <w:tc>
          <w:tcPr>
            <w:tcW w:w="992" w:type="dxa"/>
            <w:tcBorders>
              <w:top w:val="nil"/>
              <w:left w:val="nil"/>
              <w:bottom w:val="single" w:sz="4" w:space="0" w:color="auto"/>
              <w:right w:val="single" w:sz="4" w:space="0" w:color="auto"/>
            </w:tcBorders>
            <w:shd w:val="clear" w:color="000000" w:fill="FFFFFF"/>
            <w:noWrap/>
            <w:vAlign w:val="bottom"/>
            <w:hideMark/>
          </w:tcPr>
          <w:p w14:paraId="5119D073"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84,75</w:t>
            </w:r>
          </w:p>
        </w:tc>
        <w:tc>
          <w:tcPr>
            <w:tcW w:w="993" w:type="dxa"/>
            <w:tcBorders>
              <w:top w:val="nil"/>
              <w:left w:val="nil"/>
              <w:bottom w:val="single" w:sz="4" w:space="0" w:color="auto"/>
              <w:right w:val="single" w:sz="4" w:space="0" w:color="auto"/>
            </w:tcBorders>
            <w:shd w:val="clear" w:color="000000" w:fill="FFFFFF"/>
            <w:noWrap/>
            <w:vAlign w:val="bottom"/>
            <w:hideMark/>
          </w:tcPr>
          <w:p w14:paraId="665EBA4B"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219,58</w:t>
            </w:r>
          </w:p>
        </w:tc>
        <w:tc>
          <w:tcPr>
            <w:tcW w:w="850" w:type="dxa"/>
            <w:tcBorders>
              <w:top w:val="nil"/>
              <w:left w:val="nil"/>
              <w:bottom w:val="single" w:sz="4" w:space="0" w:color="auto"/>
              <w:right w:val="single" w:sz="4" w:space="0" w:color="auto"/>
            </w:tcBorders>
            <w:shd w:val="clear" w:color="000000" w:fill="FFFFFF"/>
            <w:noWrap/>
            <w:vAlign w:val="bottom"/>
            <w:hideMark/>
          </w:tcPr>
          <w:p w14:paraId="5B1DCC60" w14:textId="77777777" w:rsidR="00827437" w:rsidRPr="005942F8" w:rsidRDefault="00827437" w:rsidP="002E7523">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84,75</w:t>
            </w:r>
          </w:p>
        </w:tc>
        <w:tc>
          <w:tcPr>
            <w:tcW w:w="851" w:type="dxa"/>
            <w:tcBorders>
              <w:top w:val="nil"/>
              <w:left w:val="nil"/>
              <w:bottom w:val="single" w:sz="4" w:space="0" w:color="auto"/>
              <w:right w:val="single" w:sz="4" w:space="0" w:color="auto"/>
            </w:tcBorders>
            <w:shd w:val="clear" w:color="000000" w:fill="FFFFFF"/>
            <w:noWrap/>
            <w:vAlign w:val="bottom"/>
            <w:hideMark/>
          </w:tcPr>
          <w:p w14:paraId="213665C1" w14:textId="77777777" w:rsidR="00827437" w:rsidRPr="005942F8" w:rsidRDefault="00827437" w:rsidP="00D15C87">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45,93</w:t>
            </w:r>
          </w:p>
        </w:tc>
        <w:tc>
          <w:tcPr>
            <w:tcW w:w="992" w:type="dxa"/>
            <w:tcBorders>
              <w:top w:val="nil"/>
              <w:left w:val="nil"/>
              <w:bottom w:val="single" w:sz="4" w:space="0" w:color="auto"/>
              <w:right w:val="single" w:sz="4" w:space="0" w:color="auto"/>
            </w:tcBorders>
            <w:shd w:val="clear" w:color="000000" w:fill="FFFFFF"/>
            <w:noWrap/>
            <w:vAlign w:val="bottom"/>
            <w:hideMark/>
          </w:tcPr>
          <w:p w14:paraId="3EEA5FA6"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85,10</w:t>
            </w:r>
          </w:p>
        </w:tc>
        <w:tc>
          <w:tcPr>
            <w:tcW w:w="998" w:type="dxa"/>
            <w:tcBorders>
              <w:top w:val="nil"/>
              <w:left w:val="nil"/>
              <w:bottom w:val="single" w:sz="4" w:space="0" w:color="auto"/>
              <w:right w:val="single" w:sz="4" w:space="0" w:color="auto"/>
            </w:tcBorders>
            <w:shd w:val="clear" w:color="000000" w:fill="FFFFFF"/>
            <w:noWrap/>
            <w:vAlign w:val="bottom"/>
            <w:hideMark/>
          </w:tcPr>
          <w:p w14:paraId="40644888"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134,83</w:t>
            </w:r>
          </w:p>
        </w:tc>
      </w:tr>
      <w:tr w:rsidR="00827437" w:rsidRPr="00522104" w14:paraId="5B0C2114" w14:textId="77777777" w:rsidTr="002E7523">
        <w:trPr>
          <w:trHeight w:val="614"/>
        </w:trPr>
        <w:tc>
          <w:tcPr>
            <w:tcW w:w="2416" w:type="dxa"/>
            <w:tcBorders>
              <w:top w:val="nil"/>
              <w:left w:val="single" w:sz="4" w:space="0" w:color="auto"/>
              <w:bottom w:val="single" w:sz="4" w:space="0" w:color="auto"/>
              <w:right w:val="single" w:sz="4" w:space="0" w:color="auto"/>
            </w:tcBorders>
            <w:shd w:val="clear" w:color="000000" w:fill="FFFFFF"/>
            <w:hideMark/>
          </w:tcPr>
          <w:p w14:paraId="3716BF4E"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"Обеспечение жильем молодых семей Приморского края"</w:t>
            </w:r>
          </w:p>
        </w:tc>
        <w:tc>
          <w:tcPr>
            <w:tcW w:w="992" w:type="dxa"/>
            <w:tcBorders>
              <w:top w:val="nil"/>
              <w:left w:val="nil"/>
              <w:bottom w:val="single" w:sz="4" w:space="0" w:color="auto"/>
              <w:right w:val="single" w:sz="4" w:space="0" w:color="auto"/>
            </w:tcBorders>
            <w:shd w:val="clear" w:color="000000" w:fill="FFFFFF"/>
            <w:noWrap/>
            <w:vAlign w:val="bottom"/>
            <w:hideMark/>
          </w:tcPr>
          <w:p w14:paraId="7EB5F424"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252,34</w:t>
            </w:r>
          </w:p>
        </w:tc>
        <w:tc>
          <w:tcPr>
            <w:tcW w:w="992" w:type="dxa"/>
            <w:tcBorders>
              <w:top w:val="nil"/>
              <w:left w:val="nil"/>
              <w:bottom w:val="single" w:sz="4" w:space="0" w:color="auto"/>
              <w:right w:val="single" w:sz="4" w:space="0" w:color="auto"/>
            </w:tcBorders>
            <w:shd w:val="clear" w:color="000000" w:fill="FFFFFF"/>
            <w:noWrap/>
            <w:vAlign w:val="bottom"/>
            <w:hideMark/>
          </w:tcPr>
          <w:p w14:paraId="2563FCFF"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252,34</w:t>
            </w:r>
          </w:p>
        </w:tc>
        <w:tc>
          <w:tcPr>
            <w:tcW w:w="992" w:type="dxa"/>
            <w:tcBorders>
              <w:top w:val="nil"/>
              <w:left w:val="nil"/>
              <w:bottom w:val="single" w:sz="4" w:space="0" w:color="auto"/>
              <w:right w:val="single" w:sz="4" w:space="0" w:color="auto"/>
            </w:tcBorders>
            <w:shd w:val="clear" w:color="000000" w:fill="FFFFFF"/>
            <w:noWrap/>
            <w:vAlign w:val="bottom"/>
            <w:hideMark/>
          </w:tcPr>
          <w:p w14:paraId="07ED761E"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266,49</w:t>
            </w:r>
          </w:p>
        </w:tc>
        <w:tc>
          <w:tcPr>
            <w:tcW w:w="993" w:type="dxa"/>
            <w:tcBorders>
              <w:top w:val="nil"/>
              <w:left w:val="nil"/>
              <w:bottom w:val="single" w:sz="4" w:space="0" w:color="auto"/>
              <w:right w:val="single" w:sz="4" w:space="0" w:color="auto"/>
            </w:tcBorders>
            <w:shd w:val="clear" w:color="000000" w:fill="FFFFFF"/>
            <w:noWrap/>
            <w:vAlign w:val="bottom"/>
            <w:hideMark/>
          </w:tcPr>
          <w:p w14:paraId="3BD90835"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261,53</w:t>
            </w:r>
          </w:p>
        </w:tc>
        <w:tc>
          <w:tcPr>
            <w:tcW w:w="850" w:type="dxa"/>
            <w:tcBorders>
              <w:top w:val="nil"/>
              <w:left w:val="nil"/>
              <w:bottom w:val="single" w:sz="4" w:space="0" w:color="auto"/>
              <w:right w:val="single" w:sz="4" w:space="0" w:color="auto"/>
            </w:tcBorders>
            <w:shd w:val="clear" w:color="000000" w:fill="FFFFFF"/>
            <w:noWrap/>
            <w:vAlign w:val="bottom"/>
            <w:hideMark/>
          </w:tcPr>
          <w:p w14:paraId="101CB2A6" w14:textId="77777777" w:rsidR="00827437" w:rsidRPr="005942F8" w:rsidRDefault="00827437" w:rsidP="002E7523">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285,95</w:t>
            </w:r>
          </w:p>
        </w:tc>
        <w:tc>
          <w:tcPr>
            <w:tcW w:w="851" w:type="dxa"/>
            <w:tcBorders>
              <w:top w:val="nil"/>
              <w:left w:val="nil"/>
              <w:bottom w:val="single" w:sz="4" w:space="0" w:color="auto"/>
              <w:right w:val="single" w:sz="4" w:space="0" w:color="auto"/>
            </w:tcBorders>
            <w:shd w:val="clear" w:color="000000" w:fill="FFFFFF"/>
            <w:noWrap/>
            <w:vAlign w:val="bottom"/>
            <w:hideMark/>
          </w:tcPr>
          <w:p w14:paraId="37FE322B" w14:textId="77777777" w:rsidR="00827437" w:rsidRPr="005942F8" w:rsidRDefault="00827437" w:rsidP="00D15C87">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311,61</w:t>
            </w:r>
          </w:p>
        </w:tc>
        <w:tc>
          <w:tcPr>
            <w:tcW w:w="992" w:type="dxa"/>
            <w:tcBorders>
              <w:top w:val="nil"/>
              <w:left w:val="nil"/>
              <w:bottom w:val="single" w:sz="4" w:space="0" w:color="auto"/>
              <w:right w:val="single" w:sz="4" w:space="0" w:color="auto"/>
            </w:tcBorders>
            <w:shd w:val="clear" w:color="000000" w:fill="FFFFFF"/>
            <w:noWrap/>
            <w:vAlign w:val="bottom"/>
            <w:hideMark/>
          </w:tcPr>
          <w:p w14:paraId="2DD76760"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9,19</w:t>
            </w:r>
          </w:p>
        </w:tc>
        <w:tc>
          <w:tcPr>
            <w:tcW w:w="998" w:type="dxa"/>
            <w:tcBorders>
              <w:top w:val="nil"/>
              <w:left w:val="nil"/>
              <w:bottom w:val="single" w:sz="4" w:space="0" w:color="auto"/>
              <w:right w:val="single" w:sz="4" w:space="0" w:color="auto"/>
            </w:tcBorders>
            <w:shd w:val="clear" w:color="000000" w:fill="FFFFFF"/>
            <w:noWrap/>
            <w:vAlign w:val="bottom"/>
            <w:hideMark/>
          </w:tcPr>
          <w:p w14:paraId="3BA599DA"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-4,96</w:t>
            </w:r>
          </w:p>
        </w:tc>
      </w:tr>
      <w:tr w:rsidR="00827437" w:rsidRPr="00522104" w14:paraId="4592DF07" w14:textId="77777777" w:rsidTr="002E7523">
        <w:trPr>
          <w:trHeight w:val="1275"/>
        </w:trPr>
        <w:tc>
          <w:tcPr>
            <w:tcW w:w="2416" w:type="dxa"/>
            <w:tcBorders>
              <w:top w:val="nil"/>
              <w:left w:val="single" w:sz="4" w:space="0" w:color="auto"/>
              <w:bottom w:val="single" w:sz="4" w:space="0" w:color="auto"/>
              <w:right w:val="single" w:sz="4" w:space="0" w:color="auto"/>
            </w:tcBorders>
            <w:shd w:val="clear" w:color="000000" w:fill="FFFFFF"/>
            <w:hideMark/>
          </w:tcPr>
          <w:p w14:paraId="7B5DD0C8"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"Предоставление детям-сиротам и детям, оставшимся без попечения родителей, лицам из их числа жилых помещений"</w:t>
            </w:r>
          </w:p>
        </w:tc>
        <w:tc>
          <w:tcPr>
            <w:tcW w:w="992" w:type="dxa"/>
            <w:tcBorders>
              <w:top w:val="nil"/>
              <w:left w:val="nil"/>
              <w:bottom w:val="single" w:sz="4" w:space="0" w:color="auto"/>
              <w:right w:val="single" w:sz="4" w:space="0" w:color="auto"/>
            </w:tcBorders>
            <w:shd w:val="clear" w:color="000000" w:fill="FFFFFF"/>
            <w:noWrap/>
            <w:vAlign w:val="bottom"/>
            <w:hideMark/>
          </w:tcPr>
          <w:p w14:paraId="591F84A9"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1320,67</w:t>
            </w:r>
          </w:p>
        </w:tc>
        <w:tc>
          <w:tcPr>
            <w:tcW w:w="992" w:type="dxa"/>
            <w:tcBorders>
              <w:top w:val="nil"/>
              <w:left w:val="nil"/>
              <w:bottom w:val="single" w:sz="4" w:space="0" w:color="auto"/>
              <w:right w:val="single" w:sz="4" w:space="0" w:color="auto"/>
            </w:tcBorders>
            <w:shd w:val="clear" w:color="000000" w:fill="FFFFFF"/>
            <w:noWrap/>
            <w:vAlign w:val="bottom"/>
            <w:hideMark/>
          </w:tcPr>
          <w:p w14:paraId="293138EA"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2337,13</w:t>
            </w:r>
          </w:p>
        </w:tc>
        <w:tc>
          <w:tcPr>
            <w:tcW w:w="992" w:type="dxa"/>
            <w:tcBorders>
              <w:top w:val="nil"/>
              <w:left w:val="nil"/>
              <w:bottom w:val="single" w:sz="4" w:space="0" w:color="auto"/>
              <w:right w:val="single" w:sz="4" w:space="0" w:color="auto"/>
            </w:tcBorders>
            <w:shd w:val="clear" w:color="000000" w:fill="FFFFFF"/>
            <w:noWrap/>
            <w:vAlign w:val="bottom"/>
            <w:hideMark/>
          </w:tcPr>
          <w:p w14:paraId="6061239A"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1324,48</w:t>
            </w:r>
          </w:p>
        </w:tc>
        <w:tc>
          <w:tcPr>
            <w:tcW w:w="993" w:type="dxa"/>
            <w:tcBorders>
              <w:top w:val="nil"/>
              <w:left w:val="nil"/>
              <w:bottom w:val="single" w:sz="4" w:space="0" w:color="auto"/>
              <w:right w:val="single" w:sz="4" w:space="0" w:color="auto"/>
            </w:tcBorders>
            <w:shd w:val="clear" w:color="000000" w:fill="FFFFFF"/>
            <w:noWrap/>
            <w:vAlign w:val="bottom"/>
            <w:hideMark/>
          </w:tcPr>
          <w:p w14:paraId="099FA670"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1467,76</w:t>
            </w:r>
          </w:p>
        </w:tc>
        <w:tc>
          <w:tcPr>
            <w:tcW w:w="850" w:type="dxa"/>
            <w:tcBorders>
              <w:top w:val="nil"/>
              <w:left w:val="nil"/>
              <w:bottom w:val="single" w:sz="4" w:space="0" w:color="auto"/>
              <w:right w:val="single" w:sz="4" w:space="0" w:color="auto"/>
            </w:tcBorders>
            <w:shd w:val="clear" w:color="000000" w:fill="FFFFFF"/>
            <w:noWrap/>
            <w:vAlign w:val="bottom"/>
            <w:hideMark/>
          </w:tcPr>
          <w:p w14:paraId="4CC0C1D9" w14:textId="77777777" w:rsidR="00827437" w:rsidRPr="005942F8" w:rsidRDefault="00827437" w:rsidP="002E7523">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1467,76</w:t>
            </w:r>
          </w:p>
        </w:tc>
        <w:tc>
          <w:tcPr>
            <w:tcW w:w="851" w:type="dxa"/>
            <w:tcBorders>
              <w:top w:val="nil"/>
              <w:left w:val="nil"/>
              <w:bottom w:val="single" w:sz="4" w:space="0" w:color="auto"/>
              <w:right w:val="single" w:sz="4" w:space="0" w:color="auto"/>
            </w:tcBorders>
            <w:shd w:val="clear" w:color="000000" w:fill="FFFFFF"/>
            <w:noWrap/>
            <w:vAlign w:val="bottom"/>
            <w:hideMark/>
          </w:tcPr>
          <w:p w14:paraId="19D96D4A" w14:textId="77777777" w:rsidR="00827437" w:rsidRPr="005942F8" w:rsidRDefault="00827437" w:rsidP="00D15C87">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1467,76</w:t>
            </w:r>
          </w:p>
        </w:tc>
        <w:tc>
          <w:tcPr>
            <w:tcW w:w="992" w:type="dxa"/>
            <w:tcBorders>
              <w:top w:val="nil"/>
              <w:left w:val="nil"/>
              <w:bottom w:val="single" w:sz="4" w:space="0" w:color="auto"/>
              <w:right w:val="single" w:sz="4" w:space="0" w:color="auto"/>
            </w:tcBorders>
            <w:shd w:val="clear" w:color="000000" w:fill="FFFFFF"/>
            <w:noWrap/>
            <w:vAlign w:val="bottom"/>
            <w:hideMark/>
          </w:tcPr>
          <w:p w14:paraId="45425FFD"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-869,37</w:t>
            </w:r>
          </w:p>
        </w:tc>
        <w:tc>
          <w:tcPr>
            <w:tcW w:w="998" w:type="dxa"/>
            <w:tcBorders>
              <w:top w:val="nil"/>
              <w:left w:val="nil"/>
              <w:bottom w:val="single" w:sz="4" w:space="0" w:color="auto"/>
              <w:right w:val="single" w:sz="4" w:space="0" w:color="auto"/>
            </w:tcBorders>
            <w:shd w:val="clear" w:color="000000" w:fill="FFFFFF"/>
            <w:noWrap/>
            <w:vAlign w:val="bottom"/>
            <w:hideMark/>
          </w:tcPr>
          <w:p w14:paraId="1E6937EA"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143,28</w:t>
            </w:r>
          </w:p>
        </w:tc>
      </w:tr>
      <w:tr w:rsidR="00827437" w:rsidRPr="00522104" w14:paraId="79BCA86F" w14:textId="77777777" w:rsidTr="002E7523">
        <w:trPr>
          <w:trHeight w:val="1275"/>
        </w:trPr>
        <w:tc>
          <w:tcPr>
            <w:tcW w:w="2416" w:type="dxa"/>
            <w:tcBorders>
              <w:top w:val="nil"/>
              <w:left w:val="single" w:sz="4" w:space="0" w:color="auto"/>
              <w:bottom w:val="single" w:sz="4" w:space="0" w:color="auto"/>
              <w:right w:val="single" w:sz="4" w:space="0" w:color="auto"/>
            </w:tcBorders>
            <w:shd w:val="clear" w:color="000000" w:fill="FFFFFF"/>
            <w:hideMark/>
          </w:tcPr>
          <w:p w14:paraId="2E82F346"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"Создание условий для обеспечения качественными услугами жилищно-коммунального хозяйства Приморского края"</w:t>
            </w:r>
          </w:p>
        </w:tc>
        <w:tc>
          <w:tcPr>
            <w:tcW w:w="992" w:type="dxa"/>
            <w:tcBorders>
              <w:top w:val="nil"/>
              <w:left w:val="nil"/>
              <w:bottom w:val="single" w:sz="4" w:space="0" w:color="auto"/>
              <w:right w:val="single" w:sz="4" w:space="0" w:color="auto"/>
            </w:tcBorders>
            <w:shd w:val="clear" w:color="000000" w:fill="FFFFFF"/>
            <w:noWrap/>
            <w:vAlign w:val="bottom"/>
            <w:hideMark/>
          </w:tcPr>
          <w:p w14:paraId="70BB9533"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7981,41</w:t>
            </w:r>
          </w:p>
        </w:tc>
        <w:tc>
          <w:tcPr>
            <w:tcW w:w="992" w:type="dxa"/>
            <w:tcBorders>
              <w:top w:val="nil"/>
              <w:left w:val="nil"/>
              <w:bottom w:val="single" w:sz="4" w:space="0" w:color="auto"/>
              <w:right w:val="single" w:sz="4" w:space="0" w:color="auto"/>
            </w:tcBorders>
            <w:shd w:val="clear" w:color="000000" w:fill="FFFFFF"/>
            <w:noWrap/>
            <w:vAlign w:val="bottom"/>
            <w:hideMark/>
          </w:tcPr>
          <w:p w14:paraId="6757BE62"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9213,80</w:t>
            </w:r>
          </w:p>
        </w:tc>
        <w:tc>
          <w:tcPr>
            <w:tcW w:w="992" w:type="dxa"/>
            <w:tcBorders>
              <w:top w:val="nil"/>
              <w:left w:val="nil"/>
              <w:bottom w:val="single" w:sz="4" w:space="0" w:color="auto"/>
              <w:right w:val="single" w:sz="4" w:space="0" w:color="auto"/>
            </w:tcBorders>
            <w:shd w:val="clear" w:color="000000" w:fill="FFFFFF"/>
            <w:noWrap/>
            <w:vAlign w:val="bottom"/>
            <w:hideMark/>
          </w:tcPr>
          <w:p w14:paraId="2C2FB55B"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7645,05</w:t>
            </w:r>
          </w:p>
        </w:tc>
        <w:tc>
          <w:tcPr>
            <w:tcW w:w="993" w:type="dxa"/>
            <w:tcBorders>
              <w:top w:val="nil"/>
              <w:left w:val="nil"/>
              <w:bottom w:val="single" w:sz="4" w:space="0" w:color="auto"/>
              <w:right w:val="single" w:sz="4" w:space="0" w:color="auto"/>
            </w:tcBorders>
            <w:shd w:val="clear" w:color="000000" w:fill="FFFFFF"/>
            <w:noWrap/>
            <w:vAlign w:val="bottom"/>
            <w:hideMark/>
          </w:tcPr>
          <w:p w14:paraId="3D4D3249"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9574,05</w:t>
            </w:r>
          </w:p>
        </w:tc>
        <w:tc>
          <w:tcPr>
            <w:tcW w:w="850" w:type="dxa"/>
            <w:tcBorders>
              <w:top w:val="nil"/>
              <w:left w:val="nil"/>
              <w:bottom w:val="single" w:sz="4" w:space="0" w:color="auto"/>
              <w:right w:val="single" w:sz="4" w:space="0" w:color="auto"/>
            </w:tcBorders>
            <w:shd w:val="clear" w:color="000000" w:fill="FFFFFF"/>
            <w:noWrap/>
            <w:vAlign w:val="bottom"/>
            <w:hideMark/>
          </w:tcPr>
          <w:p w14:paraId="558EE645" w14:textId="77777777" w:rsidR="00827437" w:rsidRPr="005942F8" w:rsidRDefault="00827437" w:rsidP="002E7523">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6324,00</w:t>
            </w:r>
          </w:p>
        </w:tc>
        <w:tc>
          <w:tcPr>
            <w:tcW w:w="851" w:type="dxa"/>
            <w:tcBorders>
              <w:top w:val="nil"/>
              <w:left w:val="nil"/>
              <w:bottom w:val="single" w:sz="4" w:space="0" w:color="auto"/>
              <w:right w:val="single" w:sz="4" w:space="0" w:color="auto"/>
            </w:tcBorders>
            <w:shd w:val="clear" w:color="000000" w:fill="FFFFFF"/>
            <w:noWrap/>
            <w:vAlign w:val="bottom"/>
            <w:hideMark/>
          </w:tcPr>
          <w:p w14:paraId="6624D768" w14:textId="77777777" w:rsidR="00827437" w:rsidRPr="005942F8" w:rsidRDefault="00827437" w:rsidP="00D15C87">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4541,62</w:t>
            </w:r>
          </w:p>
        </w:tc>
        <w:tc>
          <w:tcPr>
            <w:tcW w:w="992" w:type="dxa"/>
            <w:tcBorders>
              <w:top w:val="nil"/>
              <w:left w:val="nil"/>
              <w:bottom w:val="single" w:sz="4" w:space="0" w:color="auto"/>
              <w:right w:val="single" w:sz="4" w:space="0" w:color="auto"/>
            </w:tcBorders>
            <w:shd w:val="clear" w:color="000000" w:fill="FFFFFF"/>
            <w:noWrap/>
            <w:vAlign w:val="bottom"/>
            <w:hideMark/>
          </w:tcPr>
          <w:p w14:paraId="2E6891AA"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360,25</w:t>
            </w:r>
          </w:p>
        </w:tc>
        <w:tc>
          <w:tcPr>
            <w:tcW w:w="998" w:type="dxa"/>
            <w:tcBorders>
              <w:top w:val="nil"/>
              <w:left w:val="nil"/>
              <w:bottom w:val="single" w:sz="4" w:space="0" w:color="auto"/>
              <w:right w:val="single" w:sz="4" w:space="0" w:color="auto"/>
            </w:tcBorders>
            <w:shd w:val="clear" w:color="000000" w:fill="FFFFFF"/>
            <w:noWrap/>
            <w:vAlign w:val="bottom"/>
            <w:hideMark/>
          </w:tcPr>
          <w:p w14:paraId="7CA8FB46"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1929,00</w:t>
            </w:r>
          </w:p>
        </w:tc>
      </w:tr>
      <w:tr w:rsidR="00827437" w:rsidRPr="00522104" w14:paraId="52AD083C" w14:textId="77777777" w:rsidTr="002E7523">
        <w:trPr>
          <w:trHeight w:val="300"/>
        </w:trPr>
        <w:tc>
          <w:tcPr>
            <w:tcW w:w="2416" w:type="dxa"/>
            <w:tcBorders>
              <w:top w:val="nil"/>
              <w:left w:val="single" w:sz="4" w:space="0" w:color="auto"/>
              <w:bottom w:val="single" w:sz="4" w:space="0" w:color="auto"/>
              <w:right w:val="single" w:sz="4" w:space="0" w:color="auto"/>
            </w:tcBorders>
            <w:shd w:val="clear" w:color="000000" w:fill="FFFFFF"/>
            <w:hideMark/>
          </w:tcPr>
          <w:p w14:paraId="55969BD7" w14:textId="77777777" w:rsidR="00827437" w:rsidRPr="00522104" w:rsidRDefault="00827437" w:rsidP="00E40BEE">
            <w:pPr>
              <w:spacing w:after="0" w:line="240" w:lineRule="auto"/>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ФП (РП) "Чистая вода"</w:t>
            </w:r>
          </w:p>
        </w:tc>
        <w:tc>
          <w:tcPr>
            <w:tcW w:w="992" w:type="dxa"/>
            <w:tcBorders>
              <w:top w:val="nil"/>
              <w:left w:val="nil"/>
              <w:bottom w:val="single" w:sz="4" w:space="0" w:color="auto"/>
              <w:right w:val="single" w:sz="4" w:space="0" w:color="auto"/>
            </w:tcBorders>
            <w:shd w:val="clear" w:color="000000" w:fill="FFFFFF"/>
            <w:noWrap/>
            <w:vAlign w:val="bottom"/>
            <w:hideMark/>
          </w:tcPr>
          <w:p w14:paraId="0DE56824"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964,40</w:t>
            </w:r>
          </w:p>
        </w:tc>
        <w:tc>
          <w:tcPr>
            <w:tcW w:w="992" w:type="dxa"/>
            <w:tcBorders>
              <w:top w:val="nil"/>
              <w:left w:val="nil"/>
              <w:bottom w:val="single" w:sz="4" w:space="0" w:color="auto"/>
              <w:right w:val="single" w:sz="4" w:space="0" w:color="auto"/>
            </w:tcBorders>
            <w:shd w:val="clear" w:color="000000" w:fill="FFFFFF"/>
            <w:noWrap/>
            <w:vAlign w:val="bottom"/>
            <w:hideMark/>
          </w:tcPr>
          <w:p w14:paraId="34D8E92C"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964,40</w:t>
            </w:r>
          </w:p>
        </w:tc>
        <w:tc>
          <w:tcPr>
            <w:tcW w:w="992" w:type="dxa"/>
            <w:tcBorders>
              <w:top w:val="nil"/>
              <w:left w:val="nil"/>
              <w:bottom w:val="single" w:sz="4" w:space="0" w:color="auto"/>
              <w:right w:val="single" w:sz="4" w:space="0" w:color="auto"/>
            </w:tcBorders>
            <w:shd w:val="clear" w:color="000000" w:fill="FFFFFF"/>
            <w:noWrap/>
            <w:vAlign w:val="bottom"/>
            <w:hideMark/>
          </w:tcPr>
          <w:p w14:paraId="00760A64"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880,33</w:t>
            </w:r>
          </w:p>
        </w:tc>
        <w:tc>
          <w:tcPr>
            <w:tcW w:w="993" w:type="dxa"/>
            <w:tcBorders>
              <w:top w:val="nil"/>
              <w:left w:val="nil"/>
              <w:bottom w:val="single" w:sz="4" w:space="0" w:color="auto"/>
              <w:right w:val="single" w:sz="4" w:space="0" w:color="auto"/>
            </w:tcBorders>
            <w:shd w:val="clear" w:color="000000" w:fill="FFFFFF"/>
            <w:noWrap/>
            <w:vAlign w:val="bottom"/>
            <w:hideMark/>
          </w:tcPr>
          <w:p w14:paraId="4B7943CB"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880,33</w:t>
            </w:r>
          </w:p>
        </w:tc>
        <w:tc>
          <w:tcPr>
            <w:tcW w:w="850" w:type="dxa"/>
            <w:tcBorders>
              <w:top w:val="nil"/>
              <w:left w:val="nil"/>
              <w:bottom w:val="single" w:sz="4" w:space="0" w:color="auto"/>
              <w:right w:val="single" w:sz="4" w:space="0" w:color="auto"/>
            </w:tcBorders>
            <w:shd w:val="clear" w:color="000000" w:fill="FFFFFF"/>
            <w:noWrap/>
            <w:vAlign w:val="bottom"/>
            <w:hideMark/>
          </w:tcPr>
          <w:p w14:paraId="062A95B2" w14:textId="77777777" w:rsidR="00827437" w:rsidRPr="00522104" w:rsidRDefault="00827437" w:rsidP="002E7523">
            <w:pPr>
              <w:spacing w:after="0" w:line="240" w:lineRule="auto"/>
              <w:ind w:left="-108"/>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1032,26</w:t>
            </w:r>
          </w:p>
        </w:tc>
        <w:tc>
          <w:tcPr>
            <w:tcW w:w="851" w:type="dxa"/>
            <w:tcBorders>
              <w:top w:val="nil"/>
              <w:left w:val="nil"/>
              <w:bottom w:val="single" w:sz="4" w:space="0" w:color="auto"/>
              <w:right w:val="single" w:sz="4" w:space="0" w:color="auto"/>
            </w:tcBorders>
            <w:shd w:val="clear" w:color="000000" w:fill="FFFFFF"/>
            <w:noWrap/>
            <w:vAlign w:val="bottom"/>
            <w:hideMark/>
          </w:tcPr>
          <w:p w14:paraId="2ABD8F87" w14:textId="77777777" w:rsidR="00827437" w:rsidRPr="00522104" w:rsidRDefault="00827437" w:rsidP="00D15C87">
            <w:pPr>
              <w:spacing w:after="0" w:line="240" w:lineRule="auto"/>
              <w:ind w:left="-108"/>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691,86</w:t>
            </w:r>
          </w:p>
        </w:tc>
        <w:tc>
          <w:tcPr>
            <w:tcW w:w="992" w:type="dxa"/>
            <w:tcBorders>
              <w:top w:val="nil"/>
              <w:left w:val="nil"/>
              <w:bottom w:val="single" w:sz="4" w:space="0" w:color="auto"/>
              <w:right w:val="single" w:sz="4" w:space="0" w:color="auto"/>
            </w:tcBorders>
            <w:shd w:val="clear" w:color="000000" w:fill="FFFFFF"/>
            <w:noWrap/>
            <w:vAlign w:val="bottom"/>
            <w:hideMark/>
          </w:tcPr>
          <w:p w14:paraId="4537FAEB"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-84,07</w:t>
            </w:r>
          </w:p>
        </w:tc>
        <w:tc>
          <w:tcPr>
            <w:tcW w:w="998" w:type="dxa"/>
            <w:tcBorders>
              <w:top w:val="nil"/>
              <w:left w:val="nil"/>
              <w:bottom w:val="single" w:sz="4" w:space="0" w:color="auto"/>
              <w:right w:val="single" w:sz="4" w:space="0" w:color="auto"/>
            </w:tcBorders>
            <w:shd w:val="clear" w:color="000000" w:fill="FFFFFF"/>
            <w:noWrap/>
            <w:vAlign w:val="bottom"/>
            <w:hideMark/>
          </w:tcPr>
          <w:p w14:paraId="0FA1F126"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0,00</w:t>
            </w:r>
          </w:p>
        </w:tc>
      </w:tr>
      <w:tr w:rsidR="00827437" w:rsidRPr="00522104" w14:paraId="26B2B88A" w14:textId="77777777" w:rsidTr="002E7523">
        <w:trPr>
          <w:trHeight w:val="413"/>
        </w:trPr>
        <w:tc>
          <w:tcPr>
            <w:tcW w:w="2416" w:type="dxa"/>
            <w:tcBorders>
              <w:top w:val="nil"/>
              <w:left w:val="single" w:sz="4" w:space="0" w:color="auto"/>
              <w:bottom w:val="single" w:sz="4" w:space="0" w:color="auto"/>
              <w:right w:val="single" w:sz="4" w:space="0" w:color="auto"/>
            </w:tcBorders>
            <w:shd w:val="clear" w:color="000000" w:fill="FFFFFF"/>
            <w:hideMark/>
          </w:tcPr>
          <w:p w14:paraId="5321BFEF" w14:textId="77777777" w:rsidR="00827437" w:rsidRPr="005942F8" w:rsidRDefault="00827437" w:rsidP="00E40BEE">
            <w:pPr>
              <w:spacing w:after="0" w:line="240" w:lineRule="auto"/>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"Переселение граждан из аварийного жилищного фонда в Приморском крае"</w:t>
            </w:r>
          </w:p>
        </w:tc>
        <w:tc>
          <w:tcPr>
            <w:tcW w:w="992" w:type="dxa"/>
            <w:tcBorders>
              <w:top w:val="nil"/>
              <w:left w:val="nil"/>
              <w:bottom w:val="single" w:sz="4" w:space="0" w:color="auto"/>
              <w:right w:val="single" w:sz="4" w:space="0" w:color="auto"/>
            </w:tcBorders>
            <w:shd w:val="clear" w:color="000000" w:fill="FFFFFF"/>
            <w:noWrap/>
            <w:vAlign w:val="bottom"/>
            <w:hideMark/>
          </w:tcPr>
          <w:p w14:paraId="50CD215E"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700,88</w:t>
            </w:r>
          </w:p>
        </w:tc>
        <w:tc>
          <w:tcPr>
            <w:tcW w:w="992" w:type="dxa"/>
            <w:tcBorders>
              <w:top w:val="nil"/>
              <w:left w:val="nil"/>
              <w:bottom w:val="single" w:sz="4" w:space="0" w:color="auto"/>
              <w:right w:val="single" w:sz="4" w:space="0" w:color="auto"/>
            </w:tcBorders>
            <w:shd w:val="clear" w:color="000000" w:fill="FFFFFF"/>
            <w:noWrap/>
            <w:vAlign w:val="bottom"/>
            <w:hideMark/>
          </w:tcPr>
          <w:p w14:paraId="6886026A"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3189,37</w:t>
            </w:r>
          </w:p>
        </w:tc>
        <w:tc>
          <w:tcPr>
            <w:tcW w:w="992" w:type="dxa"/>
            <w:tcBorders>
              <w:top w:val="nil"/>
              <w:left w:val="nil"/>
              <w:bottom w:val="single" w:sz="4" w:space="0" w:color="auto"/>
              <w:right w:val="single" w:sz="4" w:space="0" w:color="auto"/>
            </w:tcBorders>
            <w:shd w:val="clear" w:color="000000" w:fill="FFFFFF"/>
            <w:noWrap/>
            <w:vAlign w:val="bottom"/>
            <w:hideMark/>
          </w:tcPr>
          <w:p w14:paraId="78179297"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2576,86</w:t>
            </w:r>
          </w:p>
        </w:tc>
        <w:tc>
          <w:tcPr>
            <w:tcW w:w="993" w:type="dxa"/>
            <w:tcBorders>
              <w:top w:val="nil"/>
              <w:left w:val="nil"/>
              <w:bottom w:val="single" w:sz="4" w:space="0" w:color="auto"/>
              <w:right w:val="single" w:sz="4" w:space="0" w:color="auto"/>
            </w:tcBorders>
            <w:shd w:val="clear" w:color="000000" w:fill="FFFFFF"/>
            <w:noWrap/>
            <w:vAlign w:val="bottom"/>
            <w:hideMark/>
          </w:tcPr>
          <w:p w14:paraId="3B5FB540"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2576,86</w:t>
            </w:r>
          </w:p>
        </w:tc>
        <w:tc>
          <w:tcPr>
            <w:tcW w:w="850" w:type="dxa"/>
            <w:tcBorders>
              <w:top w:val="nil"/>
              <w:left w:val="nil"/>
              <w:bottom w:val="single" w:sz="4" w:space="0" w:color="auto"/>
              <w:right w:val="single" w:sz="4" w:space="0" w:color="auto"/>
            </w:tcBorders>
            <w:shd w:val="clear" w:color="000000" w:fill="FFFFFF"/>
            <w:noWrap/>
            <w:vAlign w:val="bottom"/>
            <w:hideMark/>
          </w:tcPr>
          <w:p w14:paraId="61B91E9B" w14:textId="77777777" w:rsidR="00827437" w:rsidRPr="005942F8" w:rsidRDefault="00827437" w:rsidP="002E7523">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15D80FA8" w14:textId="77777777" w:rsidR="00827437" w:rsidRPr="005942F8" w:rsidRDefault="00827437" w:rsidP="00D15C87">
            <w:pPr>
              <w:spacing w:after="0" w:line="240" w:lineRule="auto"/>
              <w:ind w:left="-108"/>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1CDD505D"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-612,51</w:t>
            </w:r>
          </w:p>
        </w:tc>
        <w:tc>
          <w:tcPr>
            <w:tcW w:w="998" w:type="dxa"/>
            <w:tcBorders>
              <w:top w:val="nil"/>
              <w:left w:val="nil"/>
              <w:bottom w:val="single" w:sz="4" w:space="0" w:color="auto"/>
              <w:right w:val="single" w:sz="4" w:space="0" w:color="auto"/>
            </w:tcBorders>
            <w:shd w:val="clear" w:color="000000" w:fill="FFFFFF"/>
            <w:noWrap/>
            <w:vAlign w:val="bottom"/>
            <w:hideMark/>
          </w:tcPr>
          <w:p w14:paraId="7160B954" w14:textId="77777777" w:rsidR="00827437" w:rsidRPr="005942F8" w:rsidRDefault="00827437" w:rsidP="00E40BEE">
            <w:pPr>
              <w:spacing w:after="0" w:line="240" w:lineRule="auto"/>
              <w:jc w:val="right"/>
              <w:rPr>
                <w:rFonts w:ascii="Times New Roman" w:eastAsia="Times New Roman" w:hAnsi="Times New Roman" w:cs="Times New Roman"/>
                <w:sz w:val="20"/>
                <w:szCs w:val="20"/>
                <w:lang w:eastAsia="ru-RU"/>
              </w:rPr>
            </w:pPr>
            <w:r w:rsidRPr="005942F8">
              <w:rPr>
                <w:rFonts w:ascii="Times New Roman" w:eastAsia="Times New Roman" w:hAnsi="Times New Roman" w:cs="Times New Roman"/>
                <w:sz w:val="20"/>
                <w:szCs w:val="20"/>
                <w:lang w:eastAsia="ru-RU"/>
              </w:rPr>
              <w:t>0,00</w:t>
            </w:r>
          </w:p>
        </w:tc>
      </w:tr>
      <w:tr w:rsidR="00827437" w:rsidRPr="00522104" w14:paraId="611B4C35" w14:textId="77777777" w:rsidTr="00AD44C4">
        <w:trPr>
          <w:trHeight w:val="1063"/>
        </w:trPr>
        <w:tc>
          <w:tcPr>
            <w:tcW w:w="2416" w:type="dxa"/>
            <w:tcBorders>
              <w:top w:val="nil"/>
              <w:left w:val="single" w:sz="4" w:space="0" w:color="auto"/>
              <w:bottom w:val="single" w:sz="4" w:space="0" w:color="auto"/>
              <w:right w:val="single" w:sz="4" w:space="0" w:color="auto"/>
            </w:tcBorders>
            <w:shd w:val="clear" w:color="000000" w:fill="FFFFFF"/>
            <w:hideMark/>
          </w:tcPr>
          <w:p w14:paraId="315E44B3" w14:textId="77777777" w:rsidR="00827437" w:rsidRPr="00522104" w:rsidRDefault="00827437" w:rsidP="00E40BEE">
            <w:pPr>
              <w:spacing w:after="0" w:line="240" w:lineRule="auto"/>
              <w:rPr>
                <w:rFonts w:ascii="Times New Roman" w:eastAsia="Times New Roman" w:hAnsi="Times New Roman" w:cs="Times New Roman"/>
                <w:i/>
                <w:iCs/>
                <w:sz w:val="20"/>
                <w:szCs w:val="20"/>
                <w:lang w:eastAsia="ru-RU"/>
              </w:rPr>
            </w:pPr>
            <w:r w:rsidRPr="00522104">
              <w:rPr>
                <w:rFonts w:ascii="Times New Roman" w:eastAsia="Times New Roman" w:hAnsi="Times New Roman" w:cs="Times New Roman"/>
                <w:i/>
                <w:iCs/>
                <w:sz w:val="20"/>
                <w:szCs w:val="20"/>
                <w:lang w:eastAsia="ru-RU"/>
              </w:rPr>
              <w:t>ФП (РП) "Обеспечение устойчивого сокращения непригодного для проживания жилищного фонда"</w:t>
            </w:r>
          </w:p>
        </w:tc>
        <w:tc>
          <w:tcPr>
            <w:tcW w:w="992" w:type="dxa"/>
            <w:tcBorders>
              <w:top w:val="nil"/>
              <w:left w:val="nil"/>
              <w:bottom w:val="single" w:sz="4" w:space="0" w:color="auto"/>
              <w:right w:val="single" w:sz="4" w:space="0" w:color="auto"/>
            </w:tcBorders>
            <w:shd w:val="clear" w:color="000000" w:fill="FFFFFF"/>
            <w:noWrap/>
            <w:vAlign w:val="bottom"/>
            <w:hideMark/>
          </w:tcPr>
          <w:p w14:paraId="087E5435"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700,88</w:t>
            </w:r>
          </w:p>
        </w:tc>
        <w:tc>
          <w:tcPr>
            <w:tcW w:w="992" w:type="dxa"/>
            <w:tcBorders>
              <w:top w:val="nil"/>
              <w:left w:val="nil"/>
              <w:bottom w:val="single" w:sz="4" w:space="0" w:color="auto"/>
              <w:right w:val="single" w:sz="4" w:space="0" w:color="auto"/>
            </w:tcBorders>
            <w:shd w:val="clear" w:color="000000" w:fill="FFFFFF"/>
            <w:noWrap/>
            <w:vAlign w:val="bottom"/>
            <w:hideMark/>
          </w:tcPr>
          <w:p w14:paraId="71712C2C"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3189,37</w:t>
            </w:r>
          </w:p>
        </w:tc>
        <w:tc>
          <w:tcPr>
            <w:tcW w:w="992" w:type="dxa"/>
            <w:tcBorders>
              <w:top w:val="nil"/>
              <w:left w:val="nil"/>
              <w:bottom w:val="single" w:sz="4" w:space="0" w:color="auto"/>
              <w:right w:val="single" w:sz="4" w:space="0" w:color="auto"/>
            </w:tcBorders>
            <w:shd w:val="clear" w:color="000000" w:fill="FFFFFF"/>
            <w:noWrap/>
            <w:vAlign w:val="bottom"/>
            <w:hideMark/>
          </w:tcPr>
          <w:p w14:paraId="1DB899A9"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2576,86</w:t>
            </w:r>
          </w:p>
        </w:tc>
        <w:tc>
          <w:tcPr>
            <w:tcW w:w="993" w:type="dxa"/>
            <w:tcBorders>
              <w:top w:val="nil"/>
              <w:left w:val="nil"/>
              <w:bottom w:val="single" w:sz="4" w:space="0" w:color="auto"/>
              <w:right w:val="single" w:sz="4" w:space="0" w:color="auto"/>
            </w:tcBorders>
            <w:shd w:val="clear" w:color="000000" w:fill="FFFFFF"/>
            <w:noWrap/>
            <w:vAlign w:val="bottom"/>
            <w:hideMark/>
          </w:tcPr>
          <w:p w14:paraId="4DEB9DAB"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2576,86</w:t>
            </w:r>
          </w:p>
        </w:tc>
        <w:tc>
          <w:tcPr>
            <w:tcW w:w="850" w:type="dxa"/>
            <w:tcBorders>
              <w:top w:val="nil"/>
              <w:left w:val="nil"/>
              <w:bottom w:val="single" w:sz="4" w:space="0" w:color="auto"/>
              <w:right w:val="single" w:sz="4" w:space="0" w:color="auto"/>
            </w:tcBorders>
            <w:shd w:val="clear" w:color="000000" w:fill="FFFFFF"/>
            <w:noWrap/>
            <w:vAlign w:val="bottom"/>
            <w:hideMark/>
          </w:tcPr>
          <w:p w14:paraId="630C8894" w14:textId="77777777" w:rsidR="00827437" w:rsidRPr="00522104" w:rsidRDefault="00827437" w:rsidP="002E7523">
            <w:pPr>
              <w:spacing w:after="0" w:line="240" w:lineRule="auto"/>
              <w:ind w:left="-108"/>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0,00</w:t>
            </w:r>
          </w:p>
        </w:tc>
        <w:tc>
          <w:tcPr>
            <w:tcW w:w="851" w:type="dxa"/>
            <w:tcBorders>
              <w:top w:val="nil"/>
              <w:left w:val="nil"/>
              <w:bottom w:val="single" w:sz="4" w:space="0" w:color="auto"/>
              <w:right w:val="single" w:sz="4" w:space="0" w:color="auto"/>
            </w:tcBorders>
            <w:shd w:val="clear" w:color="000000" w:fill="FFFFFF"/>
            <w:noWrap/>
            <w:vAlign w:val="bottom"/>
            <w:hideMark/>
          </w:tcPr>
          <w:p w14:paraId="72E07F56" w14:textId="77777777" w:rsidR="00827437" w:rsidRPr="00522104" w:rsidRDefault="00827437" w:rsidP="00D15C87">
            <w:pPr>
              <w:spacing w:after="0" w:line="240" w:lineRule="auto"/>
              <w:ind w:left="-108"/>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0,00</w:t>
            </w:r>
          </w:p>
        </w:tc>
        <w:tc>
          <w:tcPr>
            <w:tcW w:w="992" w:type="dxa"/>
            <w:tcBorders>
              <w:top w:val="nil"/>
              <w:left w:val="nil"/>
              <w:bottom w:val="single" w:sz="4" w:space="0" w:color="auto"/>
              <w:right w:val="single" w:sz="4" w:space="0" w:color="auto"/>
            </w:tcBorders>
            <w:shd w:val="clear" w:color="000000" w:fill="FFFFFF"/>
            <w:noWrap/>
            <w:vAlign w:val="bottom"/>
            <w:hideMark/>
          </w:tcPr>
          <w:p w14:paraId="298203D3"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-612,51</w:t>
            </w:r>
          </w:p>
        </w:tc>
        <w:tc>
          <w:tcPr>
            <w:tcW w:w="998" w:type="dxa"/>
            <w:tcBorders>
              <w:top w:val="nil"/>
              <w:left w:val="nil"/>
              <w:bottom w:val="single" w:sz="4" w:space="0" w:color="auto"/>
              <w:right w:val="single" w:sz="4" w:space="0" w:color="auto"/>
            </w:tcBorders>
            <w:shd w:val="clear" w:color="000000" w:fill="FFFFFF"/>
            <w:noWrap/>
            <w:vAlign w:val="bottom"/>
            <w:hideMark/>
          </w:tcPr>
          <w:p w14:paraId="7BD9799C" w14:textId="77777777" w:rsidR="00827437" w:rsidRPr="00522104" w:rsidRDefault="00827437" w:rsidP="00E40BEE">
            <w:pPr>
              <w:spacing w:after="0" w:line="240" w:lineRule="auto"/>
              <w:jc w:val="right"/>
              <w:rPr>
                <w:rFonts w:ascii="Times New Roman" w:eastAsia="Times New Roman" w:hAnsi="Times New Roman" w:cs="Times New Roman"/>
                <w:i/>
                <w:sz w:val="20"/>
                <w:szCs w:val="20"/>
                <w:lang w:eastAsia="ru-RU"/>
              </w:rPr>
            </w:pPr>
            <w:r w:rsidRPr="00522104">
              <w:rPr>
                <w:rFonts w:ascii="Times New Roman" w:eastAsia="Times New Roman" w:hAnsi="Times New Roman" w:cs="Times New Roman"/>
                <w:i/>
                <w:sz w:val="20"/>
                <w:szCs w:val="20"/>
                <w:lang w:eastAsia="ru-RU"/>
              </w:rPr>
              <w:t>0,00</w:t>
            </w:r>
          </w:p>
        </w:tc>
      </w:tr>
      <w:tr w:rsidR="00827437" w:rsidRPr="00522104" w14:paraId="0DFB57F7" w14:textId="77777777" w:rsidTr="002E7523">
        <w:trPr>
          <w:trHeight w:val="300"/>
        </w:trPr>
        <w:tc>
          <w:tcPr>
            <w:tcW w:w="2416" w:type="dxa"/>
            <w:tcBorders>
              <w:top w:val="nil"/>
              <w:left w:val="single" w:sz="4" w:space="0" w:color="auto"/>
              <w:bottom w:val="single" w:sz="4" w:space="0" w:color="auto"/>
              <w:right w:val="single" w:sz="4" w:space="0" w:color="auto"/>
            </w:tcBorders>
            <w:shd w:val="clear" w:color="000000" w:fill="FFFFFF"/>
            <w:hideMark/>
          </w:tcPr>
          <w:p w14:paraId="6F4774E1" w14:textId="77777777" w:rsidR="00827437" w:rsidRPr="00C655A1" w:rsidRDefault="00827437" w:rsidP="00E40BEE">
            <w:pPr>
              <w:spacing w:after="0" w:line="240" w:lineRule="auto"/>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"Доступная ипотека"</w:t>
            </w:r>
          </w:p>
        </w:tc>
        <w:tc>
          <w:tcPr>
            <w:tcW w:w="992" w:type="dxa"/>
            <w:tcBorders>
              <w:top w:val="nil"/>
              <w:left w:val="nil"/>
              <w:bottom w:val="single" w:sz="4" w:space="0" w:color="auto"/>
              <w:right w:val="single" w:sz="4" w:space="0" w:color="auto"/>
            </w:tcBorders>
            <w:shd w:val="clear" w:color="000000" w:fill="FFFFFF"/>
            <w:noWrap/>
            <w:vAlign w:val="bottom"/>
            <w:hideMark/>
          </w:tcPr>
          <w:p w14:paraId="235BBD99"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100,00</w:t>
            </w:r>
          </w:p>
        </w:tc>
        <w:tc>
          <w:tcPr>
            <w:tcW w:w="992" w:type="dxa"/>
            <w:tcBorders>
              <w:top w:val="nil"/>
              <w:left w:val="nil"/>
              <w:bottom w:val="single" w:sz="4" w:space="0" w:color="auto"/>
              <w:right w:val="single" w:sz="4" w:space="0" w:color="auto"/>
            </w:tcBorders>
            <w:shd w:val="clear" w:color="000000" w:fill="FFFFFF"/>
            <w:noWrap/>
            <w:vAlign w:val="bottom"/>
            <w:hideMark/>
          </w:tcPr>
          <w:p w14:paraId="118552C1"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140,94</w:t>
            </w:r>
          </w:p>
        </w:tc>
        <w:tc>
          <w:tcPr>
            <w:tcW w:w="992" w:type="dxa"/>
            <w:tcBorders>
              <w:top w:val="nil"/>
              <w:left w:val="nil"/>
              <w:bottom w:val="single" w:sz="4" w:space="0" w:color="auto"/>
              <w:right w:val="single" w:sz="4" w:space="0" w:color="auto"/>
            </w:tcBorders>
            <w:shd w:val="clear" w:color="000000" w:fill="FFFFFF"/>
            <w:noWrap/>
            <w:vAlign w:val="bottom"/>
            <w:hideMark/>
          </w:tcPr>
          <w:p w14:paraId="42C4641F"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100,00</w:t>
            </w:r>
          </w:p>
        </w:tc>
        <w:tc>
          <w:tcPr>
            <w:tcW w:w="993" w:type="dxa"/>
            <w:tcBorders>
              <w:top w:val="nil"/>
              <w:left w:val="nil"/>
              <w:bottom w:val="single" w:sz="4" w:space="0" w:color="auto"/>
              <w:right w:val="single" w:sz="4" w:space="0" w:color="auto"/>
            </w:tcBorders>
            <w:shd w:val="clear" w:color="000000" w:fill="FFFFFF"/>
            <w:noWrap/>
            <w:vAlign w:val="bottom"/>
            <w:hideMark/>
          </w:tcPr>
          <w:p w14:paraId="0341C0F9"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140,00</w:t>
            </w:r>
          </w:p>
        </w:tc>
        <w:tc>
          <w:tcPr>
            <w:tcW w:w="850" w:type="dxa"/>
            <w:tcBorders>
              <w:top w:val="nil"/>
              <w:left w:val="nil"/>
              <w:bottom w:val="single" w:sz="4" w:space="0" w:color="auto"/>
              <w:right w:val="single" w:sz="4" w:space="0" w:color="auto"/>
            </w:tcBorders>
            <w:shd w:val="clear" w:color="000000" w:fill="FFFFFF"/>
            <w:noWrap/>
            <w:vAlign w:val="bottom"/>
            <w:hideMark/>
          </w:tcPr>
          <w:p w14:paraId="0C94BD6B" w14:textId="77777777" w:rsidR="00827437" w:rsidRPr="00C655A1" w:rsidRDefault="00827437" w:rsidP="002E7523">
            <w:pPr>
              <w:spacing w:after="0" w:line="240" w:lineRule="auto"/>
              <w:ind w:left="-108"/>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100,00</w:t>
            </w:r>
          </w:p>
        </w:tc>
        <w:tc>
          <w:tcPr>
            <w:tcW w:w="851" w:type="dxa"/>
            <w:tcBorders>
              <w:top w:val="nil"/>
              <w:left w:val="nil"/>
              <w:bottom w:val="single" w:sz="4" w:space="0" w:color="auto"/>
              <w:right w:val="single" w:sz="4" w:space="0" w:color="auto"/>
            </w:tcBorders>
            <w:shd w:val="clear" w:color="000000" w:fill="FFFFFF"/>
            <w:noWrap/>
            <w:vAlign w:val="bottom"/>
            <w:hideMark/>
          </w:tcPr>
          <w:p w14:paraId="413364C0" w14:textId="77777777" w:rsidR="00827437" w:rsidRPr="00C655A1" w:rsidRDefault="00827437" w:rsidP="00D15C87">
            <w:pPr>
              <w:spacing w:after="0" w:line="240" w:lineRule="auto"/>
              <w:ind w:left="-108"/>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100,00</w:t>
            </w:r>
          </w:p>
        </w:tc>
        <w:tc>
          <w:tcPr>
            <w:tcW w:w="992" w:type="dxa"/>
            <w:tcBorders>
              <w:top w:val="nil"/>
              <w:left w:val="nil"/>
              <w:bottom w:val="single" w:sz="4" w:space="0" w:color="auto"/>
              <w:right w:val="single" w:sz="4" w:space="0" w:color="auto"/>
            </w:tcBorders>
            <w:shd w:val="clear" w:color="000000" w:fill="FFFFFF"/>
            <w:noWrap/>
            <w:vAlign w:val="bottom"/>
            <w:hideMark/>
          </w:tcPr>
          <w:p w14:paraId="6BACF108"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-0,93</w:t>
            </w:r>
          </w:p>
        </w:tc>
        <w:tc>
          <w:tcPr>
            <w:tcW w:w="998" w:type="dxa"/>
            <w:tcBorders>
              <w:top w:val="nil"/>
              <w:left w:val="nil"/>
              <w:bottom w:val="single" w:sz="4" w:space="0" w:color="auto"/>
              <w:right w:val="single" w:sz="4" w:space="0" w:color="auto"/>
            </w:tcBorders>
            <w:shd w:val="clear" w:color="000000" w:fill="FFFFFF"/>
            <w:noWrap/>
            <w:vAlign w:val="bottom"/>
            <w:hideMark/>
          </w:tcPr>
          <w:p w14:paraId="64A7A1E9"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40,00</w:t>
            </w:r>
          </w:p>
        </w:tc>
      </w:tr>
      <w:tr w:rsidR="00827437" w:rsidRPr="00522104" w14:paraId="5F56ACD4" w14:textId="77777777" w:rsidTr="002E7523">
        <w:trPr>
          <w:trHeight w:val="427"/>
        </w:trPr>
        <w:tc>
          <w:tcPr>
            <w:tcW w:w="2416" w:type="dxa"/>
            <w:tcBorders>
              <w:top w:val="nil"/>
              <w:left w:val="single" w:sz="4" w:space="0" w:color="auto"/>
              <w:bottom w:val="single" w:sz="4" w:space="0" w:color="auto"/>
              <w:right w:val="single" w:sz="4" w:space="0" w:color="auto"/>
            </w:tcBorders>
            <w:shd w:val="clear" w:color="000000" w:fill="FFFFFF"/>
            <w:hideMark/>
          </w:tcPr>
          <w:p w14:paraId="7E6A5CEB" w14:textId="77777777" w:rsidR="00827437" w:rsidRPr="00C655A1" w:rsidRDefault="00827437" w:rsidP="00E40BEE">
            <w:pPr>
              <w:spacing w:after="0" w:line="240" w:lineRule="auto"/>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"Обеспечение деятельности органов исполнительной власти, осуществляющих реализацию государственной программы"</w:t>
            </w:r>
          </w:p>
        </w:tc>
        <w:tc>
          <w:tcPr>
            <w:tcW w:w="992" w:type="dxa"/>
            <w:tcBorders>
              <w:top w:val="nil"/>
              <w:left w:val="nil"/>
              <w:bottom w:val="single" w:sz="4" w:space="0" w:color="auto"/>
              <w:right w:val="single" w:sz="4" w:space="0" w:color="auto"/>
            </w:tcBorders>
            <w:shd w:val="clear" w:color="000000" w:fill="FFFFFF"/>
            <w:noWrap/>
            <w:vAlign w:val="bottom"/>
            <w:hideMark/>
          </w:tcPr>
          <w:p w14:paraId="517B9A6E"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653,14</w:t>
            </w:r>
          </w:p>
        </w:tc>
        <w:tc>
          <w:tcPr>
            <w:tcW w:w="992" w:type="dxa"/>
            <w:tcBorders>
              <w:top w:val="nil"/>
              <w:left w:val="nil"/>
              <w:bottom w:val="single" w:sz="4" w:space="0" w:color="auto"/>
              <w:right w:val="single" w:sz="4" w:space="0" w:color="auto"/>
            </w:tcBorders>
            <w:shd w:val="clear" w:color="000000" w:fill="FFFFFF"/>
            <w:noWrap/>
            <w:vAlign w:val="bottom"/>
            <w:hideMark/>
          </w:tcPr>
          <w:p w14:paraId="0DE05FEE"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4004,70</w:t>
            </w:r>
          </w:p>
        </w:tc>
        <w:tc>
          <w:tcPr>
            <w:tcW w:w="992" w:type="dxa"/>
            <w:tcBorders>
              <w:top w:val="nil"/>
              <w:left w:val="nil"/>
              <w:bottom w:val="single" w:sz="4" w:space="0" w:color="auto"/>
              <w:right w:val="single" w:sz="4" w:space="0" w:color="auto"/>
            </w:tcBorders>
            <w:shd w:val="clear" w:color="000000" w:fill="FFFFFF"/>
            <w:noWrap/>
            <w:vAlign w:val="bottom"/>
            <w:hideMark/>
          </w:tcPr>
          <w:p w14:paraId="73CCEB80"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552,70</w:t>
            </w:r>
          </w:p>
        </w:tc>
        <w:tc>
          <w:tcPr>
            <w:tcW w:w="993" w:type="dxa"/>
            <w:tcBorders>
              <w:top w:val="nil"/>
              <w:left w:val="nil"/>
              <w:bottom w:val="single" w:sz="4" w:space="0" w:color="auto"/>
              <w:right w:val="single" w:sz="4" w:space="0" w:color="auto"/>
            </w:tcBorders>
            <w:shd w:val="clear" w:color="000000" w:fill="FFFFFF"/>
            <w:noWrap/>
            <w:vAlign w:val="bottom"/>
            <w:hideMark/>
          </w:tcPr>
          <w:p w14:paraId="177376A1"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668,06</w:t>
            </w:r>
          </w:p>
        </w:tc>
        <w:tc>
          <w:tcPr>
            <w:tcW w:w="850" w:type="dxa"/>
            <w:tcBorders>
              <w:top w:val="nil"/>
              <w:left w:val="nil"/>
              <w:bottom w:val="single" w:sz="4" w:space="0" w:color="auto"/>
              <w:right w:val="single" w:sz="4" w:space="0" w:color="auto"/>
            </w:tcBorders>
            <w:shd w:val="clear" w:color="000000" w:fill="FFFFFF"/>
            <w:noWrap/>
            <w:vAlign w:val="bottom"/>
            <w:hideMark/>
          </w:tcPr>
          <w:p w14:paraId="439AABF8" w14:textId="77777777" w:rsidR="00827437" w:rsidRPr="00C655A1" w:rsidRDefault="00827437" w:rsidP="002E7523">
            <w:pPr>
              <w:spacing w:after="0" w:line="240" w:lineRule="auto"/>
              <w:ind w:left="-108"/>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603,87</w:t>
            </w:r>
          </w:p>
        </w:tc>
        <w:tc>
          <w:tcPr>
            <w:tcW w:w="851" w:type="dxa"/>
            <w:tcBorders>
              <w:top w:val="nil"/>
              <w:left w:val="nil"/>
              <w:bottom w:val="single" w:sz="4" w:space="0" w:color="auto"/>
              <w:right w:val="single" w:sz="4" w:space="0" w:color="auto"/>
            </w:tcBorders>
            <w:shd w:val="clear" w:color="000000" w:fill="FFFFFF"/>
            <w:noWrap/>
            <w:vAlign w:val="bottom"/>
            <w:hideMark/>
          </w:tcPr>
          <w:p w14:paraId="1FC42CC0" w14:textId="77777777" w:rsidR="00827437" w:rsidRPr="00C655A1" w:rsidRDefault="00827437" w:rsidP="00D15C87">
            <w:pPr>
              <w:spacing w:after="0" w:line="240" w:lineRule="auto"/>
              <w:ind w:left="-108"/>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619,24</w:t>
            </w:r>
          </w:p>
        </w:tc>
        <w:tc>
          <w:tcPr>
            <w:tcW w:w="992" w:type="dxa"/>
            <w:tcBorders>
              <w:top w:val="nil"/>
              <w:left w:val="nil"/>
              <w:bottom w:val="single" w:sz="4" w:space="0" w:color="auto"/>
              <w:right w:val="single" w:sz="4" w:space="0" w:color="auto"/>
            </w:tcBorders>
            <w:shd w:val="clear" w:color="000000" w:fill="FFFFFF"/>
            <w:noWrap/>
            <w:vAlign w:val="bottom"/>
            <w:hideMark/>
          </w:tcPr>
          <w:p w14:paraId="43F58B8E"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-3336,63</w:t>
            </w:r>
          </w:p>
        </w:tc>
        <w:tc>
          <w:tcPr>
            <w:tcW w:w="998" w:type="dxa"/>
            <w:tcBorders>
              <w:top w:val="nil"/>
              <w:left w:val="nil"/>
              <w:bottom w:val="single" w:sz="4" w:space="0" w:color="auto"/>
              <w:right w:val="single" w:sz="4" w:space="0" w:color="auto"/>
            </w:tcBorders>
            <w:shd w:val="clear" w:color="000000" w:fill="FFFFFF"/>
            <w:noWrap/>
            <w:vAlign w:val="bottom"/>
            <w:hideMark/>
          </w:tcPr>
          <w:p w14:paraId="3DF79D34"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115,36</w:t>
            </w:r>
          </w:p>
        </w:tc>
      </w:tr>
    </w:tbl>
    <w:p w14:paraId="1B313229"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p>
    <w:p w14:paraId="495E0D03"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В законопроекте на 2022 год расходы на реализацию мероприятий ГП в разрезе ведомств запланированы следующим образом:</w:t>
      </w:r>
    </w:p>
    <w:p w14:paraId="3825F5D2"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Основной объем расходов приходится на министерство жилищно-коммунального хозяйства Приморского края – 9897,63 млн рублей, или 55,08 % (на 2023 год – 6584,61 млн рублей, на 2024 год – 4765,76 млн рублей). Планируется по сравнению с утвержденными назначениями на 2022 год (7901,36 млн рублей) увеличение на 1996,27 млн рублей, на 2021 год (12752,60 млн рублей), снижение на 2854,96 млн рублей. </w:t>
      </w:r>
    </w:p>
    <w:p w14:paraId="235448F1"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министерству строительства Приморского края – 6233,83 млн рублей (2023 год – 1182,33 млн рублей, на 2024 год – 428,00 млн рублей), или 34,69 % от общего объема, предусмотренного на реализацию ГП, в том числе на предоставление бюджетных инвестиций акционерному обществу "Корпорация развития жилищного строительства" для формирования рынка доступного жилья – 3000,00 млн рублей, на переселение граждан из аварийного жилищного фонда в Приморском крае – 2576,86 млн рублей. По сравнению с законом № 969-КЗ на 2022 год (2957,18 млн рублей), или больше на 3276,65 млн рублей, на 2021 год (3831,13 млн рублей) увеличение на 2402,70 млн рублей. </w:t>
      </w:r>
    </w:p>
    <w:p w14:paraId="737EFC3F"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Министерству имущественных и земельных отношений Приморского края – 209,52 млн рублей (на 2023-2024 годы – 209,52 млн рублей ежегодно). По сравнению с утвержденными назначениями на том же уровне, а на 2021 год (702,87 млн рублей) меньше на 493,35 млн рублей.  </w:t>
      </w:r>
    </w:p>
    <w:p w14:paraId="699FEDA7"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Департаменту по делам молодежи Приморского края – 261,53 млн рублей (на 2023 год – 285,95 млн рублей, на 2024 год – 311,61 млн рублей). По сравнению с утвержденными назначениями (266,49 млн рублей) меньше на 4,96 млн рублей, на 2021 год (252,34 млн рублей) больше на 9,2 млн рублей.</w:t>
      </w:r>
    </w:p>
    <w:p w14:paraId="376D07BF"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Министерству образования Приморского края – 1258,24 млн рублей, так же на 2023 и 2024 годы – по 1258,24 млн рублей.</w:t>
      </w:r>
    </w:p>
    <w:p w14:paraId="6CCEE953"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Инспекции регионального строительного надзора и контроля в области долевого строительства Приморского края – 49,36 млн рублей (на 2023 год – 50,17 млн рублей, на 2024 год – 52,14 млн рублей).</w:t>
      </w:r>
    </w:p>
    <w:p w14:paraId="58DA052B" w14:textId="77777777"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Государственной жилищной инспекции Приморского края – 58,66 млн рублей, на 2023 год – 60,93 млн рублей, на 20243 год – 63,29 млн рублей. </w:t>
      </w:r>
    </w:p>
    <w:p w14:paraId="3F0531BD"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shd w:val="clear" w:color="auto" w:fill="FFFFFF"/>
        </w:rPr>
        <w:t xml:space="preserve">В соответствии с Указом Президента РФ от 07.05.2018 № 204 </w:t>
      </w:r>
      <w:r w:rsidRPr="00522104">
        <w:rPr>
          <w:rFonts w:ascii="Times New Roman" w:hAnsi="Times New Roman" w:cs="Times New Roman"/>
          <w:sz w:val="28"/>
          <w:szCs w:val="28"/>
        </w:rPr>
        <w:t xml:space="preserve">законопроектом в рамках ГП запланирована реализация НП "Жилье и городская среда" по: </w:t>
      </w:r>
    </w:p>
    <w:p w14:paraId="455207CF" w14:textId="43A8926D"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ФП "Чистая вода" на 2022 год в сумме 880,33 млн рублей (занимает 4,90 % в расходах ГП), на 2023 год – 1032,26 млн рублей, на 2024 год – 691,86</w:t>
      </w:r>
      <w:r w:rsidR="00CB71E2" w:rsidRPr="00522104">
        <w:rPr>
          <w:rFonts w:ascii="Times New Roman" w:hAnsi="Times New Roman" w:cs="Times New Roman"/>
          <w:sz w:val="28"/>
          <w:szCs w:val="28"/>
        </w:rPr>
        <w:t> </w:t>
      </w:r>
      <w:r w:rsidRPr="00522104">
        <w:rPr>
          <w:rFonts w:ascii="Times New Roman" w:hAnsi="Times New Roman" w:cs="Times New Roman"/>
          <w:sz w:val="28"/>
          <w:szCs w:val="28"/>
        </w:rPr>
        <w:t xml:space="preserve">млн рублей; </w:t>
      </w:r>
    </w:p>
    <w:p w14:paraId="77027C78" w14:textId="7D6A5753"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 ФП "Обеспечение устойчивого сокращения непригодного для проживани</w:t>
      </w:r>
      <w:r w:rsidR="00CB71E2" w:rsidRPr="00522104">
        <w:rPr>
          <w:rFonts w:ascii="Times New Roman" w:hAnsi="Times New Roman" w:cs="Times New Roman"/>
          <w:sz w:val="28"/>
          <w:szCs w:val="28"/>
        </w:rPr>
        <w:t>я жилищного фонда" на 2022 год –</w:t>
      </w:r>
      <w:r w:rsidRPr="00522104">
        <w:rPr>
          <w:rFonts w:ascii="Times New Roman" w:hAnsi="Times New Roman" w:cs="Times New Roman"/>
          <w:sz w:val="28"/>
          <w:szCs w:val="28"/>
        </w:rPr>
        <w:t xml:space="preserve"> 2576,86 млн рублей, или 14,34</w:t>
      </w:r>
      <w:r w:rsidR="00CB71E2" w:rsidRPr="00522104">
        <w:rPr>
          <w:rFonts w:ascii="Times New Roman" w:hAnsi="Times New Roman" w:cs="Times New Roman"/>
          <w:sz w:val="28"/>
          <w:szCs w:val="28"/>
        </w:rPr>
        <w:t> </w:t>
      </w:r>
      <w:r w:rsidRPr="00522104">
        <w:rPr>
          <w:rFonts w:ascii="Times New Roman" w:hAnsi="Times New Roman" w:cs="Times New Roman"/>
          <w:sz w:val="28"/>
          <w:szCs w:val="28"/>
        </w:rPr>
        <w:t xml:space="preserve">% в расходах ГП, на 2023 год – 2024 годы средства не запланированы. </w:t>
      </w:r>
    </w:p>
    <w:p w14:paraId="356DF37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Подробнее о планировании расходов НП изложено в Приложении 4 к заключению.</w:t>
      </w:r>
    </w:p>
    <w:p w14:paraId="5622F1D4"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"Обеспечение жильем отдельных категорий граждан Приморского края"</w:t>
      </w:r>
      <w:r w:rsidRPr="00522104">
        <w:rPr>
          <w:rFonts w:ascii="Times New Roman" w:hAnsi="Times New Roman" w:cs="Times New Roman"/>
          <w:i/>
          <w:sz w:val="28"/>
          <w:szCs w:val="28"/>
        </w:rPr>
        <w:t xml:space="preserve"> </w:t>
      </w:r>
      <w:r w:rsidRPr="00522104">
        <w:rPr>
          <w:rFonts w:ascii="Times New Roman" w:hAnsi="Times New Roman" w:cs="Times New Roman"/>
          <w:sz w:val="28"/>
          <w:szCs w:val="28"/>
        </w:rPr>
        <w:t>законопроектом на 2022 год планируются бюджетные ассигнования в сумме 3060,94 млн рублей, или больше на 3058,74 млн рублей, чем утверждено на 2022 год (2,20 млн рублей), на 2021 год – 2,18 млн рублей, в том числе на:</w:t>
      </w:r>
    </w:p>
    <w:p w14:paraId="15A42FAE" w14:textId="653C95DE" w:rsidR="00827437" w:rsidRPr="00522104" w:rsidRDefault="00827437" w:rsidP="00827437">
      <w:pPr>
        <w:pStyle w:val="af0"/>
        <w:spacing w:before="0" w:beforeAutospacing="0" w:after="0" w:afterAutospacing="0"/>
        <w:ind w:firstLine="709"/>
        <w:jc w:val="both"/>
        <w:rPr>
          <w:sz w:val="28"/>
          <w:szCs w:val="28"/>
        </w:rPr>
      </w:pPr>
      <w:r w:rsidRPr="00522104">
        <w:rPr>
          <w:sz w:val="28"/>
          <w:szCs w:val="28"/>
        </w:rPr>
        <w:t>субвенцию на регистрацию и учет граждан, имеющих право на получение жилищных субсидий в связи с переселением из районов Крайнего Севера и</w:t>
      </w:r>
      <w:r w:rsidR="00CB71E2" w:rsidRPr="00522104">
        <w:rPr>
          <w:sz w:val="28"/>
          <w:szCs w:val="28"/>
        </w:rPr>
        <w:t xml:space="preserve"> приравненных к ним местностей –</w:t>
      </w:r>
      <w:r w:rsidRPr="00522104">
        <w:rPr>
          <w:sz w:val="28"/>
          <w:szCs w:val="28"/>
        </w:rPr>
        <w:t xml:space="preserve"> 2,22 млн рублей (в 2021 году – 2,18 млн рублей), или с ростом на 1,85 %. Целевой показатель данного мероприятия – количество граждан, имеющих право на получение жилищных субсидий в связи с переселением из районов Крайнего Севера и приравненных к ним местностей, поставленных на учет – 5 человек ежегодно. За 9 месяцев 2021 года осуществлено финансирование муниципальных образований в сумме 1,53 млн рублей, или 70,06 %;</w:t>
      </w:r>
    </w:p>
    <w:p w14:paraId="56C5DBA2"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включены средства федерального бюджета на обеспечение жильем граждан, уволенных с военной службы и приравненных к ним лиц – 58,72 млн рублей. На 2022 год федеральные субвенции запланированы бюджетам 5 муниципальных образований Приморского края;</w:t>
      </w:r>
    </w:p>
    <w:p w14:paraId="7F87C33E" w14:textId="47A8A391"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бюджетные инвестиции акционерному обществу "Корпорация развития </w:t>
      </w:r>
      <w:r w:rsidR="00CB71E2" w:rsidRPr="00522104">
        <w:rPr>
          <w:rFonts w:ascii="Times New Roman" w:hAnsi="Times New Roman" w:cs="Times New Roman"/>
          <w:sz w:val="28"/>
          <w:szCs w:val="28"/>
        </w:rPr>
        <w:t xml:space="preserve">жилищного строительства" (далее – </w:t>
      </w:r>
      <w:r w:rsidRPr="00522104">
        <w:rPr>
          <w:rFonts w:ascii="Times New Roman" w:hAnsi="Times New Roman" w:cs="Times New Roman"/>
          <w:sz w:val="28"/>
          <w:szCs w:val="28"/>
        </w:rPr>
        <w:t>АО "КРЖС") для формирования рынка доступного жилья – 3000,00 млн рублей (на 2023 год – 763,11 млн рублей)</w:t>
      </w:r>
      <w:r w:rsidRPr="00522104">
        <w:rPr>
          <w:rStyle w:val="af"/>
          <w:rFonts w:ascii="Times New Roman" w:hAnsi="Times New Roman" w:cs="Times New Roman"/>
          <w:sz w:val="28"/>
          <w:szCs w:val="28"/>
        </w:rPr>
        <w:footnoteReference w:id="25"/>
      </w:r>
      <w:r w:rsidRPr="00522104">
        <w:rPr>
          <w:rFonts w:ascii="Times New Roman" w:hAnsi="Times New Roman" w:cs="Times New Roman"/>
          <w:sz w:val="28"/>
          <w:szCs w:val="28"/>
        </w:rPr>
        <w:t xml:space="preserve"> в том числе ипотечные займы по 250,00 млн рублей ежегодно – на строительство группы многоквартирных домов в целях развития в Приморском крае рынка цивилизованного арендного жилья </w:t>
      </w:r>
      <w:r w:rsidRPr="00522104">
        <w:rPr>
          <w:rFonts w:ascii="Times New Roman" w:hAnsi="Times New Roman" w:cs="Times New Roman"/>
          <w:sz w:val="28"/>
          <w:szCs w:val="28"/>
          <w:shd w:val="clear" w:color="auto" w:fill="FFFFFF"/>
        </w:rPr>
        <w:t>по программе "Арендное жилье", "Дальневосточная ипотека"</w:t>
      </w:r>
      <w:r w:rsidRPr="00522104">
        <w:rPr>
          <w:rFonts w:ascii="Times New Roman" w:hAnsi="Times New Roman" w:cs="Times New Roman"/>
          <w:sz w:val="28"/>
          <w:szCs w:val="28"/>
        </w:rPr>
        <w:t xml:space="preserve">. </w:t>
      </w:r>
    </w:p>
    <w:p w14:paraId="165A2939" w14:textId="2B97D5EE"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Контрольно-счетная палата обращает внимание на отсутствие нормативных правовых актов Правительства Приморского края:</w:t>
      </w:r>
    </w:p>
    <w:p w14:paraId="1BEC2163"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 предоставлении субвенций из краевого бюджета бюджетам муниципальных образований Приморского края на обеспечение жильем граждан, уволенных с военной службы и приравненных к ним лиц;</w:t>
      </w:r>
    </w:p>
    <w:p w14:paraId="4CC996D9" w14:textId="7F5EE15C"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 предоставлении бюджетных инвестиций в 2022 году в сумме 3000,00 млн рублей, в 2023 году – 763,11 млн рублей. Кроме того, в приложении № 1 к ГП отсутствует целевой показатель, характеризующий </w:t>
      </w:r>
      <w:r w:rsidRPr="00522104">
        <w:rPr>
          <w:rFonts w:ascii="Times New Roman" w:hAnsi="Times New Roman" w:cs="Times New Roman"/>
          <w:bCs/>
          <w:sz w:val="28"/>
          <w:szCs w:val="28"/>
        </w:rPr>
        <w:t xml:space="preserve">темпы реализации программы "Арендное жилье" (планируемые мощности, тыс. арендных квартир). Согласно </w:t>
      </w:r>
      <w:r w:rsidRPr="00522104">
        <w:rPr>
          <w:rFonts w:ascii="Times New Roman" w:hAnsi="Times New Roman" w:cs="Times New Roman"/>
          <w:sz w:val="28"/>
          <w:szCs w:val="28"/>
          <w:shd w:val="clear" w:color="auto" w:fill="FFFFFF"/>
        </w:rPr>
        <w:t>информации, размещенной на официальном сайте Правительства Приморского края</w:t>
      </w:r>
      <w:r w:rsidR="00CB71E2" w:rsidRPr="00522104">
        <w:rPr>
          <w:rFonts w:ascii="Times New Roman" w:hAnsi="Times New Roman" w:cs="Times New Roman"/>
          <w:sz w:val="28"/>
          <w:szCs w:val="28"/>
          <w:shd w:val="clear" w:color="auto" w:fill="FFFFFF"/>
        </w:rPr>
        <w:t>,</w:t>
      </w:r>
      <w:r w:rsidRPr="00522104">
        <w:rPr>
          <w:rFonts w:ascii="Times New Roman" w:hAnsi="Times New Roman" w:cs="Times New Roman"/>
          <w:sz w:val="28"/>
          <w:szCs w:val="28"/>
          <w:shd w:val="clear" w:color="auto" w:fill="FFFFFF"/>
        </w:rPr>
        <w:t xml:space="preserve"> </w:t>
      </w:r>
      <w:r w:rsidRPr="00522104">
        <w:rPr>
          <w:rFonts w:ascii="Times New Roman" w:hAnsi="Times New Roman" w:cs="Times New Roman"/>
          <w:sz w:val="28"/>
          <w:szCs w:val="28"/>
        </w:rPr>
        <w:t>в рамках программы "</w:t>
      </w:r>
      <w:r w:rsidR="00CB71E2" w:rsidRPr="00522104">
        <w:rPr>
          <w:rFonts w:ascii="Times New Roman" w:hAnsi="Times New Roman" w:cs="Times New Roman"/>
          <w:sz w:val="28"/>
          <w:szCs w:val="28"/>
        </w:rPr>
        <w:t>в ближайшие два года в Приморье</w:t>
      </w:r>
      <w:r w:rsidRPr="00522104">
        <w:rPr>
          <w:rFonts w:ascii="Times New Roman" w:hAnsi="Times New Roman" w:cs="Times New Roman"/>
          <w:sz w:val="28"/>
          <w:szCs w:val="28"/>
        </w:rPr>
        <w:t xml:space="preserve"> планируют сдать около 100 тыс. кв. метров арендного жилья – это почти 2 тысячи квартир на льготных условиях для специалистов края".</w:t>
      </w:r>
    </w:p>
    <w:p w14:paraId="6CACF266" w14:textId="75F881D3" w:rsidR="00827437" w:rsidRPr="00522104" w:rsidRDefault="00827437" w:rsidP="00827437">
      <w:pPr>
        <w:pStyle w:val="af1"/>
        <w:spacing w:after="0" w:line="240" w:lineRule="auto"/>
        <w:ind w:left="0" w:firstLine="709"/>
        <w:jc w:val="both"/>
        <w:rPr>
          <w:rFonts w:ascii="Times New Roman" w:hAnsi="Times New Roman" w:cs="Times New Roman"/>
          <w:sz w:val="28"/>
          <w:szCs w:val="28"/>
        </w:rPr>
      </w:pPr>
      <w:r w:rsidRPr="00522104">
        <w:rPr>
          <w:rFonts w:ascii="Times New Roman" w:hAnsi="Times New Roman" w:cs="Times New Roman"/>
          <w:sz w:val="28"/>
          <w:szCs w:val="28"/>
        </w:rPr>
        <w:t>По информации министерства строительства Приморского края, строительство многоквартирных жилых домов, предназначенных для сдачи в коммерческий найм на территории Приморского края</w:t>
      </w:r>
      <w:r w:rsidR="00CB71E2" w:rsidRPr="00522104">
        <w:rPr>
          <w:rFonts w:ascii="Times New Roman" w:hAnsi="Times New Roman" w:cs="Times New Roman"/>
          <w:sz w:val="28"/>
          <w:szCs w:val="28"/>
        </w:rPr>
        <w:t>,</w:t>
      </w:r>
      <w:r w:rsidRPr="00522104">
        <w:rPr>
          <w:rFonts w:ascii="Times New Roman" w:hAnsi="Times New Roman" w:cs="Times New Roman"/>
          <w:sz w:val="28"/>
          <w:szCs w:val="28"/>
        </w:rPr>
        <w:t xml:space="preserve"> осуществляет АО "КРЖС" с целью создания условий для повышения миграционной активности населения и обеспечения притока квалифицированной рабочей силы в экономически эффективные отрасли Приморского края. Арендное жилье предназначено, прежде всего, для привлекаемых молодых специалистов, специалистов "узких" и "редких" профессий, работников бюджетной сферы, для муниципальных и государственных служащих, сотрудников силовых ведомств. </w:t>
      </w:r>
    </w:p>
    <w:p w14:paraId="41DC1EA7" w14:textId="3B2FF55C"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i/>
          <w:sz w:val="28"/>
          <w:szCs w:val="28"/>
        </w:rPr>
      </w:pPr>
      <w:r w:rsidRPr="00522104">
        <w:rPr>
          <w:rFonts w:ascii="Times New Roman" w:hAnsi="Times New Roman" w:cs="Times New Roman"/>
          <w:i/>
          <w:sz w:val="28"/>
          <w:szCs w:val="28"/>
        </w:rPr>
        <w:t xml:space="preserve">Справочно: </w:t>
      </w:r>
      <w:r w:rsidR="00CB71E2" w:rsidRPr="00522104">
        <w:rPr>
          <w:rFonts w:ascii="Times New Roman" w:hAnsi="Times New Roman" w:cs="Times New Roman"/>
          <w:i/>
          <w:sz w:val="28"/>
          <w:szCs w:val="28"/>
        </w:rPr>
        <w:t>в</w:t>
      </w:r>
      <w:r w:rsidRPr="00522104">
        <w:rPr>
          <w:rFonts w:ascii="Times New Roman" w:hAnsi="Times New Roman" w:cs="Times New Roman"/>
          <w:i/>
          <w:sz w:val="28"/>
          <w:szCs w:val="28"/>
          <w:lang w:eastAsia="ru-RU" w:bidi="ru-RU"/>
        </w:rPr>
        <w:t xml:space="preserve"> 2019 году из краевого бюджета были предоставлены бюджетные инвестиции на</w:t>
      </w:r>
      <w:r w:rsidRPr="00522104">
        <w:rPr>
          <w:rFonts w:ascii="Times New Roman" w:eastAsia="Times New Roman" w:hAnsi="Times New Roman" w:cs="Times New Roman"/>
          <w:i/>
          <w:sz w:val="28"/>
          <w:szCs w:val="28"/>
        </w:rPr>
        <w:t xml:space="preserve"> проведение докапитализации </w:t>
      </w:r>
      <w:r w:rsidR="00084D64" w:rsidRPr="00522104">
        <w:rPr>
          <w:rFonts w:ascii="Times New Roman" w:eastAsia="Times New Roman" w:hAnsi="Times New Roman" w:cs="Times New Roman"/>
          <w:i/>
          <w:sz w:val="28"/>
          <w:szCs w:val="28"/>
        </w:rPr>
        <w:t xml:space="preserve">АО "КРЖС" </w:t>
      </w:r>
      <w:r w:rsidRPr="00522104">
        <w:rPr>
          <w:rFonts w:ascii="Times New Roman" w:eastAsia="Times New Roman" w:hAnsi="Times New Roman" w:cs="Times New Roman"/>
          <w:i/>
          <w:sz w:val="28"/>
          <w:szCs w:val="28"/>
        </w:rPr>
        <w:t>на сумму 5000,0 млн рублей</w:t>
      </w:r>
      <w:r w:rsidRPr="00522104">
        <w:rPr>
          <w:rStyle w:val="af"/>
          <w:rFonts w:ascii="Times New Roman" w:eastAsia="Times New Roman" w:hAnsi="Times New Roman" w:cs="Times New Roman"/>
          <w:i/>
          <w:sz w:val="28"/>
          <w:szCs w:val="28"/>
        </w:rPr>
        <w:footnoteReference w:id="26"/>
      </w:r>
      <w:r w:rsidRPr="00522104">
        <w:rPr>
          <w:rFonts w:ascii="Times New Roman" w:eastAsia="Times New Roman" w:hAnsi="Times New Roman" w:cs="Times New Roman"/>
          <w:i/>
          <w:sz w:val="28"/>
          <w:szCs w:val="28"/>
        </w:rPr>
        <w:t>.</w:t>
      </w:r>
      <w:r w:rsidRPr="00522104">
        <w:rPr>
          <w:rFonts w:ascii="Times New Roman" w:hAnsi="Times New Roman" w:cs="Times New Roman"/>
          <w:i/>
          <w:sz w:val="28"/>
          <w:szCs w:val="28"/>
        </w:rPr>
        <w:t xml:space="preserve"> Кроме того, </w:t>
      </w:r>
      <w:r w:rsidRPr="00522104">
        <w:rPr>
          <w:rFonts w:ascii="Times New Roman" w:hAnsi="Times New Roman" w:cs="Times New Roman"/>
          <w:i/>
          <w:iCs/>
          <w:sz w:val="28"/>
          <w:szCs w:val="28"/>
        </w:rPr>
        <w:t xml:space="preserve">2500,00 млн рублей </w:t>
      </w:r>
      <w:r w:rsidR="00CB71E2" w:rsidRPr="00522104">
        <w:rPr>
          <w:rFonts w:ascii="Times New Roman" w:hAnsi="Times New Roman" w:cs="Times New Roman"/>
          <w:i/>
          <w:iCs/>
          <w:sz w:val="28"/>
          <w:szCs w:val="28"/>
        </w:rPr>
        <w:t>–</w:t>
      </w:r>
      <w:r w:rsidRPr="00522104">
        <w:rPr>
          <w:rFonts w:ascii="Times New Roman" w:hAnsi="Times New Roman" w:cs="Times New Roman"/>
          <w:i/>
          <w:iCs/>
          <w:sz w:val="28"/>
          <w:szCs w:val="28"/>
        </w:rPr>
        <w:t xml:space="preserve"> на строительство объекта капитального строительства "Группа жилых домов №№ 1, 2, 3, 4 в микрорайоне "Солнечный" в г. Большой Камень" для работников судостроительного комплекса "Звезда" в соответствии с планом социального развития центров экономического роста Приморского края</w:t>
      </w:r>
      <w:r w:rsidRPr="00522104">
        <w:rPr>
          <w:rStyle w:val="af"/>
          <w:rFonts w:ascii="Times New Roman" w:hAnsi="Times New Roman" w:cs="Times New Roman"/>
          <w:i/>
          <w:iCs/>
          <w:sz w:val="28"/>
          <w:szCs w:val="28"/>
        </w:rPr>
        <w:footnoteReference w:id="27"/>
      </w:r>
      <w:r w:rsidRPr="00522104">
        <w:rPr>
          <w:rFonts w:ascii="Times New Roman" w:hAnsi="Times New Roman" w:cs="Times New Roman"/>
          <w:i/>
          <w:iCs/>
          <w:sz w:val="28"/>
          <w:szCs w:val="28"/>
        </w:rPr>
        <w:t xml:space="preserve">. </w:t>
      </w:r>
      <w:r w:rsidRPr="00522104">
        <w:rPr>
          <w:rFonts w:ascii="Times New Roman" w:hAnsi="Times New Roman" w:cs="Times New Roman"/>
          <w:i/>
          <w:sz w:val="28"/>
          <w:szCs w:val="28"/>
        </w:rPr>
        <w:t>Ввод в эксплуатацию комплекса многоквартирных жилых домов в микрорайоне "Солнечный"</w:t>
      </w:r>
      <w:r w:rsidRPr="00522104">
        <w:rPr>
          <w:rFonts w:ascii="Times New Roman" w:hAnsi="Times New Roman" w:cs="Times New Roman"/>
          <w:i/>
          <w:sz w:val="28"/>
          <w:szCs w:val="28"/>
          <w:shd w:val="clear" w:color="auto" w:fill="FFFFFF"/>
        </w:rPr>
        <w:t xml:space="preserve"> в городе Большой Камень (756 квартир) был перенесен с 2020 года на 2021 год.</w:t>
      </w:r>
    </w:p>
    <w:p w14:paraId="3490C037" w14:textId="7A47952E"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hAnsi="Times New Roman" w:cs="Times New Roman"/>
          <w:i/>
          <w:sz w:val="28"/>
          <w:szCs w:val="28"/>
        </w:rPr>
        <w:t>В 2021 году запланировано сдать около 1357 квартир (из них в г.</w:t>
      </w:r>
      <w:r w:rsidR="00CB71E2" w:rsidRPr="00522104">
        <w:rPr>
          <w:rFonts w:ascii="Times New Roman" w:hAnsi="Times New Roman" w:cs="Times New Roman"/>
          <w:i/>
          <w:sz w:val="28"/>
          <w:szCs w:val="28"/>
        </w:rPr>
        <w:t> </w:t>
      </w:r>
      <w:r w:rsidRPr="00522104">
        <w:rPr>
          <w:rFonts w:ascii="Times New Roman" w:hAnsi="Times New Roman" w:cs="Times New Roman"/>
          <w:i/>
          <w:sz w:val="28"/>
          <w:szCs w:val="28"/>
        </w:rPr>
        <w:t xml:space="preserve">Большой Камень – 881 квартиру, в с. Чугуевка Чугуевского муниципального округа – 60, п. Камень-Рыболов – 40, г. Уссурийске – 228, г. Владивостоке – 72, с. Яковлевка Яковлевского муниципального района – 36). За 9 месяцев 2021 года </w:t>
      </w:r>
      <w:r w:rsidRPr="00522104">
        <w:rPr>
          <w:rFonts w:ascii="Times New Roman" w:hAnsi="Times New Roman" w:cs="Times New Roman"/>
          <w:i/>
          <w:sz w:val="28"/>
          <w:szCs w:val="28"/>
          <w:shd w:val="clear" w:color="auto" w:fill="FFFFFF"/>
        </w:rPr>
        <w:t>построены и введены в эксплуатацию 2 многоквартирных дома</w:t>
      </w:r>
      <w:r w:rsidRPr="00522104">
        <w:rPr>
          <w:rFonts w:ascii="Times New Roman" w:eastAsia="Times New Roman" w:hAnsi="Times New Roman" w:cs="Times New Roman"/>
          <w:i/>
          <w:sz w:val="28"/>
          <w:szCs w:val="28"/>
          <w:lang w:eastAsia="ru-RU"/>
        </w:rPr>
        <w:t xml:space="preserve"> (114 арендных квартир) </w:t>
      </w:r>
      <w:hyperlink r:id="rId36" w:history="1">
        <w:r w:rsidRPr="00522104">
          <w:rPr>
            <w:rFonts w:ascii="Times New Roman" w:eastAsia="Times New Roman" w:hAnsi="Times New Roman" w:cs="Times New Roman"/>
            <w:i/>
            <w:sz w:val="28"/>
            <w:szCs w:val="28"/>
            <w:lang w:eastAsia="ru-RU"/>
          </w:rPr>
          <w:t>в Уссурийске в микрорайоне Радужный</w:t>
        </w:r>
      </w:hyperlink>
      <w:r w:rsidRPr="00522104">
        <w:rPr>
          <w:rFonts w:ascii="Times New Roman" w:eastAsia="Times New Roman" w:hAnsi="Times New Roman" w:cs="Times New Roman"/>
          <w:i/>
          <w:sz w:val="28"/>
          <w:szCs w:val="28"/>
          <w:lang w:eastAsia="ru-RU"/>
        </w:rPr>
        <w:t xml:space="preserve">, </w:t>
      </w:r>
      <w:r w:rsidRPr="00522104">
        <w:rPr>
          <w:rFonts w:ascii="Times New Roman" w:hAnsi="Times New Roman" w:cs="Times New Roman"/>
          <w:i/>
          <w:sz w:val="28"/>
          <w:szCs w:val="28"/>
          <w:shd w:val="clear" w:color="auto" w:fill="FFFFFF"/>
        </w:rPr>
        <w:t xml:space="preserve">еще 2 дома на территории Уссурийского городского округа запланированы к сдаче до конца октября 2021 года. Реконструирован объект по ул. </w:t>
      </w:r>
      <w:r w:rsidRPr="00522104">
        <w:rPr>
          <w:rFonts w:ascii="Times New Roman" w:eastAsia="Calibri" w:hAnsi="Times New Roman" w:cs="Times New Roman"/>
          <w:i/>
          <w:sz w:val="28"/>
          <w:szCs w:val="28"/>
        </w:rPr>
        <w:t>Спиридонова, 11 в г.</w:t>
      </w:r>
      <w:r w:rsidR="00CB71E2" w:rsidRPr="00522104">
        <w:rPr>
          <w:rFonts w:ascii="Times New Roman" w:eastAsia="Calibri" w:hAnsi="Times New Roman" w:cs="Times New Roman"/>
          <w:i/>
          <w:sz w:val="28"/>
          <w:szCs w:val="28"/>
        </w:rPr>
        <w:t> </w:t>
      </w:r>
      <w:r w:rsidRPr="00522104">
        <w:rPr>
          <w:rFonts w:ascii="Times New Roman" w:eastAsia="Calibri" w:hAnsi="Times New Roman" w:cs="Times New Roman"/>
          <w:i/>
          <w:sz w:val="28"/>
          <w:szCs w:val="28"/>
        </w:rPr>
        <w:t>Владивостоке (72</w:t>
      </w:r>
      <w:r w:rsidRPr="00522104">
        <w:rPr>
          <w:rFonts w:ascii="Times New Roman" w:eastAsia="Times New Roman" w:hAnsi="Times New Roman" w:cs="Times New Roman"/>
          <w:bCs/>
          <w:i/>
          <w:sz w:val="28"/>
          <w:szCs w:val="28"/>
          <w:lang w:eastAsia="ru-RU"/>
        </w:rPr>
        <w:t xml:space="preserve"> арендных квартир</w:t>
      </w:r>
      <w:r w:rsidR="00CB71E2" w:rsidRPr="00522104">
        <w:rPr>
          <w:rFonts w:ascii="Times New Roman" w:eastAsia="Times New Roman" w:hAnsi="Times New Roman" w:cs="Times New Roman"/>
          <w:bCs/>
          <w:i/>
          <w:sz w:val="28"/>
          <w:szCs w:val="28"/>
          <w:lang w:eastAsia="ru-RU"/>
        </w:rPr>
        <w:t>ы</w:t>
      </w:r>
      <w:r w:rsidRPr="00522104">
        <w:rPr>
          <w:rFonts w:ascii="Times New Roman" w:eastAsia="Times New Roman" w:hAnsi="Times New Roman" w:cs="Times New Roman"/>
          <w:bCs/>
          <w:i/>
          <w:sz w:val="28"/>
          <w:szCs w:val="28"/>
          <w:lang w:eastAsia="ru-RU"/>
        </w:rPr>
        <w:t xml:space="preserve"> для сотрудников бюджетной сферы). </w:t>
      </w:r>
      <w:r w:rsidRPr="00522104">
        <w:rPr>
          <w:rFonts w:ascii="Times New Roman" w:eastAsia="Times New Roman" w:hAnsi="Times New Roman" w:cs="Times New Roman"/>
          <w:i/>
          <w:sz w:val="28"/>
          <w:szCs w:val="28"/>
          <w:lang w:eastAsia="ru-RU"/>
        </w:rPr>
        <w:t>Под арендное жилье реконструировано здание бывшего общежития Дальневосточного федерального университета, расположенного по адресу: улица Спиридонова, 11. Сейчас это современный дом с отремонтированными одно- и двухкомнатными квартирами, удобной парковкой. Стоимость аренды квартиры составляет от 15 тысяч рублей</w:t>
      </w:r>
      <w:r w:rsidRPr="00522104">
        <w:rPr>
          <w:rStyle w:val="af"/>
          <w:rFonts w:ascii="Times New Roman" w:eastAsia="Times New Roman" w:hAnsi="Times New Roman" w:cs="Times New Roman"/>
          <w:i/>
          <w:sz w:val="28"/>
          <w:szCs w:val="28"/>
          <w:lang w:eastAsia="ru-RU"/>
        </w:rPr>
        <w:footnoteReference w:id="28"/>
      </w:r>
      <w:r w:rsidRPr="00522104">
        <w:rPr>
          <w:rFonts w:ascii="Times New Roman" w:eastAsia="Times New Roman" w:hAnsi="Times New Roman" w:cs="Times New Roman"/>
          <w:i/>
          <w:sz w:val="28"/>
          <w:szCs w:val="28"/>
          <w:lang w:eastAsia="ru-RU"/>
        </w:rPr>
        <w:t xml:space="preserve"> в месяц с правом выкупа, используя льготный ипотечный займ. </w:t>
      </w:r>
      <w:r w:rsidRPr="00522104">
        <w:rPr>
          <w:rFonts w:ascii="Times New Roman" w:hAnsi="Times New Roman" w:cs="Times New Roman"/>
          <w:i/>
          <w:sz w:val="28"/>
          <w:szCs w:val="28"/>
        </w:rPr>
        <w:t>Кроме того, по решению главы муниципального образования, руководителя предприятия, возможно субсидирование сотруднику части оплаты стоимости аренды.</w:t>
      </w:r>
    </w:p>
    <w:p w14:paraId="302AC5C3" w14:textId="77777777"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eastAsia="Calibri" w:hAnsi="Times New Roman" w:cs="Times New Roman"/>
          <w:i/>
          <w:sz w:val="28"/>
          <w:szCs w:val="28"/>
        </w:rPr>
        <w:t>В</w:t>
      </w:r>
      <w:r w:rsidRPr="00522104">
        <w:rPr>
          <w:rFonts w:ascii="Times New Roman" w:hAnsi="Times New Roman" w:cs="Times New Roman"/>
          <w:i/>
          <w:sz w:val="28"/>
          <w:szCs w:val="28"/>
        </w:rPr>
        <w:t xml:space="preserve"> декабре 2021 года запланирован ввод в эксплуатацию комплекса многоквартирных жилых домов в микрорайоне "Солнечный" в г. Большой Камень (756 квартир) для нужд сотрудников ССК "Звезда".</w:t>
      </w:r>
    </w:p>
    <w:p w14:paraId="73F1A420" w14:textId="6B801A8C" w:rsidR="00827437" w:rsidRPr="00522104" w:rsidRDefault="00827437" w:rsidP="00CB71E2">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В целях реализации </w:t>
      </w:r>
      <w:r w:rsidRPr="00522104">
        <w:rPr>
          <w:rFonts w:ascii="Times New Roman" w:eastAsia="Times New Roman" w:hAnsi="Times New Roman" w:cs="Times New Roman"/>
          <w:sz w:val="28"/>
          <w:szCs w:val="28"/>
          <w:lang w:eastAsia="ru-RU"/>
        </w:rPr>
        <w:t xml:space="preserve">РП </w:t>
      </w:r>
      <w:hyperlink r:id="rId37" w:tgtFrame="_blank" w:history="1">
        <w:r w:rsidRPr="00522104">
          <w:rPr>
            <w:rFonts w:ascii="Times New Roman" w:eastAsia="Calibri" w:hAnsi="Times New Roman" w:cs="Times New Roman"/>
            <w:sz w:val="28"/>
            <w:szCs w:val="28"/>
            <w:lang w:eastAsia="ru-RU"/>
          </w:rPr>
          <w:t>"Жилье"</w:t>
        </w:r>
      </w:hyperlink>
      <w:r w:rsidRPr="00522104">
        <w:rPr>
          <w:rFonts w:ascii="Times New Roman" w:eastAsia="Calibri" w:hAnsi="Times New Roman" w:cs="Times New Roman"/>
          <w:sz w:val="28"/>
          <w:szCs w:val="28"/>
          <w:lang w:eastAsia="ru-RU"/>
        </w:rPr>
        <w:t xml:space="preserve"> (Приморский край) </w:t>
      </w:r>
      <w:r w:rsidRPr="00522104">
        <w:rPr>
          <w:rFonts w:ascii="Times New Roman" w:hAnsi="Times New Roman" w:cs="Times New Roman"/>
          <w:spacing w:val="-2"/>
          <w:sz w:val="28"/>
          <w:szCs w:val="28"/>
        </w:rPr>
        <w:t>созданы стимулы для застройщиков для реализации масштабных проектов комплексного развития территории, средства на которые предусмотрены в рамках реализации мероприятия по стимулированию программ развития жилищного строительства субъектов Российской Федерации. Так, с</w:t>
      </w:r>
      <w:r w:rsidRPr="00522104">
        <w:rPr>
          <w:rFonts w:ascii="Times New Roman" w:hAnsi="Times New Roman" w:cs="Times New Roman"/>
          <w:sz w:val="28"/>
          <w:szCs w:val="28"/>
        </w:rPr>
        <w:t xml:space="preserve"> января 2022 года в Приморском крае налоговая ставка на имущество организаций для застройщиков, которые реализуют проекты арендного жилья, снижается до 0,1 %</w:t>
      </w:r>
      <w:r w:rsidRPr="00522104">
        <w:rPr>
          <w:rStyle w:val="af"/>
          <w:rFonts w:ascii="Times New Roman" w:hAnsi="Times New Roman" w:cs="Times New Roman"/>
          <w:sz w:val="28"/>
          <w:szCs w:val="28"/>
        </w:rPr>
        <w:footnoteReference w:id="29"/>
      </w:r>
      <w:r w:rsidRPr="00522104">
        <w:rPr>
          <w:rFonts w:ascii="Times New Roman" w:hAnsi="Times New Roman" w:cs="Times New Roman"/>
          <w:sz w:val="28"/>
          <w:szCs w:val="28"/>
        </w:rPr>
        <w:t>. Мера будет действовать в течение двух лет</w:t>
      </w:r>
      <w:r w:rsidR="00DC72F5" w:rsidRPr="00522104">
        <w:rPr>
          <w:rFonts w:ascii="Times New Roman" w:hAnsi="Times New Roman" w:cs="Times New Roman"/>
          <w:sz w:val="28"/>
          <w:szCs w:val="28"/>
        </w:rPr>
        <w:t>:</w:t>
      </w:r>
      <w:r w:rsidRPr="00522104">
        <w:rPr>
          <w:rFonts w:ascii="Times New Roman" w:hAnsi="Times New Roman" w:cs="Times New Roman"/>
          <w:sz w:val="28"/>
          <w:szCs w:val="28"/>
        </w:rPr>
        <w:t xml:space="preserve"> с января 2022 года до конца 2024 года. </w:t>
      </w:r>
      <w:r w:rsidRPr="00522104">
        <w:rPr>
          <w:rFonts w:ascii="Times New Roman" w:eastAsia="Calibri" w:hAnsi="Times New Roman" w:cs="Times New Roman"/>
          <w:sz w:val="28"/>
          <w:szCs w:val="28"/>
          <w:lang w:eastAsia="ru-RU"/>
        </w:rPr>
        <w:t>Н</w:t>
      </w:r>
      <w:r w:rsidRPr="00522104">
        <w:rPr>
          <w:rFonts w:ascii="Times New Roman" w:hAnsi="Times New Roman" w:cs="Times New Roman"/>
          <w:sz w:val="28"/>
          <w:szCs w:val="28"/>
        </w:rPr>
        <w:t>алоговая льгота входит в комплекс мер по созданию организованного рынка аренды жилья. Благодаря сниженной налоговой ставке в крае вырастет количество предложений качественного жилья, отвечающего современным стандартам. Застройщики снизят свои издержки, соответственно цены на квартиры снизятся – таким образом жители получат поддержку.</w:t>
      </w:r>
    </w:p>
    <w:p w14:paraId="18325B1C" w14:textId="2C875862" w:rsidR="00827437" w:rsidRPr="00522104" w:rsidRDefault="00827437" w:rsidP="00827437">
      <w:pPr>
        <w:pStyle w:val="af0"/>
        <w:spacing w:before="0" w:beforeAutospacing="0" w:after="0" w:afterAutospacing="0"/>
        <w:ind w:firstLine="709"/>
        <w:jc w:val="both"/>
        <w:rPr>
          <w:sz w:val="28"/>
          <w:szCs w:val="28"/>
        </w:rPr>
      </w:pPr>
      <w:r w:rsidRPr="00522104">
        <w:rPr>
          <w:sz w:val="28"/>
          <w:szCs w:val="28"/>
        </w:rPr>
        <w:t>Законопроектом инициируется налоговая льгота для застройщиков: с текущего уровня в 2,7</w:t>
      </w:r>
      <w:r w:rsidR="00DC72F5" w:rsidRPr="00522104">
        <w:rPr>
          <w:sz w:val="28"/>
          <w:szCs w:val="28"/>
        </w:rPr>
        <w:t xml:space="preserve"> </w:t>
      </w:r>
      <w:r w:rsidRPr="00522104">
        <w:rPr>
          <w:sz w:val="28"/>
          <w:szCs w:val="28"/>
        </w:rPr>
        <w:t>% ставка на имущество организаций опустится до 0,1%. Правительство Приморского края будет оценивать налоговую отчётность, поступление и соблюдение бюджетного и налогового законодательства.</w:t>
      </w:r>
    </w:p>
    <w:p w14:paraId="5EDE01D5" w14:textId="4E5E88F1"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"Стимулирование развития жилищного строительства на территории Приморского края"</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законопроектом на 2022 год запланировано 219,58 млн рублей, то есть увеличение расходов по сравнению с утвержденными назначениями на 134,83 млн рублей, на 2021 год</w:t>
      </w:r>
      <w:r w:rsidR="009E1EBE"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 на 85,10 млн рублей. </w:t>
      </w:r>
    </w:p>
    <w:p w14:paraId="05F93F38"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Подпрограммой планируется увеличение объема жилищного строительства для создания условий для развития массового жилищного строительства, в том числе малоэтажного. Прогнозы ввода жилых домов в соответствии с вариантами развития экономики планируются следующие:</w:t>
      </w:r>
    </w:p>
    <w:p w14:paraId="45FAFDF7" w14:textId="0AEB541B"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по базовому варианту развития экономики: на 2022 год </w:t>
      </w:r>
      <w:r w:rsidR="009E1EBE" w:rsidRPr="00522104">
        <w:rPr>
          <w:rFonts w:ascii="Times New Roman" w:hAnsi="Times New Roman" w:cs="Times New Roman"/>
          <w:sz w:val="28"/>
          <w:szCs w:val="28"/>
        </w:rPr>
        <w:t>–</w:t>
      </w:r>
      <w:r w:rsidRPr="00522104">
        <w:rPr>
          <w:rFonts w:ascii="Times New Roman" w:hAnsi="Times New Roman" w:cs="Times New Roman"/>
          <w:sz w:val="28"/>
          <w:szCs w:val="28"/>
        </w:rPr>
        <w:t xml:space="preserve"> 1000 тыс. кв. метров, на 2023 год – 1500 тыс. кв. метров, на 2024 год – 1300 тыс. кв. метров;</w:t>
      </w:r>
    </w:p>
    <w:p w14:paraId="48EDD687"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 консервативному варианту – 750 тыс. кв. метров, на 2023 год – 800 тыс. кв. метров, на 2024 год – 850 тыс. кв. метров.</w:t>
      </w:r>
    </w:p>
    <w:p w14:paraId="674BE52A" w14:textId="3A08251D"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Динамика изменений объемов жилищного строительства показывает, что </w:t>
      </w:r>
      <w:r w:rsidR="009E1EBE" w:rsidRPr="00522104">
        <w:rPr>
          <w:rFonts w:ascii="Times New Roman" w:hAnsi="Times New Roman" w:cs="Times New Roman"/>
          <w:sz w:val="28"/>
          <w:szCs w:val="28"/>
        </w:rPr>
        <w:t xml:space="preserve">в </w:t>
      </w:r>
      <w:r w:rsidRPr="00522104">
        <w:rPr>
          <w:rFonts w:ascii="Times New Roman" w:hAnsi="Times New Roman" w:cs="Times New Roman"/>
          <w:sz w:val="28"/>
          <w:szCs w:val="28"/>
        </w:rPr>
        <w:t>2020 год</w:t>
      </w:r>
      <w:r w:rsidR="009E1EBE" w:rsidRPr="00522104">
        <w:rPr>
          <w:rFonts w:ascii="Times New Roman" w:hAnsi="Times New Roman" w:cs="Times New Roman"/>
          <w:sz w:val="28"/>
          <w:szCs w:val="28"/>
        </w:rPr>
        <w:t>у</w:t>
      </w:r>
      <w:r w:rsidRPr="00522104">
        <w:rPr>
          <w:rFonts w:ascii="Times New Roman" w:hAnsi="Times New Roman" w:cs="Times New Roman"/>
          <w:sz w:val="28"/>
          <w:szCs w:val="28"/>
        </w:rPr>
        <w:t xml:space="preserve"> план 590,00 тыс. кв. метров перевыполнен на 60,40 тыс. кв. метров, или на 10,24 %</w:t>
      </w:r>
      <w:r w:rsidR="009E1EBE" w:rsidRPr="00522104">
        <w:rPr>
          <w:rFonts w:ascii="Times New Roman" w:hAnsi="Times New Roman" w:cs="Times New Roman"/>
          <w:sz w:val="28"/>
          <w:szCs w:val="28"/>
        </w:rPr>
        <w:t>,</w:t>
      </w:r>
      <w:r w:rsidRPr="00522104">
        <w:rPr>
          <w:rFonts w:ascii="Times New Roman" w:hAnsi="Times New Roman" w:cs="Times New Roman"/>
          <w:sz w:val="28"/>
          <w:szCs w:val="28"/>
        </w:rPr>
        <w:t xml:space="preserve"> и составил 650,40 тыс. кв. метров (в том числе индивидуальное строительство – 238 тыс. кв. м жилья). В 2021 году план 800,00 тыс. кв. метров, на 01.09.2021 исполнение составило уже 509 тыс. кв. метров, или 63,63 % (из них 183,00 тыс. кв. метров индивидуальное жилье). Согласно информации министерства строительства Российской Федерации</w:t>
      </w:r>
      <w:r w:rsidR="00D57AC9" w:rsidRPr="00522104">
        <w:rPr>
          <w:rFonts w:ascii="Times New Roman" w:hAnsi="Times New Roman" w:cs="Times New Roman"/>
          <w:sz w:val="28"/>
          <w:szCs w:val="28"/>
        </w:rPr>
        <w:t>,</w:t>
      </w:r>
      <w:r w:rsidRPr="00522104">
        <w:rPr>
          <w:rFonts w:ascii="Times New Roman" w:hAnsi="Times New Roman" w:cs="Times New Roman"/>
          <w:sz w:val="28"/>
          <w:szCs w:val="28"/>
        </w:rPr>
        <w:t xml:space="preserve"> динамика ввода жилья за год в среднем по России 30,00 %, Приморский край занимает 17 место среди субъектов Российской Федерации. </w:t>
      </w:r>
    </w:p>
    <w:p w14:paraId="65A35A37" w14:textId="77777777" w:rsidR="00827437" w:rsidRPr="00522104" w:rsidRDefault="00827437" w:rsidP="00827437">
      <w:pPr>
        <w:autoSpaceDE w:val="0"/>
        <w:autoSpaceDN w:val="0"/>
        <w:adjustRightInd w:val="0"/>
        <w:spacing w:after="0" w:line="240" w:lineRule="auto"/>
        <w:ind w:firstLine="708"/>
        <w:jc w:val="both"/>
        <w:rPr>
          <w:rFonts w:ascii="Times New Roman" w:eastAsia="Arial Unicode MS" w:hAnsi="Times New Roman" w:cs="Times New Roman"/>
          <w:sz w:val="28"/>
          <w:szCs w:val="28"/>
          <w:lang w:eastAsia="zh-CN"/>
        </w:rPr>
      </w:pPr>
      <w:r w:rsidRPr="00522104">
        <w:rPr>
          <w:rFonts w:ascii="Times New Roman" w:eastAsia="Times New Roman" w:hAnsi="Times New Roman" w:cs="Times New Roman"/>
          <w:sz w:val="28"/>
          <w:szCs w:val="28"/>
          <w:lang w:eastAsia="ru-RU"/>
        </w:rPr>
        <w:t xml:space="preserve">Целью РП </w:t>
      </w:r>
      <w:hyperlink r:id="rId38" w:tgtFrame="_blank" w:history="1">
        <w:r w:rsidRPr="00522104">
          <w:rPr>
            <w:rFonts w:ascii="Times New Roman" w:eastAsia="Calibri" w:hAnsi="Times New Roman" w:cs="Times New Roman"/>
            <w:sz w:val="28"/>
            <w:szCs w:val="28"/>
            <w:lang w:eastAsia="ru-RU"/>
          </w:rPr>
          <w:t>"Жилье"</w:t>
        </w:r>
      </w:hyperlink>
      <w:r w:rsidRPr="00522104">
        <w:rPr>
          <w:rFonts w:ascii="Times New Roman" w:eastAsia="Calibri" w:hAnsi="Times New Roman" w:cs="Times New Roman"/>
          <w:sz w:val="28"/>
          <w:szCs w:val="28"/>
          <w:lang w:eastAsia="ru-RU"/>
        </w:rPr>
        <w:t xml:space="preserve"> (Приморский край) является увеличение объемов жилищного строительства в Приморском крае к 2030 году до </w:t>
      </w:r>
      <w:r w:rsidRPr="00522104">
        <w:rPr>
          <w:rFonts w:ascii="Times New Roman" w:eastAsia="Arial Unicode MS" w:hAnsi="Times New Roman" w:cs="Times New Roman"/>
          <w:sz w:val="28"/>
          <w:szCs w:val="28"/>
          <w:lang w:eastAsia="zh-CN"/>
        </w:rPr>
        <w:t xml:space="preserve">2,00 млн кв. метров, </w:t>
      </w:r>
      <w:r w:rsidRPr="00522104">
        <w:rPr>
          <w:rFonts w:ascii="Times New Roman" w:eastAsia="Times New Roman" w:hAnsi="Times New Roman" w:cs="Times New Roman"/>
          <w:sz w:val="28"/>
          <w:szCs w:val="28"/>
          <w:lang w:eastAsia="ru-RU"/>
        </w:rPr>
        <w:t>п</w:t>
      </w:r>
      <w:r w:rsidRPr="00522104">
        <w:rPr>
          <w:rFonts w:ascii="Times New Roman" w:eastAsia="Times New Roman" w:hAnsi="Times New Roman" w:cs="Times New Roman"/>
          <w:spacing w:val="-2"/>
          <w:sz w:val="28"/>
          <w:szCs w:val="28"/>
        </w:rPr>
        <w:t xml:space="preserve">лощадь земельных участков, вовлеченных в оборот в целях жилищного строительства – 200 га, улучшение жилищных условий </w:t>
      </w:r>
      <w:r w:rsidRPr="00522104">
        <w:rPr>
          <w:rFonts w:ascii="Times New Roman" w:eastAsia="Times New Roman" w:hAnsi="Times New Roman" w:cs="Times New Roman"/>
          <w:sz w:val="28"/>
          <w:szCs w:val="28"/>
          <w:lang w:eastAsia="ru-RU"/>
        </w:rPr>
        <w:t>н</w:t>
      </w:r>
      <w:r w:rsidRPr="00522104">
        <w:rPr>
          <w:rFonts w:ascii="Times New Roman" w:eastAsia="Times New Roman" w:hAnsi="Times New Roman" w:cs="Times New Roman"/>
          <w:spacing w:val="-2"/>
          <w:sz w:val="28"/>
          <w:szCs w:val="28"/>
        </w:rPr>
        <w:t>е менее 5 млн семей ежегодно</w:t>
      </w:r>
      <w:r w:rsidRPr="00522104">
        <w:rPr>
          <w:rFonts w:ascii="Times New Roman" w:eastAsia="Arial Unicode MS" w:hAnsi="Times New Roman" w:cs="Times New Roman"/>
          <w:sz w:val="28"/>
          <w:szCs w:val="28"/>
          <w:lang w:eastAsia="zh-CN"/>
        </w:rPr>
        <w:t>.</w:t>
      </w:r>
    </w:p>
    <w:p w14:paraId="46C8E7A4" w14:textId="50563695" w:rsidR="00827437" w:rsidRPr="00522104" w:rsidRDefault="00827437" w:rsidP="00827437">
      <w:pPr>
        <w:pStyle w:val="western"/>
        <w:spacing w:before="0" w:beforeAutospacing="0" w:after="0" w:afterAutospacing="0" w:line="240" w:lineRule="atLeast"/>
        <w:ind w:firstLine="567"/>
        <w:jc w:val="both"/>
        <w:rPr>
          <w:i/>
          <w:sz w:val="28"/>
          <w:szCs w:val="28"/>
        </w:rPr>
      </w:pPr>
      <w:r w:rsidRPr="00522104">
        <w:rPr>
          <w:i/>
          <w:sz w:val="28"/>
          <w:szCs w:val="28"/>
        </w:rPr>
        <w:t xml:space="preserve">Справочно: </w:t>
      </w:r>
      <w:r w:rsidR="009E1EBE" w:rsidRPr="00522104">
        <w:rPr>
          <w:i/>
          <w:sz w:val="28"/>
          <w:szCs w:val="28"/>
        </w:rPr>
        <w:t>в</w:t>
      </w:r>
      <w:r w:rsidRPr="00522104">
        <w:rPr>
          <w:i/>
          <w:sz w:val="28"/>
          <w:szCs w:val="28"/>
        </w:rPr>
        <w:t xml:space="preserve"> информации на официальном сайте Правительства Приморского края указано, что на территории Приморского края вовлечено в оборот более 1,4 тысяч гектаров, планируется вовлечение еще около 104 гектаров с градостроительным потенциалом 643,2 тыс. кв. метров. ДОМ.РФ по поручению Президента России выявляет, вовлекает в оборот и проводит градостроительную подготовку неиспользуемых федеральных земель для застройки в Приморском крае.</w:t>
      </w:r>
    </w:p>
    <w:p w14:paraId="246B5B7E" w14:textId="65848EC4"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Times New Roman" w:hAnsi="Times New Roman" w:cs="Times New Roman"/>
          <w:sz w:val="28"/>
          <w:szCs w:val="28"/>
          <w:lang w:eastAsia="ru-RU"/>
        </w:rPr>
        <w:t>Законопроектом на 2022 год, как и на 2021 год (также на 2023 год)</w:t>
      </w:r>
      <w:r w:rsidR="00D57AC9"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планируются без изменений утвержденных назначений расходы </w:t>
      </w:r>
      <w:r w:rsidRPr="00522104">
        <w:rPr>
          <w:rFonts w:ascii="Times New Roman" w:eastAsia="Times New Roman" w:hAnsi="Times New Roman" w:cs="Times New Roman"/>
          <w:sz w:val="28"/>
          <w:szCs w:val="28"/>
          <w:u w:val="single"/>
          <w:lang w:eastAsia="ru-RU"/>
        </w:rPr>
        <w:t>по министерству жилищно-коммунального хозяйства Приморского края</w:t>
      </w:r>
      <w:r w:rsidRPr="00522104">
        <w:rPr>
          <w:rFonts w:ascii="Times New Roman" w:eastAsia="Times New Roman" w:hAnsi="Times New Roman" w:cs="Times New Roman"/>
          <w:sz w:val="28"/>
          <w:szCs w:val="28"/>
          <w:lang w:eastAsia="ru-RU"/>
        </w:rPr>
        <w:t xml:space="preserve"> (</w:t>
      </w:r>
      <w:r w:rsidRPr="00522104">
        <w:rPr>
          <w:rFonts w:ascii="Times New Roman" w:hAnsi="Times New Roman" w:cs="Times New Roman"/>
          <w:sz w:val="28"/>
          <w:szCs w:val="28"/>
        </w:rPr>
        <w:t>по 38,82 млн рублей</w:t>
      </w:r>
      <w:r w:rsidRPr="00522104">
        <w:rPr>
          <w:rFonts w:ascii="Times New Roman" w:eastAsia="Times New Roman" w:hAnsi="Times New Roman" w:cs="Times New Roman"/>
          <w:sz w:val="28"/>
          <w:szCs w:val="28"/>
          <w:lang w:eastAsia="ru-RU"/>
        </w:rPr>
        <w:t xml:space="preserve"> ежегодно) </w:t>
      </w:r>
      <w:r w:rsidRPr="00522104">
        <w:rPr>
          <w:rFonts w:ascii="Times New Roman" w:hAnsi="Times New Roman" w:cs="Times New Roman"/>
          <w:sz w:val="28"/>
          <w:szCs w:val="28"/>
        </w:rPr>
        <w:t xml:space="preserve">бюджетам Арсеньевского и Большой Камень городских округов на обеспечение земельных участков, предоставленных на бесплатной основе гражданам, имеющим трех и более детей, инженерной инфраструктурой. За 9 месяцев 2021 года субсидии направлялись в сумме 21,47 млн рублей, или 55,31 % от плана. </w:t>
      </w:r>
      <w:r w:rsidRPr="00522104">
        <w:rPr>
          <w:rFonts w:ascii="Times New Roman" w:eastAsia="Calibri" w:hAnsi="Times New Roman" w:cs="Times New Roman"/>
          <w:sz w:val="28"/>
          <w:szCs w:val="28"/>
        </w:rPr>
        <w:t>На 2022 и 2023 годы показатель "Количество обеспеченных инженерной инфраструктурой земельных участков, предоставленных гражданам, имеющим трех и более детей, от общего числа земельных участков, предоставленных указанной категории граждан"</w:t>
      </w:r>
      <w:r w:rsidR="009E1EBE"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планируется на уровне 2021 года – 84 земельных участка.</w:t>
      </w:r>
    </w:p>
    <w:p w14:paraId="45A1AD3E" w14:textId="4D703BBE" w:rsidR="00827437" w:rsidRPr="00522104" w:rsidRDefault="00827437" w:rsidP="00827437">
      <w:pPr>
        <w:autoSpaceDE w:val="0"/>
        <w:autoSpaceDN w:val="0"/>
        <w:adjustRightInd w:val="0"/>
        <w:spacing w:after="0" w:line="240" w:lineRule="auto"/>
        <w:ind w:firstLine="708"/>
        <w:jc w:val="both"/>
        <w:rPr>
          <w:rFonts w:ascii="Times New Roman" w:eastAsia="Calibri" w:hAnsi="Times New Roman" w:cs="Times New Roman"/>
          <w:sz w:val="28"/>
          <w:szCs w:val="28"/>
        </w:rPr>
      </w:pPr>
      <w:r w:rsidRPr="00522104">
        <w:rPr>
          <w:rFonts w:ascii="Times New Roman" w:eastAsia="Times New Roman" w:hAnsi="Times New Roman" w:cs="Times New Roman"/>
          <w:sz w:val="28"/>
          <w:szCs w:val="28"/>
          <w:lang w:eastAsia="ru-RU"/>
        </w:rPr>
        <w:t>Также в рамках подпрограммы в соответствии с мероприятиями НП </w:t>
      </w:r>
      <w:hyperlink r:id="rId39" w:tgtFrame="_blank" w:history="1">
        <w:r w:rsidRPr="00522104">
          <w:rPr>
            <w:rFonts w:ascii="Times New Roman" w:eastAsia="Calibri" w:hAnsi="Times New Roman" w:cs="Times New Roman"/>
            <w:sz w:val="28"/>
            <w:szCs w:val="28"/>
            <w:lang w:eastAsia="ru-RU"/>
          </w:rPr>
          <w:t>"Жилье и городская среда"</w:t>
        </w:r>
      </w:hyperlink>
      <w:r w:rsidRPr="00522104">
        <w:rPr>
          <w:rFonts w:ascii="Times New Roman" w:eastAsia="Calibri"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планируются расходы на 2022 год </w:t>
      </w:r>
      <w:r w:rsidRPr="00522104">
        <w:rPr>
          <w:rFonts w:ascii="Times New Roman" w:eastAsia="Calibri" w:hAnsi="Times New Roman" w:cs="Times New Roman"/>
          <w:sz w:val="28"/>
          <w:szCs w:val="28"/>
          <w:u w:val="single"/>
        </w:rPr>
        <w:t>министерству строительства Приморского края</w:t>
      </w:r>
      <w:r w:rsidRPr="00522104">
        <w:rPr>
          <w:rFonts w:ascii="Times New Roman" w:eastAsia="Times New Roman" w:hAnsi="Times New Roman" w:cs="Times New Roman"/>
          <w:sz w:val="28"/>
          <w:szCs w:val="28"/>
          <w:lang w:eastAsia="ru-RU"/>
        </w:rPr>
        <w:t xml:space="preserve"> на решение вопросов по введению в эксплуатацию объектов незавершенного долевого строительства</w:t>
      </w:r>
      <w:r w:rsidRPr="00522104">
        <w:rPr>
          <w:rFonts w:ascii="Times New Roman" w:eastAsia="Calibri" w:hAnsi="Times New Roman" w:cs="Times New Roman"/>
          <w:sz w:val="28"/>
          <w:szCs w:val="28"/>
        </w:rPr>
        <w:t>:</w:t>
      </w:r>
    </w:p>
    <w:p w14:paraId="667FED67" w14:textId="47358209"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на субсидии НО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 в сумме 158,70 млн рублей, или </w:t>
      </w:r>
      <w:r w:rsidRPr="00522104">
        <w:rPr>
          <w:rFonts w:ascii="Times New Roman" w:eastAsia="Calibri" w:hAnsi="Times New Roman" w:cs="Times New Roman"/>
          <w:sz w:val="28"/>
          <w:szCs w:val="28"/>
        </w:rPr>
        <w:t>с увеличением к уровню расходов, утвержденных законом № 969-КЗ на 2022 год – на 134,83 млн рублей, на 2021 год</w:t>
      </w:r>
      <w:r w:rsidRPr="00522104">
        <w:rPr>
          <w:rFonts w:ascii="Times New Roman" w:hAnsi="Times New Roman" w:cs="Times New Roman"/>
          <w:sz w:val="28"/>
          <w:szCs w:val="28"/>
        </w:rPr>
        <w:t xml:space="preserve"> </w:t>
      </w:r>
      <w:r w:rsidR="009E1EBE"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 126,16 млн рублей, или в 4,88 раза, на 2023-2024 годы в сумме по 23,86 млн рублей ежегодно. В 2021 году субсидии (32,53 млн рублей) предусмотрены на финансовое обеспечение затрат, связанных с организацией деятельности данного Фонда, при этом средства на завершение строительства жилых комплексов и домов в Приморском крае не предусмотрены</w:t>
      </w:r>
      <w:r w:rsidRPr="00522104">
        <w:rPr>
          <w:rStyle w:val="af"/>
          <w:rFonts w:ascii="Times New Roman" w:hAnsi="Times New Roman" w:cs="Times New Roman"/>
          <w:sz w:val="28"/>
          <w:szCs w:val="28"/>
        </w:rPr>
        <w:footnoteReference w:id="30"/>
      </w:r>
      <w:r w:rsidRPr="00522104">
        <w:rPr>
          <w:rFonts w:ascii="Times New Roman" w:hAnsi="Times New Roman" w:cs="Times New Roman"/>
          <w:sz w:val="28"/>
          <w:szCs w:val="28"/>
        </w:rPr>
        <w:t xml:space="preserve">. Исполнение мероприятия на 01.10.2021 составило 19,94 млн рублей, или 61,30 %. </w:t>
      </w:r>
    </w:p>
    <w:p w14:paraId="54C36601"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Действующей редакцией ГП по данной подпрограмме установлены целевые показатели в рамках данного мероприятия:</w:t>
      </w:r>
    </w:p>
    <w:p w14:paraId="672D092E" w14:textId="1A74EDA9"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"Площадь введенных в эксплуатацию жилых и нежилых помещений в проблемных объектах": на 2019 год – 1,88 тыс. кв. м, на 2020 год – 42,30 тыс. кв. м (исполнено за 2020 год – 83,72 тыс. кв. м, или 197,92 %, на 2021 год – 90,03 тыс. кв. м, по состоянию на 01.10.2021 достигнут в размере 52,69 тыс. кв. м, или 58,52 %). На 2022 год показатель установлен в размере 8,00 тыс. кв. м. На 2023 - 2024 годы показатель не планируется;</w:t>
      </w:r>
    </w:p>
    <w:p w14:paraId="45C61B3A" w14:textId="22A9B95C"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"Количество объектов долевого строительства</w:t>
      </w:r>
      <w:r w:rsidR="00B816C1"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которым осуществляется завершение строительства на основании договоров, заключенных специализированной организацией", на 2021 год составляет 7 единиц, по информации министерства строительства Приморского края данный показатель достигнут </w:t>
      </w:r>
      <w:r w:rsidR="00B816C1" w:rsidRPr="00522104">
        <w:rPr>
          <w:rFonts w:ascii="Times New Roman" w:hAnsi="Times New Roman" w:cs="Times New Roman"/>
          <w:sz w:val="28"/>
          <w:szCs w:val="28"/>
        </w:rPr>
        <w:t>–</w:t>
      </w:r>
      <w:r w:rsidRPr="00522104">
        <w:rPr>
          <w:rFonts w:ascii="Times New Roman" w:hAnsi="Times New Roman" w:cs="Times New Roman"/>
          <w:sz w:val="28"/>
          <w:szCs w:val="28"/>
        </w:rPr>
        <w:t xml:space="preserve"> 100,00 %</w:t>
      </w:r>
      <w:r w:rsidRPr="00522104">
        <w:rPr>
          <w:rStyle w:val="af"/>
          <w:rFonts w:ascii="Times New Roman" w:hAnsi="Times New Roman" w:cs="Times New Roman"/>
          <w:sz w:val="28"/>
          <w:szCs w:val="28"/>
        </w:rPr>
        <w:footnoteReference w:id="31"/>
      </w:r>
      <w:r w:rsidRPr="00522104">
        <w:rPr>
          <w:rFonts w:ascii="Times New Roman" w:hAnsi="Times New Roman" w:cs="Times New Roman"/>
          <w:sz w:val="28"/>
          <w:szCs w:val="28"/>
        </w:rPr>
        <w:t>. На 2022 год и плановый период не планируется. При этом восемь многоквартирных домов ЖСК "Остров" признали "пр</w:t>
      </w:r>
      <w:r w:rsidR="00B816C1" w:rsidRPr="00522104">
        <w:rPr>
          <w:rFonts w:ascii="Times New Roman" w:hAnsi="Times New Roman" w:cs="Times New Roman"/>
          <w:sz w:val="28"/>
          <w:szCs w:val="28"/>
        </w:rPr>
        <w:t>облемными объектами" 15.04.2021</w:t>
      </w:r>
      <w:r w:rsidRPr="00522104">
        <w:rPr>
          <w:rFonts w:ascii="Times New Roman" w:hAnsi="Times New Roman" w:cs="Times New Roman"/>
          <w:sz w:val="28"/>
          <w:szCs w:val="28"/>
        </w:rPr>
        <w:t>, на завершение строительства в 2022 году по данным Фонда поддержки обманутых дольщиков Приморского края планируется около 400,00 млн рублей. Также имеется недостроенный объект в г. Артеме по ул. Хасанской.</w:t>
      </w:r>
    </w:p>
    <w:p w14:paraId="5C0F6107"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Кроме того, не завершены работы по объекту ЖК "Олимп" (Грибоедова, 46), увеличение срока ввода в эксплуатацию вызвано необходимостью выполнения работ по демонтажу (устройству) навесного вентилируемого фасада, выполняемого ООО "СК Регион". Также был заключен договор на проектирование № 50 от 30.10.2021 с ООО "Новая архитектура". В результате выполнения этого договора выявлены дополнительные работы по всем разделам проектной документации. Сроки выполнения работ по устройству фасада неоднократно продлевались по следующими причинами: недостаточная численность и квалификация рабочих; невозможность выполнения на некоторых участках работ по устройству фасада без производства других работ (отмостка, молниезащита, замена дверей балконов и т.п.), ранее не предусмотренных и выявленных позднее; выявление дополнительных работ по монтажу огнеотсечки, монтажу гидроизоляции отсечки, монтажу подсистемы в местах примыкания к витражам; уточнение объемов работ по устройству фасада, увеличение площади на 1231,7 кв. м  (откорректированная в сторону увеличения проектно-сметная документация (ПСД).</w:t>
      </w:r>
    </w:p>
    <w:p w14:paraId="550A2508"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Контрольно-счетная палата обращает внимание на необходимость внесения корректировок в показатели 2022, 2023, 2024 годов в приложение № 1 действующей ГП </w:t>
      </w:r>
      <w:r w:rsidRPr="00522104">
        <w:rPr>
          <w:rFonts w:ascii="Times New Roman" w:hAnsi="Times New Roman" w:cs="Times New Roman"/>
          <w:sz w:val="28"/>
          <w:szCs w:val="28"/>
        </w:rPr>
        <w:t xml:space="preserve">в части уточнения значений указанных показателей. </w:t>
      </w:r>
    </w:p>
    <w:p w14:paraId="013B756F" w14:textId="77777777"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087AD2">
        <w:rPr>
          <w:rFonts w:ascii="Times New Roman" w:hAnsi="Times New Roman" w:cs="Times New Roman"/>
          <w:sz w:val="28"/>
          <w:szCs w:val="28"/>
        </w:rPr>
        <w:t>На уровне утвержденных на 2022 год планируются</w:t>
      </w:r>
      <w:r w:rsidRPr="00522104">
        <w:rPr>
          <w:rFonts w:ascii="Times New Roman" w:hAnsi="Times New Roman" w:cs="Times New Roman"/>
          <w:sz w:val="28"/>
          <w:szCs w:val="28"/>
        </w:rPr>
        <w:t xml:space="preserve"> в 2022-2024 годах субсидии унитарной некоммерческой организации "Фонд защиты прав граждан - участников долевого строительства Приморского края" – 22,06 млн рублей. За 9 месяцев 2021 года исполнение мероприятия составило 12,87 млн рублей, или 58,34 %;</w:t>
      </w:r>
    </w:p>
    <w:p w14:paraId="6114C869" w14:textId="5C91F599" w:rsidR="00827437" w:rsidRPr="00522104" w:rsidRDefault="00827437" w:rsidP="00827437">
      <w:pPr>
        <w:spacing w:after="0" w:line="240" w:lineRule="auto"/>
        <w:ind w:firstLine="709"/>
        <w:jc w:val="both"/>
        <w:rPr>
          <w:rFonts w:ascii="Times New Roman" w:hAnsi="Times New Roman" w:cs="Times New Roman"/>
          <w:sz w:val="28"/>
          <w:szCs w:val="28"/>
        </w:rPr>
      </w:pPr>
      <w:r w:rsidRPr="00087AD2">
        <w:rPr>
          <w:rFonts w:ascii="Times New Roman" w:eastAsia="Times New Roman" w:hAnsi="Times New Roman" w:cs="Times New Roman"/>
          <w:sz w:val="28"/>
        </w:rPr>
        <w:t>сокращены в полном объеме</w:t>
      </w:r>
      <w:r w:rsidRPr="00522104">
        <w:rPr>
          <w:rFonts w:ascii="Times New Roman" w:eastAsia="Times New Roman" w:hAnsi="Times New Roman" w:cs="Times New Roman"/>
          <w:sz w:val="28"/>
        </w:rPr>
        <w:t xml:space="preserve"> субсидии из краевого бюджета в виде имущественного взноса Приморского края в имущество публично-правовой компании "Фонд защиты прав граждан - участников долевого строительства"</w:t>
      </w:r>
      <w:r w:rsidR="00D57AC9" w:rsidRPr="00522104">
        <w:rPr>
          <w:rFonts w:ascii="Times New Roman" w:eastAsia="Times New Roman" w:hAnsi="Times New Roman" w:cs="Times New Roman"/>
          <w:sz w:val="28"/>
        </w:rPr>
        <w:t> –</w:t>
      </w:r>
      <w:r w:rsidRPr="00522104">
        <w:rPr>
          <w:rFonts w:ascii="Times New Roman" w:eastAsia="Times New Roman" w:hAnsi="Times New Roman" w:cs="Times New Roman"/>
          <w:sz w:val="28"/>
        </w:rPr>
        <w:t xml:space="preserve"> 41,07 млн рублей. Применение механизмов публично-правовой компании "Фонд защиты прав граждан - участников долевого строительства" возможно при предоставлении необходимой документации, которая в настоящее время отсутствует. В связи с этим, субсидии в 2021 году не использованы и объемы финансирования на 2022 год не предусматриваются. При этом, в действующей редакции ГП по</w:t>
      </w:r>
      <w:r w:rsidRPr="00522104">
        <w:rPr>
          <w:rFonts w:ascii="Times New Roman" w:hAnsi="Times New Roman" w:cs="Times New Roman"/>
          <w:sz w:val="28"/>
          <w:szCs w:val="28"/>
        </w:rPr>
        <w:t xml:space="preserve"> данному мероприятию запланирован целевой показатель, по которому существует риск не исполнения, а именно:</w:t>
      </w:r>
    </w:p>
    <w:p w14:paraId="755960F9" w14:textId="77777777" w:rsidR="00827437" w:rsidRPr="00522104" w:rsidRDefault="00827437" w:rsidP="00827437">
      <w:pPr>
        <w:shd w:val="clear" w:color="auto" w:fill="FFFFFF"/>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количество граждан, перед которыми исполнены обязательства по передаче жилых помещений либо которым выплачено возмещение в соответствии со </w:t>
      </w:r>
      <w:hyperlink r:id="rId40" w:history="1">
        <w:r w:rsidRPr="00522104">
          <w:rPr>
            <w:rFonts w:ascii="Times New Roman" w:hAnsi="Times New Roman" w:cs="Times New Roman"/>
            <w:sz w:val="28"/>
            <w:szCs w:val="28"/>
          </w:rPr>
          <w:t>статьей 13</w:t>
        </w:r>
      </w:hyperlink>
      <w:r w:rsidRPr="00522104">
        <w:rPr>
          <w:rFonts w:ascii="Times New Roman" w:hAnsi="Times New Roman" w:cs="Times New Roman"/>
          <w:sz w:val="28"/>
          <w:szCs w:val="28"/>
        </w:rPr>
        <w:t xml:space="preserve"> Федерального закона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00EA2D4B" w14:textId="43FF179A" w:rsidR="00827437" w:rsidRPr="00522104" w:rsidRDefault="00827437" w:rsidP="00827437">
      <w:pPr>
        <w:shd w:val="clear" w:color="auto" w:fill="FFFFFF"/>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за период 2020-2021 годов – 857 человек. На периоды 2022-2024 годов показатель не запланирован. Учитывая то, что в 2020 году целевой показатель не был достигнут, а </w:t>
      </w:r>
      <w:r w:rsidRPr="00522104">
        <w:rPr>
          <w:rFonts w:ascii="Times New Roman" w:eastAsia="Times New Roman" w:hAnsi="Times New Roman" w:cs="Times New Roman"/>
          <w:sz w:val="28"/>
          <w:szCs w:val="28"/>
          <w:lang w:eastAsia="ru-RU"/>
        </w:rPr>
        <w:t xml:space="preserve">в 2021 году планируется восстановить в правах </w:t>
      </w:r>
      <w:hyperlink r:id="rId41" w:tgtFrame="_blank" w:history="1">
        <w:r w:rsidRPr="00522104">
          <w:rPr>
            <w:rFonts w:ascii="Times New Roman" w:eastAsia="Calibri" w:hAnsi="Times New Roman" w:cs="Times New Roman"/>
            <w:sz w:val="28"/>
            <w:szCs w:val="28"/>
            <w:lang w:eastAsia="ru-RU"/>
          </w:rPr>
          <w:t>857 граждан</w:t>
        </w:r>
      </w:hyperlink>
      <w:r w:rsidRPr="00522104">
        <w:rPr>
          <w:rFonts w:ascii="Times New Roman" w:eastAsia="Times New Roman" w:hAnsi="Times New Roman" w:cs="Times New Roman"/>
          <w:sz w:val="28"/>
          <w:szCs w:val="28"/>
          <w:lang w:eastAsia="ru-RU"/>
        </w:rPr>
        <w:t xml:space="preserve">, пострадавших от действий недобросовестных застройщиков, ввести в эксплуатацию еще два проблемных объекта, при этом за 9 месяцев 2021 года исполнение показателя – 0 человек. По информации министерства строительства Приморского края, полностью исполнить целевые показатели планируется до конца 2023 года. Контрольно-счетная палата обращает внимание на необходимость внесения корректировок в приложение № 1 действующей ГП </w:t>
      </w:r>
      <w:r w:rsidRPr="00522104">
        <w:rPr>
          <w:rFonts w:ascii="Times New Roman" w:hAnsi="Times New Roman" w:cs="Times New Roman"/>
          <w:sz w:val="28"/>
          <w:szCs w:val="28"/>
        </w:rPr>
        <w:t>значений указанных показателей на 2022-2023 годы.</w:t>
      </w:r>
    </w:p>
    <w:p w14:paraId="32D83B09" w14:textId="70DE3F2E" w:rsidR="00827437" w:rsidRPr="00522104" w:rsidRDefault="00827437" w:rsidP="00827437">
      <w:pPr>
        <w:spacing w:after="0" w:line="240" w:lineRule="auto"/>
        <w:ind w:firstLine="709"/>
        <w:jc w:val="both"/>
        <w:rPr>
          <w:rFonts w:ascii="Times New Roman" w:eastAsia="sans-serif" w:hAnsi="Times New Roman" w:cs="Times New Roman"/>
          <w:color w:val="000000"/>
          <w:sz w:val="28"/>
          <w:szCs w:val="28"/>
          <w:lang w:eastAsia="zh-CN" w:bidi="ar"/>
        </w:rPr>
      </w:pPr>
      <w:r w:rsidRPr="00522104">
        <w:rPr>
          <w:rFonts w:ascii="Times New Roman" w:hAnsi="Times New Roman" w:cs="Times New Roman"/>
          <w:sz w:val="28"/>
          <w:szCs w:val="28"/>
        </w:rPr>
        <w:t>Недостижение запланированных значений показателей вызвано следующими причинами. До настоящего времени публично-правовой компанией "</w:t>
      </w:r>
      <w:r w:rsidRPr="00522104">
        <w:rPr>
          <w:rFonts w:ascii="Times New Roman" w:eastAsia="Times New Roman" w:hAnsi="Times New Roman" w:cs="Times New Roman"/>
          <w:sz w:val="28"/>
        </w:rPr>
        <w:t xml:space="preserve">Фонд защиты прав граждан - участников долевого строительства" (далее – ППК Фонд) </w:t>
      </w:r>
      <w:r w:rsidRPr="00522104">
        <w:rPr>
          <w:rFonts w:ascii="Times New Roman" w:hAnsi="Times New Roman" w:cs="Times New Roman"/>
          <w:sz w:val="28"/>
          <w:szCs w:val="28"/>
        </w:rPr>
        <w:t>не принято решение о финансировании или о нецелесообразности финансирования мероприятий, предусмотренных действующим законодательством</w:t>
      </w:r>
      <w:r w:rsidRPr="00522104">
        <w:rPr>
          <w:rStyle w:val="af"/>
          <w:rFonts w:ascii="Times New Roman" w:hAnsi="Times New Roman" w:cs="Times New Roman"/>
          <w:sz w:val="28"/>
          <w:szCs w:val="28"/>
        </w:rPr>
        <w:footnoteReference w:id="32"/>
      </w:r>
      <w:r w:rsidRPr="00522104">
        <w:rPr>
          <w:rFonts w:ascii="Times New Roman" w:hAnsi="Times New Roman" w:cs="Times New Roman"/>
          <w:sz w:val="28"/>
          <w:szCs w:val="28"/>
        </w:rPr>
        <w:t xml:space="preserve"> в отношении объектов, на которых предусмотрено финансирование в 2021 году. Кроме того</w:t>
      </w:r>
      <w:r w:rsidR="0050672B" w:rsidRPr="00522104">
        <w:rPr>
          <w:rFonts w:ascii="Times New Roman" w:hAnsi="Times New Roman" w:cs="Times New Roman"/>
          <w:sz w:val="28"/>
          <w:szCs w:val="28"/>
        </w:rPr>
        <w:t>,</w:t>
      </w:r>
      <w:r w:rsidRPr="00522104">
        <w:rPr>
          <w:rFonts w:ascii="Times New Roman" w:hAnsi="Times New Roman" w:cs="Times New Roman"/>
          <w:sz w:val="28"/>
          <w:szCs w:val="28"/>
        </w:rPr>
        <w:t xml:space="preserve"> в</w:t>
      </w:r>
      <w:r w:rsidRPr="00522104">
        <w:rPr>
          <w:rFonts w:ascii="Times New Roman" w:eastAsia="sans-serif" w:hAnsi="Times New Roman" w:cs="Times New Roman"/>
          <w:color w:val="000000"/>
          <w:sz w:val="28"/>
          <w:szCs w:val="28"/>
          <w:lang w:eastAsia="zh-CN" w:bidi="ar"/>
        </w:rPr>
        <w:t xml:space="preserve"> соответствии с Федеральным законом от 30.12.2004 № 214-ФЗ</w:t>
      </w:r>
      <w:r w:rsidRPr="00522104">
        <w:rPr>
          <w:rStyle w:val="af"/>
          <w:rFonts w:ascii="Times New Roman" w:eastAsia="sans-serif" w:hAnsi="Times New Roman" w:cs="Times New Roman"/>
          <w:color w:val="000000"/>
          <w:sz w:val="28"/>
          <w:szCs w:val="28"/>
          <w:lang w:eastAsia="zh-CN" w:bidi="ar"/>
        </w:rPr>
        <w:footnoteReference w:id="33"/>
      </w:r>
      <w:r w:rsidRPr="00522104">
        <w:rPr>
          <w:rFonts w:ascii="Times New Roman" w:eastAsia="sans-serif" w:hAnsi="Times New Roman" w:cs="Times New Roman"/>
          <w:color w:val="000000"/>
          <w:sz w:val="28"/>
          <w:szCs w:val="28"/>
          <w:lang w:eastAsia="zh-CN" w:bidi="ar"/>
        </w:rPr>
        <w:t xml:space="preserve"> Фонд субъекта Российской Федерации при передаче ему имущества застройщика и обязательств застройщика перед участниками строительства обязан передать участнику долевого строительства объект долевого строительства не позднее трех лет со дня вынесения арбитражным судом определения, предусмотренного пунктом 3 статьи 201.15-2 Федерального закона от 26</w:t>
      </w:r>
      <w:r w:rsidR="0033506F" w:rsidRPr="00522104">
        <w:rPr>
          <w:rFonts w:ascii="Times New Roman" w:eastAsia="sans-serif" w:hAnsi="Times New Roman" w:cs="Times New Roman"/>
          <w:color w:val="000000"/>
          <w:sz w:val="28"/>
          <w:szCs w:val="28"/>
          <w:lang w:eastAsia="zh-CN" w:bidi="ar"/>
        </w:rPr>
        <w:t>.10.</w:t>
      </w:r>
      <w:r w:rsidRPr="00522104">
        <w:rPr>
          <w:rFonts w:ascii="Times New Roman" w:eastAsia="sans-serif" w:hAnsi="Times New Roman" w:cs="Times New Roman"/>
          <w:color w:val="000000"/>
          <w:sz w:val="28"/>
          <w:szCs w:val="28"/>
          <w:lang w:eastAsia="zh-CN" w:bidi="ar"/>
        </w:rPr>
        <w:t>2002</w:t>
      </w:r>
      <w:r w:rsidR="0033506F" w:rsidRPr="00522104">
        <w:rPr>
          <w:rFonts w:ascii="Times New Roman" w:eastAsia="sans-serif" w:hAnsi="Times New Roman" w:cs="Times New Roman"/>
          <w:color w:val="000000"/>
          <w:sz w:val="28"/>
          <w:szCs w:val="28"/>
          <w:lang w:eastAsia="zh-CN" w:bidi="ar"/>
        </w:rPr>
        <w:t xml:space="preserve"> </w:t>
      </w:r>
      <w:r w:rsidRPr="00522104">
        <w:rPr>
          <w:rFonts w:ascii="Times New Roman" w:eastAsia="sans-serif" w:hAnsi="Times New Roman" w:cs="Times New Roman"/>
          <w:color w:val="000000"/>
          <w:sz w:val="28"/>
          <w:szCs w:val="28"/>
          <w:lang w:eastAsia="zh-CN" w:bidi="ar"/>
        </w:rPr>
        <w:t>№ 127-ФЗ "О несостоятельности (банкротстве)".</w:t>
      </w:r>
    </w:p>
    <w:p w14:paraId="2C5DA93B" w14:textId="17DCDDFF"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i/>
          <w:sz w:val="28"/>
          <w:szCs w:val="28"/>
        </w:rPr>
        <w:t>Справочно: ППК Фонд проинформировал Правительство Приморского края о переносе сроков на 2022 год по объекту по ул. Пихтовая, 35 в г.</w:t>
      </w:r>
      <w:r w:rsidR="0033506F" w:rsidRPr="00522104">
        <w:rPr>
          <w:rFonts w:ascii="Times New Roman" w:hAnsi="Times New Roman" w:cs="Times New Roman"/>
          <w:i/>
          <w:sz w:val="28"/>
          <w:szCs w:val="28"/>
        </w:rPr>
        <w:t> </w:t>
      </w:r>
      <w:r w:rsidRPr="00522104">
        <w:rPr>
          <w:rFonts w:ascii="Times New Roman" w:hAnsi="Times New Roman" w:cs="Times New Roman"/>
          <w:i/>
          <w:sz w:val="28"/>
          <w:szCs w:val="28"/>
        </w:rPr>
        <w:t xml:space="preserve">Владивостоке, по данному объекту </w:t>
      </w:r>
      <w:r w:rsidRPr="00522104">
        <w:rPr>
          <w:rFonts w:ascii="Times New Roman" w:eastAsia="Times New Roman" w:hAnsi="Times New Roman" w:cs="Times New Roman"/>
          <w:i/>
          <w:sz w:val="28"/>
          <w:szCs w:val="28"/>
          <w:lang w:eastAsia="ru-RU"/>
        </w:rPr>
        <w:t>планируется финансирование из федерального бюджета, также при поддержке АО "КРЖС" найдены инвесторы, которые готовы оплатить часть работ (по предварительным подсчетам, чтобы достроить объекты на Пихтовой потребуется около 250,00 млн рублей)</w:t>
      </w:r>
      <w:r w:rsidRPr="00522104">
        <w:rPr>
          <w:rFonts w:ascii="Times New Roman" w:hAnsi="Times New Roman" w:cs="Times New Roman"/>
          <w:i/>
          <w:sz w:val="28"/>
          <w:szCs w:val="28"/>
        </w:rPr>
        <w:t xml:space="preserve">. </w:t>
      </w:r>
    </w:p>
    <w:p w14:paraId="2031FD10" w14:textId="5CA5DA85" w:rsidR="00827437" w:rsidRPr="00522104" w:rsidRDefault="00827437" w:rsidP="00827437">
      <w:pPr>
        <w:spacing w:after="0" w:line="240" w:lineRule="auto"/>
        <w:ind w:firstLine="709"/>
        <w:jc w:val="both"/>
        <w:rPr>
          <w:rFonts w:ascii="Times New Roman" w:eastAsia="sans-serif" w:hAnsi="Times New Roman" w:cs="Times New Roman"/>
          <w:i/>
          <w:sz w:val="28"/>
          <w:szCs w:val="28"/>
          <w:lang w:eastAsia="zh-CN" w:bidi="ar"/>
        </w:rPr>
      </w:pPr>
      <w:r w:rsidRPr="00522104">
        <w:rPr>
          <w:rFonts w:ascii="Times New Roman" w:hAnsi="Times New Roman" w:cs="Times New Roman"/>
          <w:i/>
          <w:sz w:val="28"/>
          <w:szCs w:val="28"/>
        </w:rPr>
        <w:t>П</w:t>
      </w:r>
      <w:r w:rsidRPr="00522104">
        <w:rPr>
          <w:rFonts w:ascii="Times New Roman" w:eastAsia="sans-serif" w:hAnsi="Times New Roman" w:cs="Times New Roman"/>
          <w:i/>
          <w:sz w:val="28"/>
          <w:szCs w:val="28"/>
          <w:lang w:eastAsia="zh-CN" w:bidi="ar"/>
        </w:rPr>
        <w:t>о объекту г. Уссурийск, ул.</w:t>
      </w:r>
      <w:r w:rsidRPr="00522104">
        <w:rPr>
          <w:rFonts w:ascii="Times New Roman" w:eastAsia="sans-serif" w:hAnsi="Times New Roman" w:cs="Times New Roman"/>
          <w:i/>
          <w:sz w:val="28"/>
          <w:szCs w:val="28"/>
          <w:lang w:val="en-US" w:eastAsia="zh-CN" w:bidi="ar"/>
        </w:rPr>
        <w:t> </w:t>
      </w:r>
      <w:r w:rsidRPr="00522104">
        <w:rPr>
          <w:rFonts w:ascii="Times New Roman" w:eastAsia="sans-serif" w:hAnsi="Times New Roman" w:cs="Times New Roman"/>
          <w:i/>
          <w:sz w:val="28"/>
          <w:szCs w:val="28"/>
          <w:lang w:eastAsia="zh-CN" w:bidi="ar"/>
        </w:rPr>
        <w:t xml:space="preserve">Крестьянская, д. 94 </w:t>
      </w:r>
      <w:r w:rsidRPr="00522104">
        <w:rPr>
          <w:rFonts w:ascii="Times New Roman" w:hAnsi="Times New Roman" w:cs="Times New Roman"/>
          <w:i/>
          <w:sz w:val="28"/>
          <w:szCs w:val="28"/>
        </w:rPr>
        <w:t>р</w:t>
      </w:r>
      <w:r w:rsidRPr="00522104">
        <w:rPr>
          <w:rFonts w:ascii="Times New Roman" w:eastAsia="sans-serif" w:hAnsi="Times New Roman" w:cs="Times New Roman"/>
          <w:i/>
          <w:sz w:val="28"/>
          <w:szCs w:val="28"/>
          <w:lang w:eastAsia="zh-CN" w:bidi="ar"/>
        </w:rPr>
        <w:t xml:space="preserve">ешение о финансировании мероприятий будет принято после подготовки проектной документации, сроки будут скорректированы в соответствии с проектом организации строительства (ориентировочный срок начала выполнения строительно-монтажных работ </w:t>
      </w:r>
      <w:r w:rsidR="0033506F" w:rsidRPr="00522104">
        <w:rPr>
          <w:rFonts w:ascii="Times New Roman" w:eastAsia="sans-serif" w:hAnsi="Times New Roman" w:cs="Times New Roman"/>
          <w:i/>
          <w:sz w:val="28"/>
          <w:szCs w:val="28"/>
          <w:lang w:eastAsia="zh-CN" w:bidi="ar"/>
        </w:rPr>
        <w:t>–</w:t>
      </w:r>
      <w:r w:rsidRPr="00522104">
        <w:rPr>
          <w:rFonts w:ascii="Times New Roman" w:eastAsia="sans-serif" w:hAnsi="Times New Roman" w:cs="Times New Roman"/>
          <w:i/>
          <w:sz w:val="28"/>
          <w:szCs w:val="28"/>
          <w:lang w:eastAsia="zh-CN" w:bidi="ar"/>
        </w:rPr>
        <w:t xml:space="preserve"> апрель 2022 года, срок завершения работ</w:t>
      </w:r>
      <w:r w:rsidR="0033506F" w:rsidRPr="00522104">
        <w:rPr>
          <w:rFonts w:ascii="Times New Roman" w:eastAsia="sans-serif" w:hAnsi="Times New Roman" w:cs="Times New Roman"/>
          <w:i/>
          <w:sz w:val="28"/>
          <w:szCs w:val="28"/>
          <w:lang w:eastAsia="zh-CN" w:bidi="ar"/>
        </w:rPr>
        <w:t> –</w:t>
      </w:r>
      <w:r w:rsidRPr="00522104">
        <w:rPr>
          <w:rFonts w:ascii="Times New Roman" w:eastAsia="sans-serif" w:hAnsi="Times New Roman" w:cs="Times New Roman"/>
          <w:i/>
          <w:sz w:val="28"/>
          <w:szCs w:val="28"/>
          <w:lang w:eastAsia="zh-CN" w:bidi="ar"/>
        </w:rPr>
        <w:t xml:space="preserve"> май 2023 года). </w:t>
      </w:r>
    </w:p>
    <w:p w14:paraId="38C6089F" w14:textId="072E98E8" w:rsidR="00827437" w:rsidRPr="00522104" w:rsidRDefault="00827437" w:rsidP="00827437">
      <w:pPr>
        <w:shd w:val="clear" w:color="auto" w:fill="FFFFFF"/>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По объекту Славянская</w:t>
      </w:r>
      <w:r w:rsidR="0033506F" w:rsidRPr="00522104">
        <w:rPr>
          <w:rFonts w:ascii="Times New Roman" w:eastAsia="Times New Roman" w:hAnsi="Times New Roman" w:cs="Times New Roman"/>
          <w:i/>
          <w:sz w:val="28"/>
          <w:szCs w:val="28"/>
          <w:lang w:eastAsia="ru-RU"/>
        </w:rPr>
        <w:t>,</w:t>
      </w:r>
      <w:r w:rsidRPr="00522104">
        <w:rPr>
          <w:rFonts w:ascii="Times New Roman" w:eastAsia="Times New Roman" w:hAnsi="Times New Roman" w:cs="Times New Roman"/>
          <w:i/>
          <w:sz w:val="28"/>
          <w:szCs w:val="28"/>
          <w:lang w:eastAsia="ru-RU"/>
        </w:rPr>
        <w:t xml:space="preserve"> 17 в г. Владивостоке планируется финансирование из федерального бюджета, также найдены инвесторы, которые готовы оплатить часть работ. По предварительным подсчетам</w:t>
      </w:r>
      <w:r w:rsidR="0033506F" w:rsidRPr="00522104">
        <w:rPr>
          <w:rFonts w:ascii="Times New Roman" w:eastAsia="Times New Roman" w:hAnsi="Times New Roman" w:cs="Times New Roman"/>
          <w:i/>
          <w:sz w:val="28"/>
          <w:szCs w:val="28"/>
          <w:lang w:eastAsia="ru-RU"/>
        </w:rPr>
        <w:t>,</w:t>
      </w:r>
      <w:r w:rsidRPr="00522104">
        <w:rPr>
          <w:rFonts w:ascii="Times New Roman" w:eastAsia="Times New Roman" w:hAnsi="Times New Roman" w:cs="Times New Roman"/>
          <w:i/>
          <w:sz w:val="28"/>
          <w:szCs w:val="28"/>
          <w:lang w:eastAsia="ru-RU"/>
        </w:rPr>
        <w:t xml:space="preserve"> чтобы достроить объект на Славянской</w:t>
      </w:r>
      <w:r w:rsidR="0033506F" w:rsidRPr="00522104">
        <w:rPr>
          <w:rFonts w:ascii="Times New Roman" w:eastAsia="Times New Roman" w:hAnsi="Times New Roman" w:cs="Times New Roman"/>
          <w:i/>
          <w:sz w:val="28"/>
          <w:szCs w:val="28"/>
          <w:lang w:eastAsia="ru-RU"/>
        </w:rPr>
        <w:t xml:space="preserve">, необходимо </w:t>
      </w:r>
      <w:r w:rsidRPr="00522104">
        <w:rPr>
          <w:rFonts w:ascii="Times New Roman" w:eastAsia="Times New Roman" w:hAnsi="Times New Roman" w:cs="Times New Roman"/>
          <w:i/>
          <w:sz w:val="28"/>
          <w:szCs w:val="28"/>
          <w:lang w:eastAsia="ru-RU"/>
        </w:rPr>
        <w:t xml:space="preserve">22,00 млн рублей. </w:t>
      </w:r>
    </w:p>
    <w:p w14:paraId="204587A1" w14:textId="69AC0451" w:rsidR="00827437" w:rsidRPr="00522104" w:rsidRDefault="00827437" w:rsidP="00827437">
      <w:pPr>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Согласно информации на официальном сайте УНО "Фонд защиты прав граждан-участников долевого строительства Приморского края" (далее- Фонд) внесение изменений в статью 14 закона Приморского края № 90-КЗ "О регулировании земельных отношений в Приморском крае" приведет к оптимизации и ускорению процесса восстановления прав участников долевого строительства на территории Приморского края посредством привлечения инвесторов. Приморские инвесторы получат право на заключение договора аренды земельного участка без проведения торгов путем предоставления безвозмездной финансовой помощи краевому Фонду. Одним из способов получения такой возможности является одновременное соблюдение ряда условий: инвестиционный проект, предусматривающий мероприятия по завершению строительства (либо завершению отдельных этапов работ) проблемного объекта, расположенного в Приморском крае; объем финансирования по завершению строительства проблемного объекта равен или превышает кадастровую стоимость земельного участка, предоставляемого для реализации инвестиционного проекта; сумма капитальных вложений на полученных земельных участках должна составить не менее 5,00 млн рублей.</w:t>
      </w:r>
    </w:p>
    <w:p w14:paraId="2670EEC7" w14:textId="67DED37C" w:rsidR="00827437" w:rsidRPr="00522104" w:rsidRDefault="00827437" w:rsidP="00827437">
      <w:pPr>
        <w:shd w:val="clear" w:color="auto" w:fill="FFFFFF"/>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Так, в частности</w:t>
      </w:r>
      <w:r w:rsidR="0033506F" w:rsidRPr="00522104">
        <w:rPr>
          <w:rFonts w:ascii="Times New Roman" w:eastAsia="Times New Roman" w:hAnsi="Times New Roman" w:cs="Times New Roman"/>
          <w:i/>
          <w:sz w:val="28"/>
          <w:szCs w:val="28"/>
          <w:lang w:eastAsia="ru-RU"/>
        </w:rPr>
        <w:t>,</w:t>
      </w:r>
      <w:r w:rsidRPr="00522104">
        <w:rPr>
          <w:rFonts w:ascii="Times New Roman" w:eastAsia="Times New Roman" w:hAnsi="Times New Roman" w:cs="Times New Roman"/>
          <w:i/>
          <w:sz w:val="28"/>
          <w:szCs w:val="28"/>
          <w:lang w:eastAsia="ru-RU"/>
        </w:rPr>
        <w:t xml:space="preserve"> в отношении проблемного объекта по ул. Выгонная, 7 в </w:t>
      </w:r>
      <w:r w:rsidR="0033506F" w:rsidRPr="00522104">
        <w:rPr>
          <w:rFonts w:ascii="Times New Roman" w:eastAsia="Times New Roman" w:hAnsi="Times New Roman" w:cs="Times New Roman"/>
          <w:i/>
          <w:sz w:val="28"/>
          <w:szCs w:val="28"/>
          <w:lang w:eastAsia="ru-RU"/>
        </w:rPr>
        <w:t xml:space="preserve">г. </w:t>
      </w:r>
      <w:r w:rsidRPr="00522104">
        <w:rPr>
          <w:rFonts w:ascii="Times New Roman" w:eastAsia="Times New Roman" w:hAnsi="Times New Roman" w:cs="Times New Roman"/>
          <w:i/>
          <w:sz w:val="28"/>
          <w:szCs w:val="28"/>
          <w:lang w:eastAsia="ru-RU"/>
        </w:rPr>
        <w:t>Уссурийске, дом в 2020 году удалось успешно достроить за счет внебюджетных средств. Оплата операционных расходов (текущие платежи, связанные с судебными расходами по делу о банкротстве, выплата вознаграждения конкурсному управляющему и прочие) с участием инвесторов, готовых профинансировать выполнение части этапов работ.</w:t>
      </w:r>
    </w:p>
    <w:p w14:paraId="5585001D" w14:textId="77C78A56"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bCs/>
          <w:sz w:val="28"/>
          <w:szCs w:val="28"/>
          <w:lang w:eastAsia="zh-CN"/>
        </w:rPr>
      </w:pPr>
      <w:r w:rsidRPr="00522104">
        <w:rPr>
          <w:rFonts w:ascii="Times New Roman" w:eastAsia="Times New Roman" w:hAnsi="Times New Roman" w:cs="Times New Roman"/>
          <w:b/>
          <w:i/>
          <w:sz w:val="28"/>
          <w:szCs w:val="28"/>
          <w:lang w:eastAsia="ru-RU"/>
        </w:rPr>
        <w:t>По подпрограмме "Обеспечение жильем молодых семей Приморского края"</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 xml:space="preserve">в законопроекте </w:t>
      </w:r>
      <w:r w:rsidRPr="00522104">
        <w:rPr>
          <w:rFonts w:ascii="Times New Roman" w:eastAsia="Times New Roman" w:hAnsi="Times New Roman" w:cs="Times New Roman"/>
          <w:sz w:val="28"/>
          <w:szCs w:val="28"/>
        </w:rPr>
        <w:t xml:space="preserve">на 2022 год запланированы бюджетные назначения </w:t>
      </w:r>
      <w:r w:rsidRPr="00522104">
        <w:rPr>
          <w:rFonts w:ascii="Times New Roman" w:eastAsia="Times New Roman" w:hAnsi="Times New Roman" w:cs="Times New Roman"/>
          <w:bCs/>
          <w:sz w:val="28"/>
          <w:szCs w:val="28"/>
          <w:lang w:eastAsia="ru-RU"/>
        </w:rPr>
        <w:t xml:space="preserve">департаменту по делам молодежи Приморского края </w:t>
      </w:r>
      <w:r w:rsidRPr="00522104">
        <w:rPr>
          <w:rFonts w:ascii="Times New Roman" w:eastAsia="Times New Roman" w:hAnsi="Times New Roman" w:cs="Times New Roman"/>
          <w:sz w:val="28"/>
          <w:szCs w:val="28"/>
        </w:rPr>
        <w:t>в сумме 261,53 млн рублей, что меньше, чем планировалось законом № 969-КЗ на 2022 год (266,49</w:t>
      </w:r>
      <w:r w:rsidR="001E14C4" w:rsidRPr="00522104">
        <w:rPr>
          <w:rFonts w:ascii="Times New Roman" w:eastAsia="Times New Roman" w:hAnsi="Times New Roman" w:cs="Times New Roman"/>
          <w:sz w:val="28"/>
          <w:szCs w:val="28"/>
        </w:rPr>
        <w:t> </w:t>
      </w:r>
      <w:r w:rsidRPr="00522104">
        <w:rPr>
          <w:rFonts w:ascii="Times New Roman" w:eastAsia="Times New Roman" w:hAnsi="Times New Roman" w:cs="Times New Roman"/>
          <w:sz w:val="28"/>
          <w:szCs w:val="28"/>
        </w:rPr>
        <w:t>млн рублей), но больше уровня 2021 года на 5,6 %, или на 14,15</w:t>
      </w:r>
      <w:r w:rsidRPr="00522104">
        <w:rPr>
          <w:rFonts w:ascii="Times New Roman" w:eastAsia="Times New Roman" w:hAnsi="Times New Roman" w:cs="Times New Roman"/>
          <w:sz w:val="28"/>
          <w:szCs w:val="28"/>
          <w:lang w:val="en-US"/>
        </w:rPr>
        <w:t> </w:t>
      </w:r>
      <w:r w:rsidRPr="00522104">
        <w:rPr>
          <w:rFonts w:ascii="Times New Roman" w:eastAsia="Times New Roman" w:hAnsi="Times New Roman" w:cs="Times New Roman"/>
          <w:sz w:val="28"/>
          <w:szCs w:val="28"/>
        </w:rPr>
        <w:t xml:space="preserve">млн рублей (в 2021 году – 252,34 млн рублей, в том числе федеральные средства – 140,94 млн рублей, краевые – 111,40 млн рублей). </w:t>
      </w:r>
      <w:r w:rsidRPr="00522104">
        <w:rPr>
          <w:rFonts w:ascii="Times New Roman" w:hAnsi="Times New Roman" w:cs="Times New Roman"/>
          <w:sz w:val="28"/>
          <w:szCs w:val="28"/>
          <w:lang w:eastAsia="zh-CN"/>
        </w:rPr>
        <w:t xml:space="preserve">За 9 месяцев 2021 года исполнение субсидии составило </w:t>
      </w:r>
      <w:r w:rsidRPr="00522104">
        <w:rPr>
          <w:rFonts w:ascii="Times New Roman" w:hAnsi="Times New Roman" w:cs="Times New Roman"/>
          <w:bCs/>
          <w:sz w:val="28"/>
          <w:szCs w:val="28"/>
          <w:lang w:eastAsia="zh-CN"/>
        </w:rPr>
        <w:t xml:space="preserve">214,24 млн рублей, или 86,41 %. </w:t>
      </w:r>
    </w:p>
    <w:p w14:paraId="6A623EBC" w14:textId="1AA59C1E"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eastAsia="Times New Roman" w:hAnsi="Times New Roman" w:cs="Times New Roman"/>
          <w:sz w:val="28"/>
          <w:szCs w:val="28"/>
        </w:rPr>
        <w:t xml:space="preserve">На 2023-2024 годы предусмотрено 285,95 млн рублей и 311,61 млн рублей соответственно. </w:t>
      </w:r>
    </w:p>
    <w:p w14:paraId="560DA935" w14:textId="0242ADED" w:rsidR="00827437" w:rsidRPr="00522104" w:rsidRDefault="00827437" w:rsidP="00827437">
      <w:pPr>
        <w:tabs>
          <w:tab w:val="left" w:pos="0"/>
        </w:tabs>
        <w:suppressAutoHyphens/>
        <w:spacing w:after="0" w:line="240" w:lineRule="auto"/>
        <w:ind w:firstLine="709"/>
        <w:jc w:val="both"/>
        <w:rPr>
          <w:rFonts w:ascii="Times New Roman" w:hAnsi="Times New Roman" w:cs="Times New Roman"/>
          <w:sz w:val="28"/>
          <w:szCs w:val="28"/>
          <w:lang w:eastAsia="zh-CN"/>
        </w:rPr>
      </w:pPr>
      <w:r w:rsidRPr="00522104">
        <w:rPr>
          <w:rFonts w:ascii="Times New Roman" w:eastAsia="Times New Roman" w:hAnsi="Times New Roman" w:cs="Times New Roman"/>
          <w:sz w:val="28"/>
          <w:szCs w:val="28"/>
          <w:lang w:eastAsia="ru-RU"/>
        </w:rPr>
        <w:t>В действующей редакции ГП целевые показатели подпрограммы установлены до 2027 года в соответствии со сроком реализации подпрограммы. П</w:t>
      </w:r>
      <w:r w:rsidRPr="00522104">
        <w:rPr>
          <w:rFonts w:ascii="Times New Roman" w:hAnsi="Times New Roman" w:cs="Times New Roman"/>
          <w:sz w:val="28"/>
          <w:szCs w:val="28"/>
          <w:lang w:eastAsia="zh-CN"/>
        </w:rPr>
        <w:t>лановый показатель "Количество молодых семей, получивших свидетельство о праве на получение социальной выплаты на приобретение (строительство) жилого помещения" данной подпрограммы в 2022 - 2023 год</w:t>
      </w:r>
      <w:r w:rsidR="001E14C4" w:rsidRPr="00522104">
        <w:rPr>
          <w:rFonts w:ascii="Times New Roman" w:hAnsi="Times New Roman" w:cs="Times New Roman"/>
          <w:sz w:val="28"/>
          <w:szCs w:val="28"/>
          <w:lang w:eastAsia="zh-CN"/>
        </w:rPr>
        <w:t>у</w:t>
      </w:r>
      <w:r w:rsidRPr="00522104">
        <w:rPr>
          <w:rFonts w:ascii="Times New Roman" w:hAnsi="Times New Roman" w:cs="Times New Roman"/>
          <w:sz w:val="28"/>
          <w:szCs w:val="28"/>
          <w:lang w:eastAsia="zh-CN"/>
        </w:rPr>
        <w:t xml:space="preserve"> планируется 220 человек ежегодно, то есть на уровне 2021 года (по сравнению с 2020 годом снизился с 231 до 220 человек). На 2024 год</w:t>
      </w:r>
      <w:r w:rsidR="001E14C4" w:rsidRPr="00522104">
        <w:rPr>
          <w:rFonts w:ascii="Times New Roman" w:hAnsi="Times New Roman" w:cs="Times New Roman"/>
          <w:sz w:val="28"/>
          <w:szCs w:val="28"/>
          <w:lang w:eastAsia="zh-CN"/>
        </w:rPr>
        <w:t> –</w:t>
      </w:r>
      <w:r w:rsidRPr="00522104">
        <w:rPr>
          <w:rFonts w:ascii="Times New Roman" w:hAnsi="Times New Roman" w:cs="Times New Roman"/>
          <w:sz w:val="28"/>
          <w:szCs w:val="28"/>
          <w:lang w:eastAsia="zh-CN"/>
        </w:rPr>
        <w:t xml:space="preserve"> 455 человек, больше на 235 человек, или в 2,1 раза, чем в 2023 году. На 2025 год </w:t>
      </w:r>
      <w:r w:rsidR="001E14C4" w:rsidRPr="00522104">
        <w:rPr>
          <w:rFonts w:ascii="Times New Roman" w:hAnsi="Times New Roman" w:cs="Times New Roman"/>
          <w:sz w:val="28"/>
          <w:szCs w:val="28"/>
          <w:lang w:eastAsia="zh-CN"/>
        </w:rPr>
        <w:t>–</w:t>
      </w:r>
      <w:r w:rsidRPr="00522104">
        <w:rPr>
          <w:rFonts w:ascii="Times New Roman" w:hAnsi="Times New Roman" w:cs="Times New Roman"/>
          <w:sz w:val="28"/>
          <w:szCs w:val="28"/>
          <w:lang w:eastAsia="zh-CN"/>
        </w:rPr>
        <w:t xml:space="preserve"> 470</w:t>
      </w:r>
      <w:r w:rsidR="001E14C4" w:rsidRPr="00522104">
        <w:rPr>
          <w:rFonts w:ascii="Times New Roman" w:hAnsi="Times New Roman" w:cs="Times New Roman"/>
          <w:sz w:val="28"/>
          <w:szCs w:val="28"/>
          <w:lang w:eastAsia="zh-CN"/>
        </w:rPr>
        <w:t xml:space="preserve"> чел.</w:t>
      </w:r>
      <w:r w:rsidRPr="00522104">
        <w:rPr>
          <w:rFonts w:ascii="Times New Roman" w:hAnsi="Times New Roman" w:cs="Times New Roman"/>
          <w:sz w:val="28"/>
          <w:szCs w:val="28"/>
          <w:lang w:eastAsia="zh-CN"/>
        </w:rPr>
        <w:t>, 2026 год – 485</w:t>
      </w:r>
      <w:r w:rsidR="001E14C4" w:rsidRPr="00522104">
        <w:rPr>
          <w:rFonts w:ascii="Times New Roman" w:hAnsi="Times New Roman" w:cs="Times New Roman"/>
          <w:sz w:val="28"/>
          <w:szCs w:val="28"/>
          <w:lang w:eastAsia="zh-CN"/>
        </w:rPr>
        <w:t>чел.</w:t>
      </w:r>
      <w:r w:rsidRPr="00522104">
        <w:rPr>
          <w:rFonts w:ascii="Times New Roman" w:hAnsi="Times New Roman" w:cs="Times New Roman"/>
          <w:sz w:val="28"/>
          <w:szCs w:val="28"/>
          <w:lang w:eastAsia="zh-CN"/>
        </w:rPr>
        <w:t>, 2027 – 500 чел.</w:t>
      </w:r>
    </w:p>
    <w:p w14:paraId="65213A35" w14:textId="77777777" w:rsidR="00827437" w:rsidRPr="00522104" w:rsidRDefault="00827437" w:rsidP="00827437">
      <w:pPr>
        <w:spacing w:after="0" w:line="240" w:lineRule="auto"/>
        <w:ind w:firstLine="709"/>
        <w:jc w:val="both"/>
        <w:rPr>
          <w:rFonts w:ascii="Times New Roman" w:eastAsia="Times New Roman" w:hAnsi="Times New Roman" w:cs="Times New Roman"/>
          <w:bCs/>
          <w:sz w:val="28"/>
          <w:szCs w:val="28"/>
          <w:lang w:eastAsia="ru-RU"/>
        </w:rPr>
      </w:pPr>
      <w:r w:rsidRPr="00087AD2">
        <w:rPr>
          <w:rFonts w:ascii="Times New Roman" w:eastAsia="Times New Roman" w:hAnsi="Times New Roman" w:cs="Times New Roman"/>
          <w:bCs/>
          <w:sz w:val="28"/>
          <w:szCs w:val="28"/>
          <w:lang w:eastAsia="ru-RU"/>
        </w:rPr>
        <w:t>В законопроекте на 2022 год субсидии</w:t>
      </w:r>
      <w:r w:rsidRPr="00522104">
        <w:rPr>
          <w:rFonts w:ascii="Times New Roman" w:eastAsia="Times New Roman" w:hAnsi="Times New Roman" w:cs="Times New Roman"/>
          <w:bCs/>
          <w:sz w:val="28"/>
          <w:szCs w:val="28"/>
          <w:lang w:eastAsia="ru-RU"/>
        </w:rPr>
        <w:t xml:space="preserve"> бюджетам муниципальных образований Приморского края на социальные выплаты молодым семьям для приобретения (строительства) стандартного жилья планируются в сумме 257,12 млн рублей.  </w:t>
      </w:r>
      <w:r w:rsidRPr="00522104">
        <w:rPr>
          <w:rFonts w:ascii="Times New Roman" w:hAnsi="Times New Roman" w:cs="Times New Roman"/>
          <w:sz w:val="28"/>
          <w:szCs w:val="28"/>
        </w:rPr>
        <w:t xml:space="preserve">По сравнению с утвержденными назначениями </w:t>
      </w:r>
      <w:r w:rsidRPr="00522104">
        <w:rPr>
          <w:rFonts w:ascii="Times New Roman" w:eastAsia="Times New Roman" w:hAnsi="Times New Roman" w:cs="Times New Roman"/>
          <w:bCs/>
          <w:sz w:val="28"/>
          <w:szCs w:val="28"/>
          <w:lang w:eastAsia="ru-RU"/>
        </w:rPr>
        <w:t>складывается снижение к уровню 2022 года (262,08 млн рублей) на 4,96 млн рублей и увеличение к уровню 2021 года (247,93 млн рублей) на 9,19 млн рублей. По состоянию на 01.10.2021 субсидии предоставлены в сумме 214,23 млн рублей, или 86,41 %, департаментом заключено 26 Соглашений и 20 дополнительных соглашений с администрациями муниципальных образований Приморского края о предоставлении субсидий.</w:t>
      </w:r>
    </w:p>
    <w:p w14:paraId="46C2E8EE" w14:textId="77777777" w:rsidR="00827437" w:rsidRPr="00087AD2" w:rsidRDefault="00827437" w:rsidP="00827437">
      <w:pPr>
        <w:spacing w:after="0" w:line="240" w:lineRule="auto"/>
        <w:ind w:firstLine="709"/>
        <w:jc w:val="both"/>
        <w:rPr>
          <w:rFonts w:ascii="Times New Roman" w:hAnsi="Times New Roman" w:cs="Times New Roman"/>
          <w:sz w:val="28"/>
          <w:szCs w:val="28"/>
        </w:rPr>
      </w:pPr>
      <w:r w:rsidRPr="00087AD2">
        <w:rPr>
          <w:rFonts w:ascii="Times New Roman" w:hAnsi="Times New Roman" w:cs="Times New Roman"/>
          <w:sz w:val="28"/>
          <w:szCs w:val="28"/>
        </w:rPr>
        <w:t>Кроме того, на уровне утвержденных назначений на 2021-2022 годы планируются законопроектом расходы:</w:t>
      </w:r>
    </w:p>
    <w:p w14:paraId="3E6EDEF5" w14:textId="13A826E7" w:rsidR="00827437" w:rsidRPr="00522104" w:rsidRDefault="00827437" w:rsidP="00827437">
      <w:pPr>
        <w:spacing w:after="0" w:line="240" w:lineRule="auto"/>
        <w:ind w:firstLine="709"/>
        <w:jc w:val="both"/>
        <w:rPr>
          <w:rFonts w:ascii="Times New Roman" w:hAnsi="Times New Roman" w:cs="Times New Roman"/>
          <w:sz w:val="28"/>
          <w:szCs w:val="28"/>
          <w:lang w:eastAsia="zh-CN"/>
        </w:rPr>
      </w:pPr>
      <w:r w:rsidRPr="00522104">
        <w:rPr>
          <w:rFonts w:ascii="Times New Roman" w:hAnsi="Times New Roman" w:cs="Times New Roman"/>
          <w:sz w:val="28"/>
          <w:szCs w:val="28"/>
        </w:rPr>
        <w:t>на п</w:t>
      </w:r>
      <w:r w:rsidRPr="00522104">
        <w:rPr>
          <w:rFonts w:ascii="Times New Roman" w:eastAsia="Times New Roman" w:hAnsi="Times New Roman" w:cs="Times New Roman"/>
          <w:sz w:val="28"/>
          <w:szCs w:val="28"/>
        </w:rPr>
        <w:t xml:space="preserve">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 </w:t>
      </w:r>
      <w:r w:rsidR="001E14C4" w:rsidRPr="00522104">
        <w:rPr>
          <w:rFonts w:ascii="Times New Roman" w:eastAsia="Times New Roman" w:hAnsi="Times New Roman" w:cs="Times New Roman"/>
          <w:sz w:val="28"/>
          <w:szCs w:val="28"/>
        </w:rPr>
        <w:t>–</w:t>
      </w:r>
      <w:r w:rsidRPr="00522104">
        <w:rPr>
          <w:rFonts w:ascii="Times New Roman" w:eastAsia="Times New Roman" w:hAnsi="Times New Roman" w:cs="Times New Roman"/>
          <w:sz w:val="28"/>
          <w:szCs w:val="28"/>
        </w:rPr>
        <w:t xml:space="preserve"> 4,35 млн рублей. Расчет на 2021 год выполнен </w:t>
      </w:r>
      <w:r w:rsidRPr="00522104">
        <w:rPr>
          <w:rFonts w:ascii="Times New Roman" w:hAnsi="Times New Roman" w:cs="Times New Roman"/>
          <w:sz w:val="28"/>
          <w:szCs w:val="28"/>
        </w:rPr>
        <w:t xml:space="preserve">исходя из количества получателей – 29 семей и нормы выплаты 150000 рублей на 1 семью. </w:t>
      </w:r>
      <w:r w:rsidRPr="00522104">
        <w:rPr>
          <w:rFonts w:ascii="Times New Roman" w:eastAsia="Times New Roman" w:hAnsi="Times New Roman" w:cs="Times New Roman"/>
          <w:sz w:val="28"/>
          <w:szCs w:val="28"/>
        </w:rPr>
        <w:t xml:space="preserve">За 9 месяцев 2021 года </w:t>
      </w:r>
      <w:r w:rsidRPr="00522104">
        <w:rPr>
          <w:rFonts w:ascii="Times New Roman" w:eastAsia="Times New Roman" w:hAnsi="Times New Roman" w:cs="Times New Roman"/>
          <w:bCs/>
          <w:sz w:val="28"/>
          <w:szCs w:val="28"/>
          <w:lang w:eastAsia="ru-RU"/>
        </w:rPr>
        <w:t xml:space="preserve">предоставлены дополнительные социальные выплаты </w:t>
      </w:r>
      <w:r w:rsidRPr="00522104">
        <w:rPr>
          <w:rFonts w:ascii="Times New Roman" w:hAnsi="Times New Roman" w:cs="Times New Roman"/>
          <w:sz w:val="28"/>
          <w:szCs w:val="28"/>
          <w:lang w:eastAsia="zh-CN"/>
        </w:rPr>
        <w:t>15 молодым семьям</w:t>
      </w:r>
      <w:r w:rsidRPr="00522104">
        <w:rPr>
          <w:rFonts w:ascii="Times New Roman" w:hAnsi="Times New Roman" w:cs="Times New Roman"/>
          <w:b/>
          <w:sz w:val="28"/>
          <w:szCs w:val="28"/>
          <w:lang w:eastAsia="zh-CN"/>
        </w:rPr>
        <w:t xml:space="preserve"> </w:t>
      </w:r>
      <w:r w:rsidRPr="00522104">
        <w:rPr>
          <w:rFonts w:ascii="Times New Roman" w:hAnsi="Times New Roman" w:cs="Times New Roman"/>
          <w:sz w:val="28"/>
          <w:szCs w:val="28"/>
          <w:lang w:eastAsia="zh-CN"/>
        </w:rPr>
        <w:t>в размере 5,00 % от расчетной стоимости жилья, общая сумма выплат составила – 2,98 млн рублей, или 68,58 %;</w:t>
      </w:r>
    </w:p>
    <w:p w14:paraId="3E6C3771" w14:textId="77777777" w:rsidR="00827437" w:rsidRPr="00522104" w:rsidRDefault="00827437" w:rsidP="00827437">
      <w:pPr>
        <w:tabs>
          <w:tab w:val="left" w:pos="0"/>
        </w:tabs>
        <w:suppressAutoHyphens/>
        <w:spacing w:after="0" w:line="240" w:lineRule="auto"/>
        <w:ind w:firstLine="709"/>
        <w:jc w:val="both"/>
        <w:rPr>
          <w:rFonts w:ascii="Times New Roman" w:hAnsi="Times New Roman" w:cs="Times New Roman"/>
          <w:sz w:val="28"/>
          <w:szCs w:val="28"/>
          <w:lang w:eastAsia="zh-CN"/>
        </w:rPr>
      </w:pPr>
      <w:r w:rsidRPr="00522104">
        <w:rPr>
          <w:rFonts w:ascii="Times New Roman" w:hAnsi="Times New Roman" w:cs="Times New Roman"/>
          <w:bCs/>
          <w:sz w:val="28"/>
          <w:szCs w:val="28"/>
          <w:lang w:eastAsia="zh-CN"/>
        </w:rPr>
        <w:t xml:space="preserve">на 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строительства индивидуального жилого дома для молодых семей - участников подпрограммы – </w:t>
      </w:r>
      <w:r w:rsidRPr="00522104">
        <w:rPr>
          <w:rFonts w:ascii="Times New Roman" w:hAnsi="Times New Roman" w:cs="Times New Roman"/>
          <w:sz w:val="28"/>
          <w:szCs w:val="28"/>
          <w:lang w:eastAsia="zh-CN"/>
        </w:rPr>
        <w:t>0,06 млн рублей. За 9 месяцев 2021 года исполнение составило 11,70 %, 26 муниципальным образованиям переданы 231 бланк свидетельств о праве на получение социальной выплаты для приобретения жилого помещения или создания объекта индивидуального жилищного строительства для молодых семей - участников подпрограммы (с учетом замен бланков свидетельств в случае замен молодых семей в списке молодых семей - претендентов на получение социальных выплат в 2021 году).</w:t>
      </w:r>
    </w:p>
    <w:p w14:paraId="5897CD1B" w14:textId="34E9150E" w:rsidR="00827437" w:rsidRPr="00522104" w:rsidRDefault="00827437" w:rsidP="00827437">
      <w:pPr>
        <w:shd w:val="clear" w:color="auto" w:fill="FFFFFF"/>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Контрольно-счетная палата в заключениях неоднократно отмечала, что существующие проблемы в оценке эффективности программы, не дают полной и объективной оценки результатов государственной поддержки. В частности, при использовании целевых индикаторов используются критерии, которые </w:t>
      </w:r>
      <w:r w:rsidRPr="00522104">
        <w:rPr>
          <w:rFonts w:ascii="Times New Roman" w:eastAsia="Times New Roman" w:hAnsi="Times New Roman" w:cs="Times New Roman"/>
          <w:sz w:val="28"/>
          <w:szCs w:val="28"/>
          <w:lang w:eastAsia="ru-RU"/>
        </w:rPr>
        <w:t>не показывают, насколько улучшилась ситуация с жильем у молодых семей, целевые показатели регулярно корректируются под фактически достигнутые</w:t>
      </w:r>
      <w:r w:rsidRPr="00522104">
        <w:rPr>
          <w:rFonts w:ascii="Times New Roman" w:hAnsi="Times New Roman" w:cs="Times New Roman"/>
          <w:sz w:val="28"/>
          <w:szCs w:val="28"/>
        </w:rPr>
        <w:t xml:space="preserve">. </w:t>
      </w:r>
    </w:p>
    <w:p w14:paraId="52A46398" w14:textId="7071AF43" w:rsidR="00827437" w:rsidRPr="00522104" w:rsidRDefault="00827437" w:rsidP="00827437">
      <w:pPr>
        <w:shd w:val="clear" w:color="auto" w:fill="FFFFFF"/>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hAnsi="Times New Roman" w:cs="Times New Roman"/>
          <w:i/>
          <w:sz w:val="28"/>
          <w:szCs w:val="28"/>
        </w:rPr>
        <w:t xml:space="preserve">Справочно: </w:t>
      </w:r>
      <w:r w:rsidR="001E14C4" w:rsidRPr="00522104">
        <w:rPr>
          <w:rFonts w:ascii="Times New Roman" w:hAnsi="Times New Roman" w:cs="Times New Roman"/>
          <w:i/>
          <w:sz w:val="28"/>
          <w:szCs w:val="28"/>
        </w:rPr>
        <w:t>п</w:t>
      </w:r>
      <w:r w:rsidRPr="00522104">
        <w:rPr>
          <w:rFonts w:ascii="Times New Roman" w:hAnsi="Times New Roman" w:cs="Times New Roman"/>
          <w:i/>
          <w:sz w:val="28"/>
          <w:szCs w:val="28"/>
        </w:rPr>
        <w:t xml:space="preserve">ри реализации подпрограммы не решается следующая проблема: </w:t>
      </w:r>
      <w:r w:rsidRPr="00522104">
        <w:rPr>
          <w:rFonts w:ascii="Times New Roman" w:eastAsia="Times New Roman" w:hAnsi="Times New Roman" w:cs="Times New Roman"/>
          <w:i/>
          <w:sz w:val="28"/>
          <w:szCs w:val="28"/>
          <w:lang w:eastAsia="ru-RU"/>
        </w:rPr>
        <w:t xml:space="preserve">так как многодетные семьи получают социальные выплаты в приоритетном порядке, семьи без детей, с одним и двумя детьми зачастую не успевают воспользоваться правом на получение социальной выплаты для улучшения своих жилищных условий. </w:t>
      </w:r>
    </w:p>
    <w:p w14:paraId="078D8F72"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b/>
          <w:i/>
          <w:sz w:val="28"/>
          <w:szCs w:val="28"/>
          <w:lang w:eastAsia="ru-RU"/>
        </w:rPr>
        <w:t>По подпрограмме "Предоставление детям-сиротам и детям, оставшимся без попечения родителей, лицам из их числа жилых помещений"</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з</w:t>
      </w:r>
      <w:r w:rsidRPr="00522104">
        <w:rPr>
          <w:rFonts w:ascii="Times New Roman" w:hAnsi="Times New Roman" w:cs="Times New Roman"/>
          <w:sz w:val="28"/>
          <w:szCs w:val="28"/>
        </w:rPr>
        <w:t xml:space="preserve">аконопроектом на 2022 год запланированы расходы в общей сумме 1467,76 млн рублей, что на 143,28 млн рублей, или на 10,82 %, больше утвержденных назначений (1324,48 млн рублей), но меньше на 869,37 млн рублей уровня 2021 года (2337,13 млн рублей). На 2023 - 2024 годы предусмотрено по 1467,76 млн рублей ежегодно. </w:t>
      </w:r>
    </w:p>
    <w:p w14:paraId="5CC4B7FE" w14:textId="4177CD91" w:rsidR="00827437" w:rsidRPr="00522104" w:rsidRDefault="00827437" w:rsidP="00827437">
      <w:pPr>
        <w:suppressAutoHyphens/>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список детей-сирот, детей, оставшихся без попечения родителей, и лиц из их числа на 01.01.2021 включено 7397 лиц указанной категории (на 01.09.2021 – 7369 человек). Из них число детей-сирот, являвшихся нанимателями или членам семьи нанимателя жилых помещений по договорам социального найма либо собственниками жилых помещений, чье проживание в этих жилых помещениях признано невозможным – 1279, впервые включены в список в возрасте старше 23 лет 1079 лиц.</w:t>
      </w:r>
    </w:p>
    <w:p w14:paraId="01D3723B" w14:textId="77777777" w:rsidR="00827437" w:rsidRPr="00522104" w:rsidRDefault="00827437" w:rsidP="00827437">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 xml:space="preserve">По состоянию на 01.10.2021: </w:t>
      </w:r>
    </w:p>
    <w:p w14:paraId="27D1E494" w14:textId="2C160DE4" w:rsidR="00827437" w:rsidRPr="00522104" w:rsidRDefault="00827437" w:rsidP="00827437">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право на получение жилого помещения наступило, но не реализовано у 4989 детей-сирот, из них 2287 – от 18 до 23 лет, 2702 – более 23 лет;</w:t>
      </w:r>
    </w:p>
    <w:p w14:paraId="3A3ABC83" w14:textId="496752C2" w:rsidR="00827437" w:rsidRPr="00522104" w:rsidRDefault="00827437" w:rsidP="00827437">
      <w:pPr>
        <w:tabs>
          <w:tab w:val="left" w:pos="1650"/>
        </w:tabs>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 xml:space="preserve">общая площадь приобретенных (построенных) жилых помещений </w:t>
      </w:r>
      <w:r w:rsidR="00FE45E9" w:rsidRPr="00522104">
        <w:rPr>
          <w:rFonts w:ascii="Times New Roman" w:eastAsia="Times New Roman" w:hAnsi="Times New Roman" w:cs="Times New Roman"/>
          <w:bCs/>
          <w:sz w:val="28"/>
          <w:szCs w:val="28"/>
          <w:lang w:eastAsia="ru-RU"/>
        </w:rPr>
        <w:t>–</w:t>
      </w:r>
      <w:r w:rsidRPr="00522104">
        <w:rPr>
          <w:rFonts w:ascii="Times New Roman" w:eastAsia="Times New Roman" w:hAnsi="Times New Roman" w:cs="Times New Roman"/>
          <w:bCs/>
          <w:sz w:val="28"/>
          <w:szCs w:val="28"/>
          <w:lang w:eastAsia="ru-RU"/>
        </w:rPr>
        <w:t xml:space="preserve"> 19,59 тыс. кв. м, или 49,15 %, от план</w:t>
      </w:r>
      <w:r w:rsidR="00FE45E9" w:rsidRPr="00522104">
        <w:rPr>
          <w:rFonts w:ascii="Times New Roman" w:eastAsia="Times New Roman" w:hAnsi="Times New Roman" w:cs="Times New Roman"/>
          <w:bCs/>
          <w:sz w:val="28"/>
          <w:szCs w:val="28"/>
          <w:lang w:eastAsia="ru-RU"/>
        </w:rPr>
        <w:t>а на 2021 год (39,86 тыс. кв. м</w:t>
      </w:r>
      <w:r w:rsidRPr="00522104">
        <w:rPr>
          <w:rFonts w:ascii="Times New Roman" w:eastAsia="Times New Roman" w:hAnsi="Times New Roman" w:cs="Times New Roman"/>
          <w:bCs/>
          <w:sz w:val="28"/>
          <w:szCs w:val="28"/>
          <w:lang w:eastAsia="ru-RU"/>
        </w:rPr>
        <w:t xml:space="preserve">), на 2022 год </w:t>
      </w:r>
      <w:r w:rsidR="00FE45E9" w:rsidRPr="00522104">
        <w:rPr>
          <w:rFonts w:ascii="Times New Roman" w:eastAsia="Times New Roman" w:hAnsi="Times New Roman" w:cs="Times New Roman"/>
          <w:bCs/>
          <w:sz w:val="28"/>
          <w:szCs w:val="28"/>
          <w:lang w:eastAsia="ru-RU"/>
        </w:rPr>
        <w:t xml:space="preserve">– </w:t>
      </w:r>
      <w:r w:rsidRPr="00522104">
        <w:rPr>
          <w:rFonts w:ascii="Times New Roman" w:eastAsia="Times New Roman" w:hAnsi="Times New Roman" w:cs="Times New Roman"/>
          <w:bCs/>
          <w:sz w:val="28"/>
          <w:szCs w:val="28"/>
          <w:lang w:eastAsia="ru-RU"/>
        </w:rPr>
        <w:t xml:space="preserve">в размере 35,90 тыс. кв. м; </w:t>
      </w:r>
    </w:p>
    <w:p w14:paraId="7A5EC7A7" w14:textId="4B2A45E8" w:rsidR="00827437" w:rsidRPr="00522104" w:rsidRDefault="00827437" w:rsidP="00827437">
      <w:pPr>
        <w:tabs>
          <w:tab w:val="left" w:pos="1650"/>
        </w:tabs>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неисполненные судебные решения (в Правительстве Приморского края)</w:t>
      </w:r>
      <w:r w:rsidR="00FE45E9" w:rsidRPr="00522104">
        <w:rPr>
          <w:rFonts w:ascii="Times New Roman" w:eastAsia="Times New Roman" w:hAnsi="Times New Roman" w:cs="Times New Roman"/>
          <w:bCs/>
          <w:sz w:val="28"/>
          <w:szCs w:val="28"/>
          <w:lang w:eastAsia="ru-RU"/>
        </w:rPr>
        <w:t> </w:t>
      </w:r>
      <w:r w:rsidRPr="00522104">
        <w:rPr>
          <w:rFonts w:ascii="Times New Roman" w:eastAsia="Times New Roman" w:hAnsi="Times New Roman" w:cs="Times New Roman"/>
          <w:bCs/>
          <w:sz w:val="28"/>
          <w:szCs w:val="28"/>
          <w:lang w:eastAsia="ru-RU"/>
        </w:rPr>
        <w:t>– 2564;</w:t>
      </w:r>
    </w:p>
    <w:p w14:paraId="211E383F" w14:textId="78EA8CC4" w:rsidR="00827437" w:rsidRPr="00522104" w:rsidRDefault="00827437" w:rsidP="00827437">
      <w:pPr>
        <w:tabs>
          <w:tab w:val="left" w:pos="1650"/>
        </w:tabs>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 xml:space="preserve">обеспечено жилыми помещениями </w:t>
      </w:r>
      <w:r w:rsidR="00FE45E9" w:rsidRPr="00522104">
        <w:rPr>
          <w:rFonts w:ascii="Times New Roman" w:eastAsia="Times New Roman" w:hAnsi="Times New Roman" w:cs="Times New Roman"/>
          <w:bCs/>
          <w:sz w:val="28"/>
          <w:szCs w:val="28"/>
          <w:lang w:eastAsia="ru-RU"/>
        </w:rPr>
        <w:t>–</w:t>
      </w:r>
      <w:r w:rsidRPr="00522104">
        <w:rPr>
          <w:rFonts w:ascii="Times New Roman" w:eastAsia="Times New Roman" w:hAnsi="Times New Roman" w:cs="Times New Roman"/>
          <w:bCs/>
          <w:sz w:val="28"/>
          <w:szCs w:val="28"/>
          <w:lang w:eastAsia="ru-RU"/>
        </w:rPr>
        <w:t xml:space="preserve"> 708 детей-сирот (из 1000 планируемых), из них 206 путем оплаты сертификата на приобретение жилого помещения в собственность и 503 по договорам найма специализированного жилого фонда;</w:t>
      </w:r>
    </w:p>
    <w:p w14:paraId="1F6095FE" w14:textId="77777777" w:rsidR="00827437" w:rsidRPr="00522104" w:rsidRDefault="00827437" w:rsidP="00827437">
      <w:pPr>
        <w:tabs>
          <w:tab w:val="left" w:pos="165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муниципальными образованиями Приморского края объявлено 766 аукционов, состоялось 426. </w:t>
      </w:r>
    </w:p>
    <w:p w14:paraId="5766E13A" w14:textId="0D3AE274" w:rsidR="00827437" w:rsidRPr="00522104" w:rsidRDefault="00827437" w:rsidP="00827437">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Отдельные целевые показатели в динамике с 2022 планируются со снижением, при условии, что будут достигнуты по итогу отчетного периода. Полагаем, что при существующей тенденции к низкому исполнению целевых показателей, уменьшение расходов на данные цели по сравнению с 2021 годом является недопустимым и влечет увеличение периода ожидания обеспечения жильем указанной категории получателей.</w:t>
      </w:r>
    </w:p>
    <w:p w14:paraId="20DB5181" w14:textId="77777777"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законопроекте на 2022 год министерству образования Приморского края планируется 1258,24 млн рублей, что на 143,28 млн рублей, или на 12,86 %, больше утвержденных назначений (1114,96 млн рублей), и меньше уровня 2021 года на 362,96 млн рублей, или на 22,39 % (1621,20 млн рублей), в том числе:</w:t>
      </w:r>
    </w:p>
    <w:p w14:paraId="18D276C4" w14:textId="270E35EA"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 предусмотрены средства краевого бюджета в размере 199,94 млн рублей, что на уровне утвержденных на 2022 год, но меньше на 500,53 млн рублей, или на 71,46 % (в 2021 году – 700,47 млн рублей), по состоянию на 01.10.2021 профинансировано 376,47 млн рублей, или 53,75 %</w:t>
      </w:r>
      <w:r w:rsidR="00FE45E9" w:rsidRPr="00522104">
        <w:rPr>
          <w:rFonts w:ascii="Times New Roman" w:hAnsi="Times New Roman" w:cs="Times New Roman"/>
          <w:sz w:val="28"/>
          <w:szCs w:val="28"/>
        </w:rPr>
        <w:t>,</w:t>
      </w:r>
      <w:r w:rsidRPr="00522104">
        <w:rPr>
          <w:rFonts w:ascii="Times New Roman" w:hAnsi="Times New Roman" w:cs="Times New Roman"/>
          <w:sz w:val="28"/>
          <w:szCs w:val="28"/>
        </w:rPr>
        <w:t xml:space="preserve"> от плана, подано 480 заявлений;</w:t>
      </w:r>
    </w:p>
    <w:p w14:paraId="5D22F9D2" w14:textId="444AA350"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 1058,30 млн рублей, что выше уровня утвержденных на 2022 год на 143,28 млн рублей (915,02 млн рублей), на 2021 – на 137,57 млн рублей (920,73 млн рублей). За отчетный период приобретено 229 квартир, а также </w:t>
      </w:r>
      <w:r w:rsidRPr="00522104">
        <w:rPr>
          <w:rFonts w:ascii="Times New Roman" w:hAnsi="Times New Roman" w:cs="Times New Roman"/>
          <w:i/>
          <w:sz w:val="28"/>
          <w:szCs w:val="28"/>
        </w:rPr>
        <w:t>муниципальными образованиями Приморского края на 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софинансируемы</w:t>
      </w:r>
      <w:r w:rsidR="00807342" w:rsidRPr="00522104">
        <w:rPr>
          <w:rFonts w:ascii="Times New Roman" w:hAnsi="Times New Roman" w:cs="Times New Roman"/>
          <w:i/>
          <w:sz w:val="28"/>
          <w:szCs w:val="28"/>
        </w:rPr>
        <w:t>х</w:t>
      </w:r>
      <w:r w:rsidRPr="00522104">
        <w:rPr>
          <w:rFonts w:ascii="Times New Roman" w:hAnsi="Times New Roman" w:cs="Times New Roman"/>
          <w:i/>
          <w:sz w:val="28"/>
          <w:szCs w:val="28"/>
        </w:rPr>
        <w:t xml:space="preserve"> из федерального бюджета, обеспечено 289 лиц из числа детей-сирот и детей, оставшихся без попечения родителей, по договорам найма. Справочно: по состоянию на 01.10.2021 профинансировано 549,31 млн рублей, или 59,66 %</w:t>
      </w:r>
      <w:r w:rsidR="00807342"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от плана (920,73 млн рублей). </w:t>
      </w:r>
    </w:p>
    <w:p w14:paraId="21D6C51B" w14:textId="248EF4FE"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u w:val="single"/>
        </w:rPr>
        <w:t xml:space="preserve">По министерству </w:t>
      </w:r>
      <w:r w:rsidRPr="00522104">
        <w:rPr>
          <w:rFonts w:ascii="Times New Roman" w:eastAsia="Times New Roman" w:hAnsi="Times New Roman" w:cs="Times New Roman"/>
          <w:sz w:val="28"/>
          <w:szCs w:val="28"/>
          <w:u w:val="single"/>
          <w:lang w:eastAsia="ru-RU"/>
        </w:rPr>
        <w:t xml:space="preserve">имущественных и земельных </w:t>
      </w:r>
      <w:r w:rsidRPr="00087AD2">
        <w:rPr>
          <w:rFonts w:ascii="Times New Roman" w:eastAsia="Times New Roman" w:hAnsi="Times New Roman" w:cs="Times New Roman"/>
          <w:sz w:val="28"/>
          <w:szCs w:val="28"/>
          <w:u w:val="single"/>
          <w:lang w:eastAsia="ru-RU"/>
        </w:rPr>
        <w:t xml:space="preserve">отношений </w:t>
      </w:r>
      <w:r w:rsidR="00087AD2" w:rsidRPr="00087AD2">
        <w:rPr>
          <w:rFonts w:ascii="Times New Roman" w:eastAsia="Times New Roman" w:hAnsi="Times New Roman" w:cs="Times New Roman"/>
          <w:sz w:val="28"/>
          <w:szCs w:val="28"/>
          <w:u w:val="single"/>
          <w:lang w:eastAsia="ru-RU"/>
        </w:rPr>
        <w:t>Приморского края</w:t>
      </w:r>
      <w:r w:rsidR="00087AD2">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на 2022 год </w:t>
      </w:r>
      <w:r w:rsidRPr="00522104">
        <w:rPr>
          <w:rFonts w:ascii="Times New Roman" w:hAnsi="Times New Roman" w:cs="Times New Roman"/>
          <w:sz w:val="28"/>
          <w:szCs w:val="28"/>
        </w:rPr>
        <w:t xml:space="preserve">расходы планируются в сумме </w:t>
      </w:r>
      <w:r w:rsidRPr="00522104">
        <w:rPr>
          <w:rFonts w:ascii="Times New Roman" w:eastAsia="Times New Roman" w:hAnsi="Times New Roman" w:cs="Times New Roman"/>
          <w:sz w:val="28"/>
          <w:szCs w:val="28"/>
          <w:lang w:eastAsia="ru-RU"/>
        </w:rPr>
        <w:t>209,52 млн рублей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(утверждены на 2022 год – 209,52 млн рублей, на 202</w:t>
      </w:r>
      <w:r w:rsidR="00DF29FE" w:rsidRPr="00522104">
        <w:rPr>
          <w:rFonts w:ascii="Times New Roman" w:eastAsia="Times New Roman" w:hAnsi="Times New Roman" w:cs="Times New Roman"/>
          <w:sz w:val="28"/>
          <w:szCs w:val="28"/>
          <w:lang w:eastAsia="ru-RU"/>
        </w:rPr>
        <w:t>1</w:t>
      </w:r>
      <w:r w:rsidRPr="00522104">
        <w:rPr>
          <w:rFonts w:ascii="Times New Roman" w:eastAsia="Times New Roman" w:hAnsi="Times New Roman" w:cs="Times New Roman"/>
          <w:sz w:val="28"/>
          <w:szCs w:val="28"/>
          <w:lang w:eastAsia="ru-RU"/>
        </w:rPr>
        <w:t xml:space="preserve"> год – 702,87 млн рублей).</w:t>
      </w:r>
    </w:p>
    <w:p w14:paraId="47547227" w14:textId="44CAE4ED"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i/>
          <w:sz w:val="28"/>
          <w:szCs w:val="28"/>
        </w:rPr>
        <w:t xml:space="preserve">Справочно: </w:t>
      </w:r>
      <w:r w:rsidR="00807342" w:rsidRPr="00522104">
        <w:rPr>
          <w:rFonts w:ascii="Times New Roman" w:hAnsi="Times New Roman" w:cs="Times New Roman"/>
          <w:i/>
          <w:sz w:val="28"/>
          <w:szCs w:val="28"/>
        </w:rPr>
        <w:t>в</w:t>
      </w:r>
      <w:r w:rsidRPr="00522104">
        <w:rPr>
          <w:rFonts w:ascii="Times New Roman" w:hAnsi="Times New Roman" w:cs="Times New Roman"/>
          <w:i/>
          <w:sz w:val="28"/>
          <w:szCs w:val="28"/>
        </w:rPr>
        <w:t xml:space="preserve"> 2021 году на данные бюджетные средства планировалось приобрести 107 квартир, по состоянию на 01.10.2021 размещено 267 электронных аукционов на сумму 447,49 млн рублей (149 аукционов не состоялось), заключено 114 государственных контрактов (106 жилых помещений зарегистрированы в собственность Приморского края; 2 жилых помещения находятся на регистрации</w:t>
      </w:r>
      <w:r w:rsidR="00807342"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6 на стадии приемки жилых помещений</w:t>
      </w:r>
      <w:r w:rsidR="00807342"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105 оплачено на сумму 183,94 млн рублей</w:t>
      </w:r>
      <w:r w:rsidR="00807342"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по 106 жилым помещениям информация направлена для включения в казну Приморского края и в специализированный жилищный фонд.</w:t>
      </w:r>
    </w:p>
    <w:p w14:paraId="0DAC17BD"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На 2022 год не планируются расходы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 (утверждены на 2021 год – 502,87 млн рублей). За 9 месяцев исполнение составило 148,72 млн рублей, или 29,57 %. </w:t>
      </w:r>
      <w:r w:rsidRPr="00522104">
        <w:rPr>
          <w:rFonts w:ascii="Times New Roman" w:hAnsi="Times New Roman" w:cs="Times New Roman"/>
          <w:sz w:val="28"/>
          <w:szCs w:val="28"/>
        </w:rPr>
        <w:t>На данные бюджетные средства планируется приобрести не менее 131 квартиры, в том числе посредством участия в долевом строительстве планируется освоить 250,00 млн рублей.</w:t>
      </w:r>
    </w:p>
    <w:p w14:paraId="1E1771C6" w14:textId="351E1A31"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По министерству строительства Приморского края на 2022 год</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не планируются расходы</w:t>
      </w:r>
      <w:r w:rsidRPr="00522104">
        <w:rPr>
          <w:rFonts w:ascii="Times New Roman" w:eastAsia="Times New Roman" w:hAnsi="Times New Roman" w:cs="Times New Roman"/>
          <w:i/>
          <w:sz w:val="28"/>
          <w:szCs w:val="28"/>
          <w:lang w:eastAsia="ru-RU"/>
        </w:rPr>
        <w:t xml:space="preserve"> </w:t>
      </w:r>
      <w:r w:rsidRPr="00522104">
        <w:rPr>
          <w:rFonts w:ascii="Times New Roman" w:eastAsia="Times New Roman" w:hAnsi="Times New Roman" w:cs="Times New Roman"/>
          <w:sz w:val="28"/>
          <w:szCs w:val="28"/>
          <w:lang w:eastAsia="ru-RU"/>
        </w:rPr>
        <w:t>на 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родителей (утверждены на 2021 год 13,06 млн рублей, за 9 месяцев расходы составили 2,307 млн рублей, или 17,65</w:t>
      </w:r>
      <w:r w:rsidR="00405723"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  </w:t>
      </w:r>
      <w:r w:rsidRPr="00522104">
        <w:rPr>
          <w:rFonts w:ascii="Times New Roman" w:hAnsi="Times New Roman" w:cs="Times New Roman"/>
          <w:sz w:val="28"/>
          <w:szCs w:val="28"/>
        </w:rPr>
        <w:t>Низкий процент исполнения бюджетных ассигнований в 2021 году связан с тем, что в сентябре 2021 года заказчиком – КГКУ "Управление капитального строительства Приморского края" в одностороннем порядке расторгнут контракт на выполнение ремонта жилых домов в г. Находка в рамках реализации мероприятия "Ремонт жилых помещений, предназначенных для детей-сирот, детей, оставшихся без попечения родителей", заключенный с подрядчиком – ООО "Гамма65" на сумму 10,0 млн рублей. В Решении от 06.09.2021 об одностороннем отказе заказчика от исполнения контракта указано, что при установленном сроке выполнения ремонтных работ – до 30.11.2021 (включительно), подрядчиком – ООО "Гамма65" не принят объект для выполнения ремонтных работ, не представлена заказчику информация о назначении лиц ответственных за производство работ, ремонтные работы по состоянию на 27.08.2021 не велись.</w:t>
      </w:r>
    </w:p>
    <w:p w14:paraId="047470AE" w14:textId="5EDF9B8C"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Учитывая вышеизложенное, считаем целесообразным предусмотреть на 2022 год средства краевого бюджета на ремонт жилых домов для детей-сирот</w:t>
      </w:r>
      <w:r w:rsidR="00405723" w:rsidRPr="00522104">
        <w:rPr>
          <w:rFonts w:ascii="Times New Roman" w:hAnsi="Times New Roman" w:cs="Times New Roman"/>
          <w:sz w:val="28"/>
          <w:szCs w:val="28"/>
        </w:rPr>
        <w:t>.</w:t>
      </w:r>
    </w:p>
    <w:p w14:paraId="02137C16" w14:textId="5D3CE353" w:rsidR="00827437" w:rsidRPr="00522104" w:rsidRDefault="00827437" w:rsidP="00827437">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Стоит отметить, что Порядок взаимодействия органов исполнительной власти Приморского края с органами местного самоуправления муниципальных районов, городских округов Приморского края по осуществлению ими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утвержденный постановлением Администрации Приморского края от 06.03.2019 № 149-па, не предусматривает взаимодействие </w:t>
      </w:r>
      <w:r w:rsidR="00811D6C">
        <w:rPr>
          <w:rFonts w:ascii="Times New Roman" w:hAnsi="Times New Roman" w:cs="Times New Roman"/>
          <w:sz w:val="28"/>
          <w:szCs w:val="28"/>
        </w:rPr>
        <w:t>органов исполнительной власти</w:t>
      </w:r>
      <w:r w:rsidRPr="00522104">
        <w:rPr>
          <w:rFonts w:ascii="Times New Roman" w:hAnsi="Times New Roman" w:cs="Times New Roman"/>
          <w:sz w:val="28"/>
          <w:szCs w:val="28"/>
        </w:rPr>
        <w:t xml:space="preserve"> с органами местного самоуправления по проведению ремонта жилых помещений для детей-сирот.</w:t>
      </w:r>
    </w:p>
    <w:p w14:paraId="408C064C"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"Создание условий для обеспечения качественными услугами жилищно-коммунального хозяйства Приморского края"</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в законопроекте на 2022 год расходы составят 9574,05 млн рублей, по сравнению с утвержденными назначениями (7645,05 млн рублей) увеличены на 1929,00 млн рублей, а на 2021 год на 360,25 млн рублей (план – 9213,80 млн рублей). На 2023 год предусмотрено 6324,00 млн рублей, на 2024 год – 4541,62 млн рублей.</w:t>
      </w:r>
    </w:p>
    <w:p w14:paraId="56DA7531" w14:textId="6C123294"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законопроекте на 2022 год по сравнению с 2021 годом не планируются расходы:</w:t>
      </w:r>
    </w:p>
    <w:p w14:paraId="15CEB2A5" w14:textId="77777777" w:rsidR="00827437" w:rsidRPr="00522104" w:rsidRDefault="00827437" w:rsidP="00827437">
      <w:pPr>
        <w:spacing w:after="0" w:line="240" w:lineRule="auto"/>
        <w:ind w:firstLine="709"/>
        <w:jc w:val="both"/>
        <w:rPr>
          <w:rFonts w:ascii="Times New Roman" w:hAnsi="Times New Roman" w:cs="Times New Roman"/>
          <w:bCs/>
          <w:sz w:val="28"/>
          <w:szCs w:val="28"/>
        </w:rPr>
      </w:pPr>
      <w:r w:rsidRPr="00522104">
        <w:rPr>
          <w:rFonts w:ascii="Times New Roman" w:hAnsi="Times New Roman" w:cs="Times New Roman"/>
          <w:bCs/>
          <w:sz w:val="28"/>
          <w:szCs w:val="28"/>
        </w:rPr>
        <w:t>по министерству строительства Приморского края на:</w:t>
      </w:r>
    </w:p>
    <w:p w14:paraId="35A80F40" w14:textId="6A688870"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охрану объекта "Строительство объектов обеспечения водоснабжения г.</w:t>
      </w:r>
      <w:r w:rsidR="005D6A64" w:rsidRPr="00522104">
        <w:rPr>
          <w:rFonts w:ascii="Times New Roman" w:hAnsi="Times New Roman" w:cs="Times New Roman"/>
          <w:sz w:val="28"/>
          <w:szCs w:val="28"/>
        </w:rPr>
        <w:t> </w:t>
      </w:r>
      <w:r w:rsidRPr="00522104">
        <w:rPr>
          <w:rFonts w:ascii="Times New Roman" w:hAnsi="Times New Roman" w:cs="Times New Roman"/>
          <w:sz w:val="28"/>
          <w:szCs w:val="28"/>
        </w:rPr>
        <w:t>Владивостока и других населенных пунктов Приморского края из подземных источников Пушкинского месторождения" Второй этап строительства. Первый пусковой комплекс. Водовод от сопки Опорная до резервуаров чистой воды на о. Русский" (в 2021 году – 1,05 млн рублей, за 9 месяцев расходы исполнены на 84,21 %</w:t>
      </w:r>
      <w:r w:rsidR="005D6A64" w:rsidRPr="00522104">
        <w:rPr>
          <w:rFonts w:ascii="Times New Roman" w:hAnsi="Times New Roman" w:cs="Times New Roman"/>
          <w:sz w:val="28"/>
          <w:szCs w:val="28"/>
        </w:rPr>
        <w:t>,</w:t>
      </w:r>
      <w:r w:rsidRPr="00522104">
        <w:rPr>
          <w:rFonts w:ascii="Times New Roman" w:hAnsi="Times New Roman" w:cs="Times New Roman"/>
          <w:sz w:val="28"/>
          <w:szCs w:val="28"/>
        </w:rPr>
        <w:t xml:space="preserve"> или 0,88 млн рублей). По информации министерства</w:t>
      </w:r>
      <w:r w:rsidR="005D6A64" w:rsidRPr="00522104">
        <w:rPr>
          <w:rFonts w:ascii="Times New Roman" w:hAnsi="Times New Roman" w:cs="Times New Roman"/>
          <w:sz w:val="28"/>
          <w:szCs w:val="28"/>
        </w:rPr>
        <w:t>,</w:t>
      </w:r>
      <w:r w:rsidRPr="00522104">
        <w:rPr>
          <w:rFonts w:ascii="Times New Roman" w:hAnsi="Times New Roman" w:cs="Times New Roman"/>
          <w:sz w:val="28"/>
          <w:szCs w:val="28"/>
        </w:rPr>
        <w:t xml:space="preserve"> о</w:t>
      </w:r>
      <w:r w:rsidRPr="00522104">
        <w:rPr>
          <w:rFonts w:ascii="Times New Roman" w:eastAsia="Times New Roman" w:hAnsi="Times New Roman" w:cs="Times New Roman"/>
          <w:sz w:val="28"/>
          <w:shd w:val="clear" w:color="auto" w:fill="FFFFFF"/>
        </w:rPr>
        <w:t>бъект находится в стадии ввода в эксплуатацию (4 квартал 2021 года);</w:t>
      </w:r>
    </w:p>
    <w:p w14:paraId="0B5DE3A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обслуживание, ревизию водовода от сопки Опорной до РВЧ на о. Русский до постановки объекта на кадастровый учет (в 2021 году – 1,80 млн рублей, за 9 месяцев исполнено 0,30 млн рублей).</w:t>
      </w:r>
      <w:r w:rsidRPr="00522104">
        <w:rPr>
          <w:rFonts w:ascii="Times New Roman" w:eastAsia="Times New Roman" w:hAnsi="Times New Roman" w:cs="Times New Roman"/>
          <w:sz w:val="28"/>
        </w:rPr>
        <w:t xml:space="preserve"> Средства планируется освоить при передаче объекта в эксплуатацию в 4 квартале 2021 года.</w:t>
      </w:r>
    </w:p>
    <w:p w14:paraId="2BF2D8C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Cs/>
          <w:sz w:val="28"/>
          <w:szCs w:val="28"/>
        </w:rPr>
        <w:t xml:space="preserve">по министерству жилищно-коммунального хозяйства Приморского края на </w:t>
      </w:r>
      <w:r w:rsidRPr="00522104">
        <w:rPr>
          <w:rFonts w:ascii="Times New Roman" w:hAnsi="Times New Roman" w:cs="Times New Roman"/>
          <w:sz w:val="28"/>
          <w:szCs w:val="28"/>
        </w:rPr>
        <w:t>субсидии бюджетам муниципальных образований Приморского края на капитальный ремонт фасадов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 (в 2021 году – 185,00 млн рублей, за 9 месяцев 2021 года расходы не осуществлялись).</w:t>
      </w:r>
    </w:p>
    <w:p w14:paraId="1E742297" w14:textId="77777777" w:rsidR="00827437" w:rsidRPr="00522104" w:rsidRDefault="00827437" w:rsidP="00827437">
      <w:pPr>
        <w:spacing w:after="0" w:line="240" w:lineRule="auto"/>
        <w:ind w:firstLine="709"/>
        <w:jc w:val="both"/>
        <w:rPr>
          <w:rFonts w:ascii="Times New Roman" w:hAnsi="Times New Roman" w:cs="Times New Roman"/>
          <w:bCs/>
          <w:sz w:val="28"/>
          <w:szCs w:val="28"/>
        </w:rPr>
      </w:pPr>
      <w:r w:rsidRPr="00522104">
        <w:rPr>
          <w:rFonts w:ascii="Times New Roman" w:hAnsi="Times New Roman" w:cs="Times New Roman"/>
          <w:sz w:val="28"/>
          <w:szCs w:val="28"/>
        </w:rPr>
        <w:t xml:space="preserve">Законопроектом планируются расходы на 2022 год </w:t>
      </w:r>
      <w:r w:rsidRPr="00522104">
        <w:rPr>
          <w:rFonts w:ascii="Times New Roman" w:hAnsi="Times New Roman" w:cs="Times New Roman"/>
          <w:bCs/>
          <w:sz w:val="28"/>
          <w:szCs w:val="28"/>
        </w:rPr>
        <w:t>по министерству жилищно-коммунального хозяйства Приморского края в сумме 9574,05 млн рублей:</w:t>
      </w:r>
    </w:p>
    <w:p w14:paraId="685FC6D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Cs/>
          <w:sz w:val="28"/>
          <w:szCs w:val="28"/>
        </w:rPr>
        <w:t>с увеличением к утвержденным назначениям на:</w:t>
      </w:r>
    </w:p>
    <w:p w14:paraId="3D5BBA43" w14:textId="4BB85D55"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116,71 млн рублей, или больше на 64,69 млн рублей</w:t>
      </w:r>
      <w:r w:rsidR="005D6A64"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сравнению с утвержденными назначениями (52,02 млн рублей), на 62,66 млн рублей – на 2021 год (утверждено 54,05 млн рублей</w:t>
      </w:r>
      <w:r w:rsidRPr="00522104">
        <w:rPr>
          <w:rStyle w:val="af"/>
          <w:rFonts w:ascii="Times New Roman" w:hAnsi="Times New Roman" w:cs="Times New Roman"/>
          <w:sz w:val="28"/>
          <w:szCs w:val="28"/>
        </w:rPr>
        <w:footnoteReference w:id="34"/>
      </w:r>
      <w:r w:rsidRPr="00522104">
        <w:rPr>
          <w:rFonts w:ascii="Times New Roman" w:hAnsi="Times New Roman" w:cs="Times New Roman"/>
          <w:sz w:val="28"/>
          <w:szCs w:val="28"/>
        </w:rPr>
        <w:t xml:space="preserve">) </w:t>
      </w:r>
      <w:r w:rsidR="005D6A64"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 проектирование и (или) строительство, реконструкцию (модернизацию), капитальный ремонт объектов водопроводно-канализационного хозяйства четырех муниципальных образований</w:t>
      </w:r>
      <w:r w:rsidRPr="00522104">
        <w:rPr>
          <w:rStyle w:val="af"/>
          <w:rFonts w:ascii="Times New Roman" w:hAnsi="Times New Roman" w:cs="Times New Roman"/>
          <w:sz w:val="28"/>
          <w:szCs w:val="28"/>
        </w:rPr>
        <w:footnoteReference w:id="35"/>
      </w:r>
      <w:r w:rsidRPr="00522104">
        <w:rPr>
          <w:rFonts w:ascii="Times New Roman" w:hAnsi="Times New Roman" w:cs="Times New Roman"/>
          <w:sz w:val="28"/>
          <w:szCs w:val="28"/>
        </w:rPr>
        <w:t>. За 9 месяцев 2021 года финансирование произведено в сумме 43,85 млн рублей. Средства направлены в полном объеме Яковлевскому МР. Неосвоенный остаток – 10,20 млн рублей (ГО Большой Камень);</w:t>
      </w:r>
    </w:p>
    <w:p w14:paraId="3F4FD5CD" w14:textId="439D4A62" w:rsidR="00992D08" w:rsidRPr="00522104" w:rsidRDefault="00992D08" w:rsidP="00992D08">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612,97 млн рублей, или больше на 1,86 млн рублей</w:t>
      </w:r>
      <w:r w:rsidR="002000F5" w:rsidRPr="00522104">
        <w:rPr>
          <w:rFonts w:ascii="Times New Roman" w:hAnsi="Times New Roman" w:cs="Times New Roman"/>
          <w:sz w:val="28"/>
          <w:szCs w:val="28"/>
        </w:rPr>
        <w:t>,</w:t>
      </w:r>
      <w:r w:rsidRPr="00522104">
        <w:rPr>
          <w:rFonts w:ascii="Times New Roman" w:hAnsi="Times New Roman" w:cs="Times New Roman"/>
          <w:sz w:val="28"/>
          <w:szCs w:val="28"/>
        </w:rPr>
        <w:t xml:space="preserve"> по сравнению с утвержденными назначениями (611,11 млн рублей), на 162,39 млн рублей – на 2021 год (450,58 млн рублей) </w:t>
      </w:r>
      <w:r w:rsidR="0010471B"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 осуществление капитальных вложений в объекты государственной собственности Приморского края в сфере жилищно-коммунального хозяйства. В соответствии с адресной инвестиционной программой Приморского края на 2022 год планируются расходы: на реконструкцию систем водоснабжения (ЗАТО ГО Фокино, с.</w:t>
      </w:r>
      <w:r w:rsidR="0010471B" w:rsidRPr="00522104">
        <w:rPr>
          <w:rFonts w:ascii="Times New Roman" w:hAnsi="Times New Roman" w:cs="Times New Roman"/>
          <w:sz w:val="28"/>
          <w:szCs w:val="28"/>
        </w:rPr>
        <w:t xml:space="preserve"> Краснореченский в общем объеме </w:t>
      </w:r>
      <w:r w:rsidRPr="00522104">
        <w:rPr>
          <w:rFonts w:ascii="Times New Roman" w:hAnsi="Times New Roman" w:cs="Times New Roman"/>
          <w:sz w:val="28"/>
          <w:szCs w:val="28"/>
        </w:rPr>
        <w:t xml:space="preserve">75,66 млн рублей), на строительство водозаборов (15,32 млн рублей), а также на строительство объектов инженерной инфраструктуры на ТОСЭР "Надеждинская" </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521,99 млн рублей (станция водоподготовки на Пушкинском месторождении пресных вод). По ТОСЭР "Михайловский" расходы не планируются в связи с ожидаемым завершением работ и вводом в эксплуатацию до конца 2021 года. За отчетный период 2021 года расходы на строительство объектов инженерной инфраструктуры ТОСЭР исполнены в сумме 83,96 млн рублей, или 18,63 %</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от годовых плановых назначений (450,58 млн рублей), в том числе по ТОСЭР "Надеждинская" – 71,94 млн рублей (план на 2021 год – 192,19 млн рублей), ТОСЭР "Михайловский" – 12,02 млн рублей (план на 2021 год – 258,39 млн рублей);</w:t>
      </w:r>
    </w:p>
    <w:p w14:paraId="3A28EEC2" w14:textId="76C39DA6"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428,65 млн рублей, или больше на 41,13 млн рублей, к утвержденным назначениям (387,52 млн рублей) и на 15,24 млн рублей к уровню 2021 года (413,41 млн рублей) – на 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 Исполнено за 9 месяцев</w:t>
      </w:r>
      <w:r w:rsidR="008D6896" w:rsidRPr="00522104">
        <w:rPr>
          <w:rFonts w:ascii="Times New Roman" w:hAnsi="Times New Roman" w:cs="Times New Roman"/>
          <w:sz w:val="28"/>
          <w:szCs w:val="28"/>
        </w:rPr>
        <w:t> </w:t>
      </w:r>
      <w:r w:rsidRPr="00522104">
        <w:rPr>
          <w:rFonts w:ascii="Times New Roman" w:hAnsi="Times New Roman" w:cs="Times New Roman"/>
          <w:sz w:val="28"/>
          <w:szCs w:val="28"/>
        </w:rPr>
        <w:t>– 314,68 млн рублей, или 76,12 %;</w:t>
      </w:r>
    </w:p>
    <w:p w14:paraId="4F5C531A" w14:textId="6F39A8F4"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3363,13 млн рублей, или больше на 2471,23 млн рублей, в 3,77 раза (Закон № 969-КЗ на 2022 год – 891,90 млн рублей, на 2021 год – 1675,74 млн рублей) – на субсидии на финансовое обеспечение и (или) возмещение затрат, связанных с приобретением топлива. По информации министерства</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увеличение расходов связано с ростом стоимости топлива на 67,0 %. По информации министерства</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 отчетный период субсидии предоставлялись 4 организациям на сумму 1045,82 млн рублей, в том числе на финансовое обеспечение – 1002,13 млн рублей; на возмещение затрат, связанных с приобретением топлива</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43,69 млн рублей (объем топочного мазута, по которому предоставлены субсидии, составил 120,305 тыс. тонн, при утвержденном объеме на 2021 год в размере 235,55 тыс. тонн);</w:t>
      </w:r>
    </w:p>
    <w:p w14:paraId="23ECDB59" w14:textId="3EA24619"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100,00 млн рублей </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 субсидии бюджетам муниципальных образований Приморского края на обеспечение граждан твердым топливом (утверждено на 2021 год 109,83 млн рублей, на 2022 год не утверждено).</w:t>
      </w:r>
    </w:p>
    <w:p w14:paraId="50A7A312" w14:textId="5F125285"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Уменьшены расходы в законопроекте на 2022 год по сравнению с утвержденными назначениями</w:t>
      </w:r>
      <w:r w:rsidRPr="00522104">
        <w:rPr>
          <w:rFonts w:ascii="Times New Roman" w:hAnsi="Times New Roman" w:cs="Times New Roman"/>
          <w:b/>
          <w:sz w:val="28"/>
          <w:szCs w:val="28"/>
        </w:rPr>
        <w:t xml:space="preserve"> </w:t>
      </w:r>
      <w:r w:rsidRPr="00522104">
        <w:rPr>
          <w:rFonts w:ascii="Times New Roman" w:hAnsi="Times New Roman" w:cs="Times New Roman"/>
          <w:sz w:val="28"/>
          <w:szCs w:val="28"/>
        </w:rPr>
        <w:t xml:space="preserve">на 749,91 млн рублей и составят 4072,25 млн рублей (утверждено на 2022 год 4822,17 млн рублей, на 2021 год </w:t>
      </w:r>
      <w:r w:rsidR="008D6896" w:rsidRPr="00522104">
        <w:rPr>
          <w:rFonts w:ascii="Times New Roman" w:hAnsi="Times New Roman" w:cs="Times New Roman"/>
          <w:sz w:val="28"/>
          <w:szCs w:val="28"/>
        </w:rPr>
        <w:t>–</w:t>
      </w:r>
      <w:r w:rsidRPr="00522104">
        <w:rPr>
          <w:rFonts w:ascii="Times New Roman" w:hAnsi="Times New Roman" w:cs="Times New Roman"/>
          <w:sz w:val="28"/>
          <w:szCs w:val="28"/>
        </w:rPr>
        <w:t xml:space="preserve"> 5357,94 млн рублей) – на 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p w14:paraId="4A27DD27" w14:textId="7F773523"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hAnsi="Times New Roman" w:cs="Times New Roman"/>
          <w:i/>
          <w:sz w:val="28"/>
          <w:szCs w:val="28"/>
        </w:rPr>
        <w:t>По ФП "Чистая вода"</w:t>
      </w:r>
      <w:r w:rsidRPr="00522104">
        <w:rPr>
          <w:rFonts w:ascii="Times New Roman" w:hAnsi="Times New Roman" w:cs="Times New Roman"/>
          <w:sz w:val="28"/>
          <w:szCs w:val="28"/>
        </w:rPr>
        <w:t xml:space="preserve"> на 2022 год законопроектом запланированы </w:t>
      </w:r>
      <w:r w:rsidRPr="00522104">
        <w:rPr>
          <w:rFonts w:ascii="Times New Roman" w:eastAsia="Calibri" w:hAnsi="Times New Roman" w:cs="Times New Roman"/>
          <w:sz w:val="28"/>
          <w:szCs w:val="28"/>
        </w:rPr>
        <w:t>субсидии бюджетам муниципальных образований Приморского края на строительство и реконструкцию (модернизацию) объектов питьевого водоснабжения в сумме 880,33 млн рублей, в том числе федеральные средства</w:t>
      </w:r>
      <w:r w:rsidR="008D6896" w:rsidRPr="00522104">
        <w:rPr>
          <w:rFonts w:ascii="Times New Roman" w:eastAsia="Calibri" w:hAnsi="Times New Roman" w:cs="Times New Roman"/>
          <w:sz w:val="28"/>
          <w:szCs w:val="28"/>
        </w:rPr>
        <w:t> </w:t>
      </w:r>
      <w:r w:rsidRPr="00522104">
        <w:rPr>
          <w:rFonts w:ascii="Times New Roman" w:eastAsia="Calibri" w:hAnsi="Times New Roman" w:cs="Times New Roman"/>
          <w:sz w:val="28"/>
          <w:szCs w:val="28"/>
        </w:rPr>
        <w:t xml:space="preserve">– 862,72 млн рублей, краевые – 17,61 млн рублей, то есть на уровне бюджетных ассигнований, утвержденных Законом № 969-КЗ на 2022 год. По сравнению с 2021 годом </w:t>
      </w:r>
      <w:r w:rsidR="008D6896"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меньше на 84,07 млн рублей (964,40 млн рублей, в том числе за счет федерального бюджета – 945,10 млн рублей, краевого – 19,30</w:t>
      </w:r>
      <w:r w:rsidR="008D6896" w:rsidRPr="00522104">
        <w:rPr>
          <w:rFonts w:ascii="Times New Roman" w:eastAsia="Calibri" w:hAnsi="Times New Roman" w:cs="Times New Roman"/>
          <w:sz w:val="28"/>
          <w:szCs w:val="28"/>
        </w:rPr>
        <w:t> </w:t>
      </w:r>
      <w:r w:rsidRPr="00522104">
        <w:rPr>
          <w:rFonts w:ascii="Times New Roman" w:eastAsia="Calibri" w:hAnsi="Times New Roman" w:cs="Times New Roman"/>
          <w:sz w:val="28"/>
          <w:szCs w:val="28"/>
        </w:rPr>
        <w:t>млн рублей). На 2023 год запланированы расходы в сумме 102,41 млн рублей, на 2024 год – 135,01 млн рублей.</w:t>
      </w:r>
    </w:p>
    <w:p w14:paraId="765C056B" w14:textId="77777777"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Кроме того, в 2023-2024 году включены расходы на строительство и реконструкцию (модернизацию) объектов питьевого водоснабжения (субсидии на осуществление капитальных вложений краевым государственным унитарным предприятиям) в сумме 929,86 млн рублей и 556,85 млн рублей соответственно.</w:t>
      </w:r>
    </w:p>
    <w:p w14:paraId="4348DB6C" w14:textId="4DE6572C"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eastAsia="Calibri" w:hAnsi="Times New Roman" w:cs="Times New Roman"/>
          <w:sz w:val="28"/>
          <w:szCs w:val="28"/>
        </w:rPr>
        <w:t xml:space="preserve">За 9 месяцев 2021 года средства ФП РП освоены в сумме </w:t>
      </w:r>
      <w:r w:rsidRPr="00522104">
        <w:rPr>
          <w:rFonts w:ascii="Times New Roman" w:hAnsi="Times New Roman" w:cs="Times New Roman"/>
          <w:sz w:val="28"/>
          <w:szCs w:val="28"/>
        </w:rPr>
        <w:t>625,27 млн рублей, что составляет 64,83 %, в том числе за счет федерального бюджета – 612,77 млн рублей, что составляет 64,80 %, краевого бюджет</w:t>
      </w:r>
      <w:r w:rsidR="008137DB" w:rsidRPr="00522104">
        <w:rPr>
          <w:rFonts w:ascii="Times New Roman" w:hAnsi="Times New Roman" w:cs="Times New Roman"/>
          <w:sz w:val="28"/>
          <w:szCs w:val="28"/>
        </w:rPr>
        <w:t>а</w:t>
      </w:r>
      <w:r w:rsidRPr="00522104">
        <w:rPr>
          <w:rFonts w:ascii="Times New Roman" w:hAnsi="Times New Roman" w:cs="Times New Roman"/>
          <w:sz w:val="28"/>
          <w:szCs w:val="28"/>
        </w:rPr>
        <w:t xml:space="preserve"> </w:t>
      </w:r>
      <w:r w:rsidR="008137DB" w:rsidRPr="00522104">
        <w:rPr>
          <w:rFonts w:ascii="Times New Roman" w:hAnsi="Times New Roman" w:cs="Times New Roman"/>
          <w:sz w:val="28"/>
          <w:szCs w:val="28"/>
        </w:rPr>
        <w:t xml:space="preserve">– </w:t>
      </w:r>
      <w:r w:rsidRPr="00522104">
        <w:rPr>
          <w:rFonts w:ascii="Times New Roman" w:hAnsi="Times New Roman" w:cs="Times New Roman"/>
          <w:sz w:val="28"/>
          <w:szCs w:val="28"/>
        </w:rPr>
        <w:t xml:space="preserve">12,50 млн рублей, что составляет 64,83 %. Заключены соглашения с Арсеньевским ГО, Ханкайским МР, Хорольским МР, Зарубинским ГП, Славянским ГП, Пожарским МР, Пограничным МО, Октябрьским МО на выполнение работ по строительству объектов водоснабжения. </w:t>
      </w:r>
    </w:p>
    <w:p w14:paraId="5D169A52" w14:textId="61F4EDA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"Переселение граждан из аварийного жилищного фонда в Приморском крае"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на 2022 год бюджетные средства предусмотрены</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министерству строительства Приморского края в рамках ФП "Обеспечение устойчивого сокращения непригодного для проживания жилищного фонда" в объеме 2576,86 млн рублей, в соответствии с утвержденными назначениями, но меньше чем утверждено на предыдущий год на 612,51 млн рублей (3189,37</w:t>
      </w:r>
      <w:r w:rsidR="008137DB"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w:t>
      </w:r>
      <w:r w:rsidR="008137DB" w:rsidRPr="00522104">
        <w:rPr>
          <w:rFonts w:ascii="Times New Roman" w:eastAsia="Times New Roman" w:hAnsi="Times New Roman" w:cs="Times New Roman"/>
          <w:sz w:val="28"/>
          <w:szCs w:val="28"/>
          <w:lang w:eastAsia="ru-RU"/>
        </w:rPr>
        <w:t>й</w:t>
      </w:r>
      <w:r w:rsidRPr="00522104">
        <w:rPr>
          <w:rFonts w:ascii="Times New Roman" w:eastAsia="Times New Roman" w:hAnsi="Times New Roman" w:cs="Times New Roman"/>
          <w:sz w:val="28"/>
          <w:szCs w:val="28"/>
          <w:lang w:eastAsia="ru-RU"/>
        </w:rPr>
        <w:t>).</w:t>
      </w:r>
    </w:p>
    <w:p w14:paraId="472B1EB2" w14:textId="77777777"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За 9 месяцев 2021 года на реализацию мероприятий направлено: </w:t>
      </w:r>
    </w:p>
    <w:p w14:paraId="5C456383" w14:textId="0646F977"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 переселению граждан из аварийного жилищного фонда с учетом необходимости развития малоэтажного жилищного строительства за</w:t>
      </w:r>
      <w:r w:rsidR="008137DB" w:rsidRPr="00522104">
        <w:rPr>
          <w:rFonts w:ascii="Times New Roman" w:hAnsi="Times New Roman" w:cs="Times New Roman"/>
          <w:sz w:val="28"/>
          <w:szCs w:val="28"/>
        </w:rPr>
        <w:t xml:space="preserve"> счет средств краевого бюджета –</w:t>
      </w:r>
      <w:r w:rsidRPr="00522104">
        <w:rPr>
          <w:rFonts w:ascii="Times New Roman" w:hAnsi="Times New Roman" w:cs="Times New Roman"/>
          <w:sz w:val="28"/>
          <w:szCs w:val="28"/>
        </w:rPr>
        <w:t xml:space="preserve"> 294,21 млн рублей, или 38,6 %; </w:t>
      </w:r>
    </w:p>
    <w:p w14:paraId="6D07720D" w14:textId="6BDD0C77"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 – 1322,03 млн рублей, или 54,5</w:t>
      </w:r>
      <w:r w:rsidR="008137DB" w:rsidRPr="00522104">
        <w:rPr>
          <w:rFonts w:ascii="Times New Roman" w:hAnsi="Times New Roman" w:cs="Times New Roman"/>
          <w:sz w:val="28"/>
          <w:szCs w:val="28"/>
        </w:rPr>
        <w:t xml:space="preserve"> </w:t>
      </w:r>
      <w:r w:rsidRPr="00522104">
        <w:rPr>
          <w:rFonts w:ascii="Times New Roman" w:hAnsi="Times New Roman" w:cs="Times New Roman"/>
          <w:sz w:val="28"/>
          <w:szCs w:val="28"/>
        </w:rPr>
        <w:t>%.</w:t>
      </w:r>
    </w:p>
    <w:p w14:paraId="51AF5847" w14:textId="48522D03" w:rsidR="00827437" w:rsidRPr="00522104" w:rsidRDefault="00827437" w:rsidP="00827437">
      <w:pPr>
        <w:spacing w:after="0" w:line="240" w:lineRule="auto"/>
        <w:ind w:firstLine="680"/>
        <w:contextualSpacing/>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zh-CN"/>
        </w:rPr>
        <w:t>Согласно ФП (РП) в 2021 году планируется завершение 2 этапа (2020-2021 годы) реализации программы</w:t>
      </w:r>
      <w:r w:rsidR="008137DB" w:rsidRPr="00522104">
        <w:rPr>
          <w:rFonts w:ascii="Times New Roman" w:eastAsia="Times New Roman" w:hAnsi="Times New Roman" w:cs="Times New Roman"/>
          <w:sz w:val="28"/>
          <w:szCs w:val="28"/>
          <w:lang w:eastAsia="zh-CN"/>
        </w:rPr>
        <w:t>,</w:t>
      </w:r>
      <w:r w:rsidRPr="00522104">
        <w:rPr>
          <w:rFonts w:ascii="Times New Roman" w:eastAsia="Times New Roman" w:hAnsi="Times New Roman" w:cs="Times New Roman"/>
          <w:sz w:val="28"/>
          <w:szCs w:val="28"/>
          <w:lang w:eastAsia="zh-CN"/>
        </w:rPr>
        <w:t xml:space="preserve"> переселение граждан из аварийного жилищного фонда планируется осуществлять во вновь построенные жилые дома. Сроки завершения строительства определены до 01.12.2021, завершени</w:t>
      </w:r>
      <w:r w:rsidR="008137DB" w:rsidRPr="00522104">
        <w:rPr>
          <w:rFonts w:ascii="Times New Roman" w:eastAsia="Times New Roman" w:hAnsi="Times New Roman" w:cs="Times New Roman"/>
          <w:sz w:val="28"/>
          <w:szCs w:val="28"/>
          <w:lang w:eastAsia="zh-CN"/>
        </w:rPr>
        <w:t>е</w:t>
      </w:r>
      <w:r w:rsidRPr="00522104">
        <w:rPr>
          <w:rFonts w:ascii="Times New Roman" w:eastAsia="Times New Roman" w:hAnsi="Times New Roman" w:cs="Times New Roman"/>
          <w:sz w:val="28"/>
          <w:szCs w:val="28"/>
          <w:lang w:eastAsia="zh-CN"/>
        </w:rPr>
        <w:t xml:space="preserve"> переселения граждан </w:t>
      </w:r>
      <w:r w:rsidR="008137DB" w:rsidRPr="00522104">
        <w:rPr>
          <w:rFonts w:ascii="Times New Roman" w:eastAsia="Times New Roman" w:hAnsi="Times New Roman" w:cs="Times New Roman"/>
          <w:sz w:val="28"/>
          <w:szCs w:val="28"/>
          <w:lang w:eastAsia="zh-CN"/>
        </w:rPr>
        <w:t>–</w:t>
      </w:r>
      <w:r w:rsidRPr="00522104">
        <w:rPr>
          <w:rFonts w:ascii="Times New Roman" w:eastAsia="Times New Roman" w:hAnsi="Times New Roman" w:cs="Times New Roman"/>
          <w:sz w:val="28"/>
          <w:szCs w:val="28"/>
          <w:lang w:eastAsia="zh-CN"/>
        </w:rPr>
        <w:t xml:space="preserve"> до 31.12.2021. </w:t>
      </w:r>
      <w:r w:rsidRPr="00522104">
        <w:rPr>
          <w:rFonts w:ascii="Times New Roman" w:hAnsi="Times New Roman" w:cs="Times New Roman"/>
          <w:sz w:val="28"/>
          <w:szCs w:val="28"/>
        </w:rPr>
        <w:t xml:space="preserve">ФП (РП) планируется расселение </w:t>
      </w:r>
      <w:r w:rsidRPr="00522104">
        <w:rPr>
          <w:rFonts w:ascii="Times New Roman" w:eastAsia="Calibri" w:hAnsi="Times New Roman" w:cs="Times New Roman"/>
          <w:sz w:val="28"/>
          <w:szCs w:val="28"/>
        </w:rPr>
        <w:t>(нарастающим итогом)</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zh-CN"/>
        </w:rPr>
        <w:t>к</w:t>
      </w:r>
      <w:r w:rsidRPr="00522104">
        <w:rPr>
          <w:rFonts w:ascii="Times New Roman" w:hAnsi="Times New Roman" w:cs="Times New Roman"/>
          <w:sz w:val="28"/>
          <w:szCs w:val="28"/>
        </w:rPr>
        <w:t xml:space="preserve"> концу 2021 года</w:t>
      </w:r>
      <w:r w:rsidRPr="00522104">
        <w:rPr>
          <w:rFonts w:ascii="Times New Roman" w:eastAsia="Times New Roman" w:hAnsi="Times New Roman" w:cs="Times New Roman"/>
          <w:spacing w:val="-2"/>
          <w:sz w:val="28"/>
          <w:szCs w:val="28"/>
        </w:rPr>
        <w:t xml:space="preserve"> </w:t>
      </w:r>
      <w:r w:rsidRPr="00522104">
        <w:rPr>
          <w:rFonts w:ascii="Times New Roman" w:hAnsi="Times New Roman" w:cs="Times New Roman"/>
          <w:sz w:val="28"/>
          <w:szCs w:val="28"/>
        </w:rPr>
        <w:t xml:space="preserve">1460 человек </w:t>
      </w:r>
      <w:r w:rsidRPr="00522104">
        <w:rPr>
          <w:rFonts w:ascii="Times New Roman" w:eastAsia="Times New Roman" w:hAnsi="Times New Roman" w:cs="Times New Roman"/>
          <w:spacing w:val="-2"/>
          <w:sz w:val="28"/>
          <w:szCs w:val="28"/>
        </w:rPr>
        <w:t xml:space="preserve">из 26,21 </w:t>
      </w:r>
      <w:r w:rsidRPr="00522104">
        <w:rPr>
          <w:rFonts w:ascii="Times New Roman" w:hAnsi="Times New Roman" w:cs="Times New Roman"/>
          <w:sz w:val="28"/>
          <w:szCs w:val="28"/>
        </w:rPr>
        <w:t>тыс. кв. м.</w:t>
      </w:r>
    </w:p>
    <w:p w14:paraId="4EDA89DD" w14:textId="77777777" w:rsidR="00827437" w:rsidRPr="00522104" w:rsidRDefault="00827437" w:rsidP="00827437">
      <w:pPr>
        <w:pStyle w:val="af9"/>
        <w:ind w:firstLine="709"/>
        <w:jc w:val="both"/>
        <w:rPr>
          <w:rFonts w:ascii="Times New Roman" w:hAnsi="Times New Roman"/>
          <w:sz w:val="28"/>
          <w:szCs w:val="28"/>
        </w:rPr>
      </w:pPr>
      <w:r w:rsidRPr="00522104">
        <w:rPr>
          <w:rFonts w:ascii="Times New Roman" w:hAnsi="Times New Roman"/>
          <w:sz w:val="28"/>
          <w:szCs w:val="28"/>
        </w:rPr>
        <w:t>По информации министерства строительства Приморского края, в 2021 году реализация мероприятий программы составляет 115,97 % по расселяемой площади и 105 % по переселяемым гражданам. Переселено 1547 человек из 741 помещения площадью 30,4 тыс. кв. м. Объем заключенных контрактов составляет 52,09 тыс. кв. м (50,9 %) от объема необходимого для расселения жилых помещений, общей стоимостью 2932,94 млн рублей.</w:t>
      </w:r>
    </w:p>
    <w:p w14:paraId="30E7B69B" w14:textId="28728D16" w:rsidR="00827437" w:rsidRPr="00522104" w:rsidRDefault="00827437" w:rsidP="00827437">
      <w:pPr>
        <w:suppressAutoHyphens/>
        <w:spacing w:after="0" w:line="240" w:lineRule="auto"/>
        <w:ind w:firstLine="709"/>
        <w:jc w:val="both"/>
        <w:rPr>
          <w:rFonts w:ascii="Times New Roman" w:eastAsia="Times New Roman" w:hAnsi="Times New Roman" w:cs="Times New Roman"/>
          <w:sz w:val="28"/>
          <w:szCs w:val="28"/>
          <w:lang w:eastAsia="zh-CN"/>
        </w:rPr>
      </w:pPr>
      <w:r w:rsidRPr="00522104">
        <w:rPr>
          <w:rFonts w:ascii="Times New Roman" w:eastAsia="Times New Roman" w:hAnsi="Times New Roman" w:cs="Times New Roman"/>
          <w:sz w:val="28"/>
          <w:szCs w:val="28"/>
          <w:lang w:eastAsia="zh-CN"/>
        </w:rPr>
        <w:t>В рамках 3 этапа (2021-2022 годы) до 31.12.2021 обеспечивается контрактация по программе в размере не менее 90 % общего объема расселяемой площади. Реализацию 3 этапа планируется завершить до 31.12.2022. Приоритетным способом реализации является переселение во вновь построенные жилые дома. В иных случаях переселение осуществляется в приобретенные на вторичном рынке жилые помещения.</w:t>
      </w:r>
    </w:p>
    <w:p w14:paraId="4455318C" w14:textId="0242C606" w:rsidR="00827437" w:rsidRPr="00522104" w:rsidRDefault="00827437" w:rsidP="00827437">
      <w:pPr>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ФП (РП) планируется расселение </w:t>
      </w:r>
      <w:r w:rsidRPr="00522104">
        <w:rPr>
          <w:rFonts w:ascii="Times New Roman" w:eastAsia="Calibri" w:hAnsi="Times New Roman" w:cs="Times New Roman"/>
          <w:sz w:val="28"/>
          <w:szCs w:val="28"/>
        </w:rPr>
        <w:t>(нарастающим итогом)</w:t>
      </w:r>
      <w:r w:rsidRPr="00522104">
        <w:rPr>
          <w:rFonts w:ascii="Times New Roman" w:hAnsi="Times New Roman" w:cs="Times New Roman"/>
          <w:sz w:val="28"/>
          <w:szCs w:val="28"/>
        </w:rPr>
        <w:t>: к концу 2022 года</w:t>
      </w:r>
      <w:r w:rsidRPr="00522104">
        <w:rPr>
          <w:rFonts w:ascii="Times New Roman" w:eastAsia="Calibri" w:hAnsi="Times New Roman" w:cs="Times New Roman"/>
          <w:sz w:val="28"/>
          <w:szCs w:val="28"/>
        </w:rPr>
        <w:t xml:space="preserve"> </w:t>
      </w:r>
      <w:r w:rsidR="009A5794"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34,79 </w:t>
      </w:r>
      <w:r w:rsidRPr="00522104">
        <w:rPr>
          <w:rFonts w:ascii="Times New Roman" w:hAnsi="Times New Roman" w:cs="Times New Roman"/>
          <w:sz w:val="28"/>
          <w:szCs w:val="28"/>
        </w:rPr>
        <w:t>тыс. кв. метров аварийного жилищного фонда в 7 муниципальных образованиях Приморского края; к концу 2023 года</w:t>
      </w:r>
      <w:r w:rsidRPr="00522104">
        <w:rPr>
          <w:rFonts w:ascii="Times New Roman" w:eastAsia="Calibri" w:hAnsi="Times New Roman" w:cs="Times New Roman"/>
          <w:sz w:val="28"/>
          <w:szCs w:val="28"/>
        </w:rPr>
        <w:t xml:space="preserve"> </w:t>
      </w:r>
      <w:r w:rsidR="009A5794"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45,93 </w:t>
      </w:r>
      <w:r w:rsidRPr="00522104">
        <w:rPr>
          <w:rFonts w:ascii="Times New Roman" w:hAnsi="Times New Roman" w:cs="Times New Roman"/>
          <w:sz w:val="28"/>
          <w:szCs w:val="28"/>
        </w:rPr>
        <w:t>тыс. кв. метров аварийного жилищного фонда в 6 муниципальных образованиях; к концу 2024 года</w:t>
      </w:r>
      <w:r w:rsidRPr="00522104">
        <w:rPr>
          <w:rFonts w:ascii="Times New Roman" w:eastAsia="Calibri" w:hAnsi="Times New Roman" w:cs="Times New Roman"/>
          <w:sz w:val="28"/>
          <w:szCs w:val="28"/>
        </w:rPr>
        <w:t xml:space="preserve"> </w:t>
      </w:r>
      <w:r w:rsidR="009A5794" w:rsidRPr="00522104">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74,97 </w:t>
      </w:r>
      <w:r w:rsidRPr="00522104">
        <w:rPr>
          <w:rFonts w:ascii="Times New Roman" w:hAnsi="Times New Roman" w:cs="Times New Roman"/>
          <w:sz w:val="28"/>
          <w:szCs w:val="28"/>
        </w:rPr>
        <w:t>тыс. кв. метров аварийного жилищного фонда в 22 муниципальных образованиях.</w:t>
      </w:r>
    </w:p>
    <w:p w14:paraId="135AAE84" w14:textId="5D80F032" w:rsidR="00827437" w:rsidRPr="00522104" w:rsidRDefault="00827437" w:rsidP="00827437">
      <w:pPr>
        <w:autoSpaceDE w:val="0"/>
        <w:autoSpaceDN w:val="0"/>
        <w:adjustRightInd w:val="0"/>
        <w:spacing w:after="0" w:line="240" w:lineRule="auto"/>
        <w:ind w:firstLine="68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 xml:space="preserve">Подпрограммой "Доступная ипотека" </w:t>
      </w:r>
      <w:r w:rsidRPr="00522104">
        <w:rPr>
          <w:rFonts w:ascii="Times New Roman" w:eastAsia="Times New Roman" w:hAnsi="Times New Roman" w:cs="Times New Roman"/>
          <w:sz w:val="28"/>
          <w:szCs w:val="28"/>
          <w:lang w:eastAsia="ru-RU"/>
        </w:rPr>
        <w:t xml:space="preserve">расходы планируются в сумме 140,00 млн рублей, что по сравнению с Законом № 969-КЗ: на 2022 год – больше на 40,00 млн рублей (утверждено 100,0 млн рублей), на 2021 год </w:t>
      </w:r>
      <w:r w:rsidR="009A579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меньше на 0,94 млн рублей (утверждено 140,94 млн рублей), по министерству строительства Приморского края на 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 </w:t>
      </w:r>
    </w:p>
    <w:p w14:paraId="18E5AB96" w14:textId="77777777" w:rsidR="00827437" w:rsidRPr="00522104" w:rsidRDefault="00827437" w:rsidP="00827437">
      <w:pPr>
        <w:spacing w:after="0" w:line="240" w:lineRule="auto"/>
        <w:ind w:firstLine="680"/>
        <w:jc w:val="both"/>
        <w:rPr>
          <w:rFonts w:ascii="Times New Roman" w:eastAsia="Times New Roman" w:hAnsi="Times New Roman" w:cs="Times New Roman"/>
          <w:sz w:val="28"/>
          <w:shd w:val="clear" w:color="auto" w:fill="FFFFFF"/>
        </w:rPr>
      </w:pPr>
      <w:r w:rsidRPr="00522104">
        <w:rPr>
          <w:rFonts w:ascii="Times New Roman" w:eastAsia="Times New Roman" w:hAnsi="Times New Roman" w:cs="Times New Roman"/>
          <w:sz w:val="28"/>
          <w:shd w:val="clear" w:color="auto" w:fill="FFFFFF"/>
        </w:rPr>
        <w:t xml:space="preserve">За 9 месяцев 2021 года субсидия предоставлена АО "Корпорация развития жилищного строительства" в полном объеме на финансовое обеспечение затрат, возникших при продаже российским кредитным организациям закладных отдельных категорий граждан, которым предоставлены ипотечные жилищные займы со сниженной процентной ставкой на однократное приобретение (строительство) жилого помещения (квартиры) в многоквартирном доме на первичном или вторичном рынке жилья на территории Приморского края. </w:t>
      </w:r>
    </w:p>
    <w:p w14:paraId="3DF464B8" w14:textId="2FB8F72C" w:rsidR="00827437" w:rsidRPr="00522104" w:rsidRDefault="00827437" w:rsidP="00827437">
      <w:pPr>
        <w:spacing w:after="0" w:line="240" w:lineRule="auto"/>
        <w:ind w:firstLine="680"/>
        <w:jc w:val="both"/>
        <w:rPr>
          <w:rFonts w:ascii="Times New Roman" w:hAnsi="Times New Roman" w:cs="Times New Roman"/>
          <w:sz w:val="28"/>
          <w:szCs w:val="28"/>
        </w:rPr>
      </w:pPr>
      <w:r w:rsidRPr="00522104">
        <w:rPr>
          <w:rFonts w:ascii="Times New Roman" w:hAnsi="Times New Roman" w:cs="Times New Roman"/>
          <w:sz w:val="28"/>
          <w:szCs w:val="28"/>
        </w:rPr>
        <w:t xml:space="preserve">Показатель "количество выданных ипотечных жилищных кредитов (займов) со сниженной процентной ставкой отдельным категориям граждан" на 2021 год составляет 352 займа, по состоянию на 01.10.2021 выдано 215 займов (61 %), показатель на 2022 год </w:t>
      </w:r>
      <w:r w:rsidR="009A5794" w:rsidRPr="00522104">
        <w:rPr>
          <w:rFonts w:ascii="Times New Roman" w:hAnsi="Times New Roman" w:cs="Times New Roman"/>
          <w:sz w:val="28"/>
          <w:szCs w:val="28"/>
        </w:rPr>
        <w:t>–</w:t>
      </w:r>
      <w:r w:rsidRPr="00522104">
        <w:rPr>
          <w:rFonts w:ascii="Times New Roman" w:hAnsi="Times New Roman" w:cs="Times New Roman"/>
          <w:sz w:val="28"/>
          <w:szCs w:val="28"/>
        </w:rPr>
        <w:t xml:space="preserve"> 250 займов, на 2023 год </w:t>
      </w:r>
      <w:r w:rsidR="009A5794" w:rsidRPr="00522104">
        <w:rPr>
          <w:rFonts w:ascii="Times New Roman" w:hAnsi="Times New Roman" w:cs="Times New Roman"/>
          <w:sz w:val="28"/>
          <w:szCs w:val="28"/>
        </w:rPr>
        <w:t>–</w:t>
      </w:r>
      <w:r w:rsidRPr="00522104">
        <w:rPr>
          <w:rFonts w:ascii="Times New Roman" w:hAnsi="Times New Roman" w:cs="Times New Roman"/>
          <w:sz w:val="28"/>
          <w:szCs w:val="28"/>
        </w:rPr>
        <w:t xml:space="preserve"> 250 займов, на 2024 год </w:t>
      </w:r>
      <w:r w:rsidR="009A5794" w:rsidRPr="00522104">
        <w:rPr>
          <w:rFonts w:ascii="Times New Roman" w:hAnsi="Times New Roman" w:cs="Times New Roman"/>
          <w:sz w:val="28"/>
          <w:szCs w:val="28"/>
        </w:rPr>
        <w:t>–</w:t>
      </w:r>
      <w:r w:rsidRPr="00522104">
        <w:rPr>
          <w:rFonts w:ascii="Times New Roman" w:hAnsi="Times New Roman" w:cs="Times New Roman"/>
          <w:sz w:val="28"/>
          <w:szCs w:val="28"/>
        </w:rPr>
        <w:t xml:space="preserve"> 250 займов. </w:t>
      </w:r>
    </w:p>
    <w:p w14:paraId="63C8CEC4" w14:textId="65EF17D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eastAsia="Times New Roman" w:hAnsi="Times New Roman" w:cs="Times New Roman"/>
          <w:b/>
          <w:i/>
          <w:sz w:val="28"/>
          <w:szCs w:val="28"/>
          <w:lang w:eastAsia="ru-RU"/>
        </w:rPr>
        <w:t>Подпрограммой "Обеспечение деятельности органов исполнительной власти, осуществляющих реализацию государственной программы"</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бюджетные ассигнования на 2022 год планируются в сумме 668,06 млн рублей, больше, чем утверждено Законом № 969-КЗ на тот же год на 115,36 млн рублей (552,70 млн рублей)</w:t>
      </w:r>
      <w:r w:rsidR="009A579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 меньше чем утверждено на 2021 год на 3336,63 млн рублей, в основном в связи с отсутствием в законопроекте расходов </w:t>
      </w:r>
      <w:r w:rsidRPr="00522104">
        <w:rPr>
          <w:rFonts w:ascii="Times New Roman" w:hAnsi="Times New Roman" w:cs="Times New Roman"/>
          <w:sz w:val="28"/>
          <w:szCs w:val="28"/>
        </w:rPr>
        <w:t xml:space="preserve">на субсидии: </w:t>
      </w:r>
    </w:p>
    <w:p w14:paraId="29B132EF"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на увеличение уставного фонда КГУП "Примтеплоэнерго" (в 2021 году – 371,23 млн рублей); </w:t>
      </w:r>
    </w:p>
    <w:p w14:paraId="0DFBCCB9"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краевым государственным унитарным предприятиям на возмещение недополученных доходов из-за нереальной к взысканию дебиторской задолженности населения за коммунальные услуги (200,00 млн рублей);</w:t>
      </w:r>
    </w:p>
    <w:p w14:paraId="0FE99D24"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КГУП "Примтеплоэнерго" на финансовое оздоровление в 2021 году – 2701,08 млн рублей.</w:t>
      </w:r>
    </w:p>
    <w:p w14:paraId="103E2FF1"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Также не планируются расходы на внесение изменений в схему территориального планирования Приморского края (в 2021 году – 37,00 млн рублей). Согласно действующей редакции ГП на 2022 год бюджетные средства не предусмотрены.</w:t>
      </w:r>
    </w:p>
    <w:p w14:paraId="3CC1FD6D"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Увеличены расходы на 2022 год на 27,60 млн рублей, или на 73,21 % на 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 (в 2021 году – 37,70 млн рублей, в 2022 году – 65,30 млн рублей).</w:t>
      </w:r>
    </w:p>
    <w:p w14:paraId="7924265F"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eastAsia="Times New Roman" w:hAnsi="Times New Roman" w:cs="Times New Roman"/>
          <w:b/>
          <w:i/>
          <w:sz w:val="28"/>
          <w:szCs w:val="28"/>
          <w:lang w:eastAsia="ru-RU"/>
        </w:rPr>
        <w:t xml:space="preserve">На уровне утвержденных законом № 969-КЗ на 2022 год планируются расходы </w:t>
      </w:r>
      <w:r w:rsidRPr="00522104">
        <w:rPr>
          <w:rFonts w:ascii="Times New Roman" w:hAnsi="Times New Roman" w:cs="Times New Roman"/>
          <w:sz w:val="28"/>
          <w:szCs w:val="28"/>
        </w:rPr>
        <w:t xml:space="preserve">на подготовку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 – 29,46 млн рублей. </w:t>
      </w:r>
    </w:p>
    <w:p w14:paraId="7AE0FA4D" w14:textId="661FB42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rPr>
      </w:pPr>
      <w:r w:rsidRPr="00522104">
        <w:rPr>
          <w:rFonts w:ascii="Times New Roman" w:hAnsi="Times New Roman" w:cs="Times New Roman"/>
          <w:sz w:val="28"/>
          <w:szCs w:val="28"/>
        </w:rPr>
        <w:t>С увеличением в законопроекте планируются расходы на субсидии на осуществление уставной деятельности фонда Приморского края "Фонд капитального ремонта многоквартирных домов Приморского края" на 169,02 млн рублей (утверждено на 2021 год – 165,62 млн рублей, на 2022 год</w:t>
      </w:r>
      <w:r w:rsidR="009A5794" w:rsidRPr="00522104">
        <w:rPr>
          <w:rFonts w:ascii="Times New Roman" w:hAnsi="Times New Roman" w:cs="Times New Roman"/>
          <w:sz w:val="28"/>
          <w:szCs w:val="28"/>
        </w:rPr>
        <w:t> </w:t>
      </w:r>
      <w:r w:rsidRPr="00522104">
        <w:rPr>
          <w:rFonts w:ascii="Times New Roman" w:hAnsi="Times New Roman" w:cs="Times New Roman"/>
          <w:sz w:val="28"/>
          <w:szCs w:val="28"/>
        </w:rPr>
        <w:t>– 162,52 млн рублей).</w:t>
      </w:r>
    </w:p>
    <w:p w14:paraId="23EF5C7A"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p>
    <w:p w14:paraId="30BB7B94"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23776" behindDoc="0" locked="0" layoutInCell="1" allowOverlap="1" wp14:anchorId="3A04FE90" wp14:editId="6CA6AF5B">
            <wp:simplePos x="0" y="0"/>
            <wp:positionH relativeFrom="column">
              <wp:posOffset>96641</wp:posOffset>
            </wp:positionH>
            <wp:positionV relativeFrom="paragraph">
              <wp:posOffset>635</wp:posOffset>
            </wp:positionV>
            <wp:extent cx="1956435" cy="1132840"/>
            <wp:effectExtent l="0" t="0" r="0" b="0"/>
            <wp:wrapSquare wrapText="bothSides"/>
            <wp:docPr id="25" name="Рисунок 25" descr="C:\Users\zavzyataya_sv\Desktop\Картинки\22366-0.jpg"/>
            <wp:cNvGraphicFramePr/>
            <a:graphic xmlns:a="http://schemas.openxmlformats.org/drawingml/2006/main">
              <a:graphicData uri="http://schemas.openxmlformats.org/drawingml/2006/picture">
                <pic:pic xmlns:pic="http://schemas.openxmlformats.org/drawingml/2006/picture">
                  <pic:nvPicPr>
                    <pic:cNvPr id="21" name="Рисунок 21" descr="C:\Users\zavzyataya_sv\Desktop\Картинки\22366-0.jpg"/>
                    <pic:cNvPicPr/>
                  </pic:nvPicPr>
                  <pic:blipFill rotWithShape="1">
                    <a:blip r:embed="rId42">
                      <a:extLst>
                        <a:ext uri="{28A0092B-C50C-407E-A947-70E740481C1C}">
                          <a14:useLocalDpi xmlns:a14="http://schemas.microsoft.com/office/drawing/2010/main" val="0"/>
                        </a:ext>
                      </a:extLst>
                    </a:blip>
                    <a:srcRect l="6313" t="23461" r="4906" b="4243"/>
                    <a:stretch/>
                  </pic:blipFill>
                  <pic:spPr bwMode="auto">
                    <a:xfrm>
                      <a:off x="0" y="0"/>
                      <a:ext cx="1956435" cy="1132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p w14:paraId="2380ACA4"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представленному проекту паспорта ГП ответственным исполнителем является министерство по делам гражданской обороны, защиты от чрезвычайных ситуаций и ликвидации последствий стихийных бедствий Приморского края</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соисполнителями определены 3 органа исполнительной власти Приморского края (министерство сельского хозяйства Приморского края, департамент информационной политики Приморского края, министерство строительства Приморского края). В действующей редакции ГП (от 27.10.2021) в качестве соисполнителя также указано министерство образования Приморского края.</w:t>
      </w:r>
    </w:p>
    <w:p w14:paraId="1A6BDB2F"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Структура, цели, задачи, сроки реализации, ожидаемые результаты реализации ГП не изменены и соответствуют действующей редакции ГП.</w:t>
      </w:r>
    </w:p>
    <w:p w14:paraId="36C4581E" w14:textId="77777777"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 рамках ГП достижение национальных целей, определенных Указом Президента Российской Федерации от 21.07.2020 № 474 "О национальных целях развития Российской Федерации на период до 2030 года", не осуществляется.</w:t>
      </w:r>
    </w:p>
    <w:p w14:paraId="257539A9" w14:textId="1F953CA5"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Объемы бюджетных ассигнований, предусмотренные законопроектом на реализацию ГП, соответствуют уточненным данным по общей сумме расходов, приведенных в проекте паспорта ГП, представленного одновременно с законопроектом. В 2022-2024 год</w:t>
      </w:r>
      <w:r w:rsidR="009A5794" w:rsidRPr="00522104">
        <w:rPr>
          <w:rFonts w:ascii="Times New Roman" w:eastAsia="Times New Roman" w:hAnsi="Times New Roman" w:cs="Times New Roman"/>
          <w:sz w:val="28"/>
          <w:szCs w:val="24"/>
          <w:lang w:eastAsia="ru-RU"/>
        </w:rPr>
        <w:t>у</w:t>
      </w:r>
      <w:r w:rsidRPr="00522104">
        <w:rPr>
          <w:rFonts w:ascii="Times New Roman" w:eastAsia="Times New Roman" w:hAnsi="Times New Roman" w:cs="Times New Roman"/>
          <w:sz w:val="28"/>
          <w:szCs w:val="24"/>
          <w:lang w:eastAsia="ru-RU"/>
        </w:rPr>
        <w:t xml:space="preserve"> отмечается увеличение объемов средств краевого бюджета на финансирование ГП. </w:t>
      </w:r>
    </w:p>
    <w:p w14:paraId="1D31DC2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Также согласно проекту паспорта ГП дополнительно введен показатель ГП: обеспечение готовности учебного центра для подготовки пожарных и спасателей краевых пожарно-спасательных и спасательных учреждений Приморского края и учреждений Приморского края к функционированию по предназначению.</w:t>
      </w:r>
    </w:p>
    <w:p w14:paraId="1CD813F2"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Вместе с тем, Проектом паспорта ГП приведены 11</w:t>
      </w:r>
      <w:r w:rsidRPr="00522104">
        <w:rPr>
          <w:rFonts w:ascii="Times New Roman" w:eastAsia="Times New Roman" w:hAnsi="Times New Roman" w:cs="Times New Roman"/>
          <w:color w:val="FF0000"/>
          <w:sz w:val="28"/>
          <w:szCs w:val="24"/>
          <w:lang w:eastAsia="ru-RU"/>
        </w:rPr>
        <w:t xml:space="preserve"> </w:t>
      </w:r>
      <w:r w:rsidRPr="00522104">
        <w:rPr>
          <w:rFonts w:ascii="Times New Roman" w:eastAsia="Times New Roman" w:hAnsi="Times New Roman" w:cs="Times New Roman"/>
          <w:sz w:val="28"/>
          <w:szCs w:val="24"/>
          <w:lang w:eastAsia="ru-RU"/>
        </w:rPr>
        <w:t>показателей без разбивки по плановому достижению их по годам, что не позволяет провести анализ значений показателей в динамике и с увязкой по объемам финансового обеспечения исполнения мероприятий ГП, установленного в анализируемом периоде.</w:t>
      </w:r>
    </w:p>
    <w:p w14:paraId="2881F8D7" w14:textId="4787775C"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Контрольно-счетная палата отмечает, что постановление Администрации Приморского края от 27.12.2019 № 916-па (ред. от 27.10.2021) "Об утверждении государственной программы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 не включено </w:t>
      </w:r>
      <w:r w:rsidRPr="00522104">
        <w:rPr>
          <w:rFonts w:ascii="Times New Roman" w:hAnsi="Times New Roman" w:cs="Times New Roman"/>
          <w:sz w:val="28"/>
          <w:szCs w:val="28"/>
        </w:rPr>
        <w:t>в Перечень законов и иных нормативных правовых актов Приморского края, подлежащих признанию утратившим силу, приостановлению, изменению или принятию в связи с принятием проекта закона Приморского края "О краевом бюджете на 2022 год и плановый период 2023 и 2024 годов".</w:t>
      </w:r>
    </w:p>
    <w:p w14:paraId="1D34265A" w14:textId="7F9CD033"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 соответствии с законопроектом на 2022 год финансовое обеспечение ГП предусмотрено за счет средств краевого бюджета в общем объеме 1833,63 млн</w:t>
      </w:r>
      <w:r w:rsidRPr="00522104">
        <w:rPr>
          <w:rFonts w:ascii="Times New Roman" w:hAnsi="Times New Roman" w:cs="Times New Roman"/>
          <w:b/>
          <w:sz w:val="28"/>
          <w:szCs w:val="28"/>
        </w:rPr>
        <w:t> </w:t>
      </w:r>
      <w:r w:rsidRPr="00522104">
        <w:rPr>
          <w:rFonts w:ascii="Times New Roman" w:hAnsi="Times New Roman" w:cs="Times New Roman"/>
          <w:sz w:val="28"/>
          <w:szCs w:val="28"/>
        </w:rPr>
        <w:t>рублей, что выше на 322,26 млн рублей, или 21,3 % уровня утвержденных назначени</w:t>
      </w:r>
      <w:r w:rsidR="005930D6" w:rsidRPr="00522104">
        <w:rPr>
          <w:rFonts w:ascii="Times New Roman" w:hAnsi="Times New Roman" w:cs="Times New Roman"/>
          <w:sz w:val="28"/>
          <w:szCs w:val="28"/>
        </w:rPr>
        <w:t>й</w:t>
      </w:r>
      <w:r w:rsidRPr="00522104">
        <w:rPr>
          <w:rFonts w:ascii="Times New Roman" w:hAnsi="Times New Roman" w:cs="Times New Roman"/>
          <w:sz w:val="28"/>
          <w:szCs w:val="28"/>
        </w:rPr>
        <w:t xml:space="preserve"> (1511,37 млн рублей)</w:t>
      </w:r>
      <w:r w:rsidR="005930D6" w:rsidRPr="00522104">
        <w:rPr>
          <w:rFonts w:ascii="Times New Roman" w:hAnsi="Times New Roman" w:cs="Times New Roman"/>
          <w:sz w:val="28"/>
          <w:szCs w:val="28"/>
        </w:rPr>
        <w:t>,</w:t>
      </w:r>
      <w:r w:rsidRPr="00522104">
        <w:rPr>
          <w:rFonts w:ascii="Times New Roman" w:hAnsi="Times New Roman" w:cs="Times New Roman"/>
          <w:sz w:val="28"/>
          <w:szCs w:val="28"/>
        </w:rPr>
        <w:t xml:space="preserve"> и на 210,23 млн рублей</w:t>
      </w:r>
      <w:r w:rsidRPr="00522104">
        <w:rPr>
          <w:rFonts w:ascii="Times New Roman" w:eastAsia="Times New Roman" w:hAnsi="Times New Roman" w:cs="Times New Roman"/>
          <w:sz w:val="28"/>
          <w:szCs w:val="28"/>
          <w:lang w:eastAsia="ru-RU"/>
        </w:rPr>
        <w:t>,</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или на 13 %</w:t>
      </w:r>
      <w:r w:rsidR="005930D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выше </w:t>
      </w:r>
      <w:r w:rsidRPr="00522104">
        <w:rPr>
          <w:rFonts w:ascii="Times New Roman" w:hAnsi="Times New Roman" w:cs="Times New Roman"/>
          <w:sz w:val="28"/>
          <w:szCs w:val="28"/>
        </w:rPr>
        <w:t xml:space="preserve">объема расходов текущего финансового года </w:t>
      </w:r>
      <w:r w:rsidRPr="00522104">
        <w:rPr>
          <w:rFonts w:ascii="Times New Roman" w:eastAsia="Times New Roman" w:hAnsi="Times New Roman" w:cs="Times New Roman"/>
          <w:sz w:val="28"/>
          <w:szCs w:val="28"/>
          <w:lang w:eastAsia="ru-RU"/>
        </w:rPr>
        <w:t>(</w:t>
      </w:r>
      <w:r w:rsidRPr="00522104">
        <w:rPr>
          <w:rFonts w:ascii="Times New Roman" w:hAnsi="Times New Roman" w:cs="Times New Roman"/>
          <w:sz w:val="28"/>
          <w:szCs w:val="28"/>
        </w:rPr>
        <w:t>1623,40</w:t>
      </w:r>
      <w:r w:rsidRPr="00522104">
        <w:rPr>
          <w:rFonts w:ascii="Times New Roman" w:eastAsia="Times New Roman" w:hAnsi="Times New Roman" w:cs="Times New Roman"/>
          <w:sz w:val="28"/>
          <w:szCs w:val="28"/>
          <w:lang w:eastAsia="ru-RU"/>
        </w:rPr>
        <w:t> млн рублей).</w:t>
      </w:r>
    </w:p>
    <w:p w14:paraId="74B000CA" w14:textId="277C5508" w:rsidR="00827437" w:rsidRPr="00522104" w:rsidRDefault="005930D6" w:rsidP="00827437">
      <w:pPr>
        <w:spacing w:after="0" w:line="240" w:lineRule="auto"/>
        <w:ind w:firstLine="709"/>
        <w:contextualSpacing/>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Согласно законопроекту</w:t>
      </w:r>
      <w:r w:rsidR="00827437" w:rsidRPr="00522104">
        <w:rPr>
          <w:rFonts w:ascii="Times New Roman" w:eastAsia="Times New Roman" w:hAnsi="Times New Roman" w:cs="Times New Roman"/>
          <w:sz w:val="28"/>
          <w:szCs w:val="28"/>
          <w:lang w:eastAsia="ru-RU"/>
        </w:rPr>
        <w:t xml:space="preserve"> в плановом периоде финансовое обеспечение запланировано на 2023 год в размере 1896,45 млн рублей, что незначительно превышает утвержденные назначения (на 62,82 млн рублей, или 3,4 %), тогда как на 2024 год в сравнении с 2023 годом по расходам отмечается незначительное снижение (на 76,52 млн рублей, или на 4 %) и составляет в общей сумме 1819,93 млн рублей.</w:t>
      </w:r>
    </w:p>
    <w:p w14:paraId="1F1B4B22"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22104">
        <w:rPr>
          <w:rFonts w:ascii="Times New Roman" w:hAnsi="Times New Roman" w:cs="Times New Roman"/>
          <w:sz w:val="28"/>
          <w:szCs w:val="28"/>
        </w:rPr>
        <w:t>Бюджетные ассигнования на исполнение мероприятий ГП в 2022 году традиционно в большем размере предусмотрены по министерству по делам</w:t>
      </w:r>
      <w:r w:rsidRPr="00522104">
        <w:rPr>
          <w:rFonts w:ascii="Times New Roman" w:eastAsia="Times New Roman" w:hAnsi="Times New Roman" w:cs="Times New Roman"/>
          <w:color w:val="000000"/>
          <w:sz w:val="28"/>
          <w:szCs w:val="28"/>
          <w:lang w:eastAsia="ru-RU"/>
        </w:rPr>
        <w:t xml:space="preserve"> гражданской обороны, защиты от чрезвычайных ситуаций и ликвидации последствий стихийных бедствий Приморского края и составили в сумме 1696,03 млн рублей, доля в общем объеме расходов составляет 92,5 % (на 2023 и 2014 годы планируемые объемы составляют 1550,55 млн рублей и 1603,62 млн рублей соответственно). Министерству строительства Приморского края предусмотрено 125,49 млн рублей (на 2023 и 2024 годы планируемые объемы составляют 343,73 млн рублей и 214,14 млн рублей соответственно), министерству сельского хозяйства Приморского края – 9,94 млн рублей (на 2023-2024 годы расходы не запланированы), департаменту информационной политики Приморского края 2,17 млн рублей (в аналогичном размере расходы запланированы на 2023-2024 годы). </w:t>
      </w:r>
    </w:p>
    <w:p w14:paraId="751E13AA" w14:textId="77777777" w:rsidR="00827437" w:rsidRPr="00522104" w:rsidRDefault="00827437" w:rsidP="00827437">
      <w:pPr>
        <w:spacing w:after="0" w:line="240" w:lineRule="auto"/>
        <w:ind w:firstLine="709"/>
        <w:jc w:val="both"/>
        <w:rPr>
          <w:rFonts w:ascii="Times New Roman" w:hAnsi="Times New Roman" w:cs="Times New Roman"/>
          <w:sz w:val="24"/>
          <w:szCs w:val="24"/>
        </w:rPr>
      </w:pPr>
      <w:r w:rsidRPr="00522104">
        <w:rPr>
          <w:rFonts w:ascii="Times New Roman" w:hAnsi="Times New Roman" w:cs="Times New Roman"/>
          <w:sz w:val="28"/>
          <w:szCs w:val="28"/>
        </w:rPr>
        <w:t>Структура ГП на 2022 год и плановый период 2023-2024 годов в разрезе подпрограмм представлена в таблице.</w:t>
      </w:r>
    </w:p>
    <w:tbl>
      <w:tblPr>
        <w:tblW w:w="10036" w:type="dxa"/>
        <w:jc w:val="center"/>
        <w:tblLayout w:type="fixed"/>
        <w:tblLook w:val="04A0" w:firstRow="1" w:lastRow="0" w:firstColumn="1" w:lastColumn="0" w:noHBand="0" w:noVBand="1"/>
      </w:tblPr>
      <w:tblGrid>
        <w:gridCol w:w="1842"/>
        <w:gridCol w:w="993"/>
        <w:gridCol w:w="993"/>
        <w:gridCol w:w="992"/>
        <w:gridCol w:w="851"/>
        <w:gridCol w:w="850"/>
        <w:gridCol w:w="851"/>
        <w:gridCol w:w="680"/>
        <w:gridCol w:w="567"/>
        <w:gridCol w:w="708"/>
        <w:gridCol w:w="709"/>
      </w:tblGrid>
      <w:tr w:rsidR="00827437" w:rsidRPr="00C655A1" w14:paraId="695A824E" w14:textId="77777777" w:rsidTr="00E40BEE">
        <w:trPr>
          <w:trHeight w:val="296"/>
          <w:tblHeader/>
          <w:jc w:val="center"/>
        </w:trPr>
        <w:tc>
          <w:tcPr>
            <w:tcW w:w="1842" w:type="dxa"/>
            <w:tcBorders>
              <w:bottom w:val="single" w:sz="4" w:space="0" w:color="auto"/>
            </w:tcBorders>
            <w:shd w:val="clear" w:color="auto" w:fill="auto"/>
            <w:vAlign w:val="center"/>
          </w:tcPr>
          <w:p w14:paraId="1DE5696E"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2978" w:type="dxa"/>
            <w:gridSpan w:val="3"/>
            <w:tcBorders>
              <w:bottom w:val="single" w:sz="4" w:space="0" w:color="auto"/>
            </w:tcBorders>
            <w:shd w:val="clear" w:color="auto" w:fill="auto"/>
            <w:vAlign w:val="center"/>
          </w:tcPr>
          <w:p w14:paraId="050A606E"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2552" w:type="dxa"/>
            <w:gridSpan w:val="3"/>
            <w:tcBorders>
              <w:bottom w:val="single" w:sz="4" w:space="0" w:color="auto"/>
            </w:tcBorders>
            <w:shd w:val="clear" w:color="auto" w:fill="auto"/>
            <w:vAlign w:val="center"/>
          </w:tcPr>
          <w:p w14:paraId="7A2209AA"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p>
        </w:tc>
        <w:tc>
          <w:tcPr>
            <w:tcW w:w="2664" w:type="dxa"/>
            <w:gridSpan w:val="4"/>
            <w:tcBorders>
              <w:bottom w:val="single" w:sz="4" w:space="0" w:color="auto"/>
            </w:tcBorders>
            <w:shd w:val="clear" w:color="auto" w:fill="auto"/>
            <w:vAlign w:val="center"/>
          </w:tcPr>
          <w:p w14:paraId="06D9B752" w14:textId="77777777" w:rsidR="00827437" w:rsidRPr="00C655A1" w:rsidRDefault="00827437" w:rsidP="00E40BEE">
            <w:pPr>
              <w:spacing w:after="0" w:line="240" w:lineRule="auto"/>
              <w:jc w:val="right"/>
              <w:rPr>
                <w:rFonts w:ascii="Times New Roman" w:eastAsia="Times New Roman" w:hAnsi="Times New Roman" w:cs="Times New Roman"/>
                <w:b/>
                <w:bCs/>
                <w:sz w:val="20"/>
                <w:szCs w:val="20"/>
                <w:lang w:eastAsia="ru-RU"/>
              </w:rPr>
            </w:pPr>
            <w:r w:rsidRPr="00C655A1">
              <w:rPr>
                <w:rFonts w:ascii="Times New Roman" w:eastAsia="Times New Roman" w:hAnsi="Times New Roman" w:cs="Times New Roman"/>
                <w:sz w:val="20"/>
                <w:szCs w:val="20"/>
                <w:lang w:eastAsia="ru-RU"/>
              </w:rPr>
              <w:t>(млн рублей)</w:t>
            </w:r>
          </w:p>
        </w:tc>
      </w:tr>
      <w:tr w:rsidR="00827437" w:rsidRPr="00522104" w14:paraId="3E2E416C" w14:textId="77777777" w:rsidTr="00E40BEE">
        <w:trPr>
          <w:trHeight w:val="296"/>
          <w:tblHeader/>
          <w:jc w:val="center"/>
        </w:trPr>
        <w:tc>
          <w:tcPr>
            <w:tcW w:w="184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045C90B"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Наименование</w:t>
            </w:r>
          </w:p>
        </w:tc>
        <w:tc>
          <w:tcPr>
            <w:tcW w:w="2978" w:type="dxa"/>
            <w:gridSpan w:val="3"/>
            <w:tcBorders>
              <w:top w:val="single" w:sz="4" w:space="0" w:color="auto"/>
              <w:left w:val="nil"/>
              <w:bottom w:val="single" w:sz="4" w:space="0" w:color="auto"/>
              <w:right w:val="single" w:sz="4" w:space="0" w:color="000000"/>
            </w:tcBorders>
            <w:shd w:val="clear" w:color="auto" w:fill="auto"/>
            <w:vAlign w:val="center"/>
            <w:hideMark/>
          </w:tcPr>
          <w:p w14:paraId="203E9B9E"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 № 969-КЗ</w:t>
            </w:r>
          </w:p>
        </w:tc>
        <w:tc>
          <w:tcPr>
            <w:tcW w:w="2552" w:type="dxa"/>
            <w:gridSpan w:val="3"/>
            <w:tcBorders>
              <w:top w:val="single" w:sz="4" w:space="0" w:color="auto"/>
              <w:left w:val="nil"/>
              <w:bottom w:val="single" w:sz="4" w:space="0" w:color="auto"/>
              <w:right w:val="single" w:sz="4" w:space="0" w:color="000000"/>
            </w:tcBorders>
            <w:shd w:val="clear" w:color="auto" w:fill="auto"/>
            <w:vAlign w:val="center"/>
            <w:hideMark/>
          </w:tcPr>
          <w:p w14:paraId="1CE4B01A"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Законопроект</w:t>
            </w:r>
          </w:p>
        </w:tc>
        <w:tc>
          <w:tcPr>
            <w:tcW w:w="2664" w:type="dxa"/>
            <w:gridSpan w:val="4"/>
            <w:tcBorders>
              <w:top w:val="single" w:sz="4" w:space="0" w:color="auto"/>
              <w:left w:val="nil"/>
              <w:bottom w:val="single" w:sz="4" w:space="0" w:color="auto"/>
              <w:right w:val="single" w:sz="4" w:space="0" w:color="000000"/>
            </w:tcBorders>
            <w:shd w:val="clear" w:color="auto" w:fill="auto"/>
            <w:vAlign w:val="center"/>
            <w:hideMark/>
          </w:tcPr>
          <w:p w14:paraId="0C4495AA"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Отклонения законопроекта от утвержденных назначений</w:t>
            </w:r>
          </w:p>
        </w:tc>
      </w:tr>
      <w:tr w:rsidR="00EB0AAB" w:rsidRPr="00522104" w14:paraId="577D6675" w14:textId="77777777" w:rsidTr="00E86AFD">
        <w:trPr>
          <w:trHeight w:val="97"/>
          <w:tblHeader/>
          <w:jc w:val="center"/>
        </w:trPr>
        <w:tc>
          <w:tcPr>
            <w:tcW w:w="1842" w:type="dxa"/>
            <w:vMerge/>
            <w:tcBorders>
              <w:top w:val="single" w:sz="4" w:space="0" w:color="auto"/>
              <w:left w:val="single" w:sz="4" w:space="0" w:color="auto"/>
              <w:bottom w:val="single" w:sz="4" w:space="0" w:color="000000"/>
              <w:right w:val="single" w:sz="4" w:space="0" w:color="auto"/>
            </w:tcBorders>
            <w:vAlign w:val="center"/>
            <w:hideMark/>
          </w:tcPr>
          <w:p w14:paraId="0F909B96" w14:textId="77777777" w:rsidR="00EB0AAB" w:rsidRPr="00522104" w:rsidRDefault="00EB0AAB" w:rsidP="00E40BEE">
            <w:pPr>
              <w:spacing w:after="0" w:line="240" w:lineRule="auto"/>
              <w:rPr>
                <w:rFonts w:ascii="Times New Roman" w:eastAsia="Times New Roman" w:hAnsi="Times New Roman" w:cs="Times New Roman"/>
                <w:bCs/>
                <w:sz w:val="20"/>
                <w:szCs w:val="20"/>
                <w:lang w:eastAsia="ru-RU"/>
              </w:rPr>
            </w:pPr>
          </w:p>
        </w:tc>
        <w:tc>
          <w:tcPr>
            <w:tcW w:w="993" w:type="dxa"/>
            <w:vMerge w:val="restart"/>
            <w:tcBorders>
              <w:top w:val="nil"/>
              <w:left w:val="nil"/>
              <w:right w:val="single" w:sz="4" w:space="0" w:color="auto"/>
            </w:tcBorders>
            <w:shd w:val="clear" w:color="auto" w:fill="auto"/>
            <w:vAlign w:val="center"/>
            <w:hideMark/>
          </w:tcPr>
          <w:p w14:paraId="61E0BDB9" w14:textId="750F1CA0" w:rsidR="00EB0AAB" w:rsidRPr="00522104" w:rsidRDefault="00EB0AAB" w:rsidP="0020468D">
            <w:pPr>
              <w:spacing w:after="0" w:line="240" w:lineRule="auto"/>
              <w:ind w:left="-107"/>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первона-чальная редакция</w:t>
            </w:r>
          </w:p>
          <w:p w14:paraId="39AD8AAE" w14:textId="05DB5719" w:rsidR="00EB0AAB" w:rsidRPr="00522104" w:rsidRDefault="00EB0AAB" w:rsidP="00E40BEE">
            <w:pPr>
              <w:spacing w:after="0" w:line="240" w:lineRule="auto"/>
              <w:ind w:left="-108" w:right="-100"/>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 год</w:t>
            </w:r>
          </w:p>
        </w:tc>
        <w:tc>
          <w:tcPr>
            <w:tcW w:w="1985" w:type="dxa"/>
            <w:gridSpan w:val="2"/>
            <w:tcBorders>
              <w:top w:val="nil"/>
              <w:left w:val="nil"/>
              <w:bottom w:val="single" w:sz="4" w:space="0" w:color="auto"/>
              <w:right w:val="single" w:sz="4" w:space="0" w:color="auto"/>
            </w:tcBorders>
            <w:shd w:val="clear" w:color="auto" w:fill="auto"/>
            <w:vAlign w:val="center"/>
          </w:tcPr>
          <w:p w14:paraId="51AE1019"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8 изменения</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AC7596"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 год</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27C18C"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2023 год</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3911B2"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2024 год</w:t>
            </w:r>
          </w:p>
        </w:tc>
        <w:tc>
          <w:tcPr>
            <w:tcW w:w="1247" w:type="dxa"/>
            <w:gridSpan w:val="2"/>
            <w:tcBorders>
              <w:top w:val="nil"/>
              <w:left w:val="nil"/>
              <w:bottom w:val="single" w:sz="4" w:space="0" w:color="auto"/>
              <w:right w:val="single" w:sz="4" w:space="0" w:color="000000"/>
            </w:tcBorders>
            <w:shd w:val="clear" w:color="auto" w:fill="auto"/>
            <w:noWrap/>
            <w:vAlign w:val="center"/>
            <w:hideMark/>
          </w:tcPr>
          <w:p w14:paraId="54689AA0"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2022/2021</w:t>
            </w:r>
          </w:p>
        </w:tc>
        <w:tc>
          <w:tcPr>
            <w:tcW w:w="141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C00D879"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2022/2022</w:t>
            </w:r>
          </w:p>
        </w:tc>
      </w:tr>
      <w:tr w:rsidR="00EB0AAB" w:rsidRPr="00522104" w14:paraId="4C625216" w14:textId="77777777" w:rsidTr="00E86AFD">
        <w:trPr>
          <w:trHeight w:val="379"/>
          <w:tblHeader/>
          <w:jc w:val="center"/>
        </w:trPr>
        <w:tc>
          <w:tcPr>
            <w:tcW w:w="1842" w:type="dxa"/>
            <w:vMerge/>
            <w:tcBorders>
              <w:top w:val="single" w:sz="4" w:space="0" w:color="auto"/>
              <w:left w:val="single" w:sz="4" w:space="0" w:color="auto"/>
              <w:bottom w:val="single" w:sz="4" w:space="0" w:color="000000"/>
              <w:right w:val="single" w:sz="4" w:space="0" w:color="auto"/>
            </w:tcBorders>
            <w:vAlign w:val="center"/>
            <w:hideMark/>
          </w:tcPr>
          <w:p w14:paraId="00D081CE" w14:textId="77777777" w:rsidR="00EB0AAB" w:rsidRPr="00522104" w:rsidRDefault="00EB0AAB" w:rsidP="00E40BEE">
            <w:pPr>
              <w:spacing w:after="0" w:line="240" w:lineRule="auto"/>
              <w:rPr>
                <w:rFonts w:ascii="Times New Roman" w:eastAsia="Times New Roman" w:hAnsi="Times New Roman" w:cs="Times New Roman"/>
                <w:bCs/>
                <w:sz w:val="20"/>
                <w:szCs w:val="20"/>
                <w:lang w:eastAsia="ru-RU"/>
              </w:rPr>
            </w:pPr>
          </w:p>
        </w:tc>
        <w:tc>
          <w:tcPr>
            <w:tcW w:w="993" w:type="dxa"/>
            <w:vMerge/>
            <w:tcBorders>
              <w:left w:val="nil"/>
              <w:bottom w:val="single" w:sz="4" w:space="0" w:color="auto"/>
              <w:right w:val="single" w:sz="4" w:space="0" w:color="auto"/>
            </w:tcBorders>
            <w:shd w:val="clear" w:color="auto" w:fill="auto"/>
            <w:vAlign w:val="center"/>
            <w:hideMark/>
          </w:tcPr>
          <w:p w14:paraId="5A107382" w14:textId="5325880A" w:rsidR="00EB0AAB" w:rsidRPr="00522104" w:rsidRDefault="00EB0AAB" w:rsidP="00E40BEE">
            <w:pPr>
              <w:spacing w:after="0" w:line="240" w:lineRule="auto"/>
              <w:ind w:left="-108" w:right="-100"/>
              <w:jc w:val="center"/>
              <w:rPr>
                <w:rFonts w:ascii="Times New Roman" w:eastAsia="Times New Roman" w:hAnsi="Times New Roman" w:cs="Times New Roman"/>
                <w:bCs/>
                <w:sz w:val="20"/>
                <w:szCs w:val="20"/>
                <w:lang w:eastAsia="ru-RU"/>
              </w:rPr>
            </w:pPr>
          </w:p>
        </w:tc>
        <w:tc>
          <w:tcPr>
            <w:tcW w:w="993" w:type="dxa"/>
            <w:tcBorders>
              <w:top w:val="nil"/>
              <w:left w:val="nil"/>
              <w:bottom w:val="single" w:sz="4" w:space="0" w:color="auto"/>
              <w:right w:val="single" w:sz="4" w:space="0" w:color="auto"/>
            </w:tcBorders>
            <w:shd w:val="clear" w:color="auto" w:fill="auto"/>
            <w:noWrap/>
            <w:vAlign w:val="center"/>
          </w:tcPr>
          <w:p w14:paraId="442C1A7E" w14:textId="77777777" w:rsidR="00EB0AAB" w:rsidRPr="00522104" w:rsidRDefault="00EB0AAB" w:rsidP="00E40BEE">
            <w:pPr>
              <w:spacing w:after="0" w:line="240" w:lineRule="auto"/>
              <w:ind w:left="-149"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2021 год</w:t>
            </w:r>
          </w:p>
        </w:tc>
        <w:tc>
          <w:tcPr>
            <w:tcW w:w="992" w:type="dxa"/>
            <w:tcBorders>
              <w:top w:val="single" w:sz="4" w:space="0" w:color="auto"/>
              <w:left w:val="nil"/>
              <w:bottom w:val="single" w:sz="4" w:space="0" w:color="auto"/>
              <w:right w:val="nil"/>
            </w:tcBorders>
            <w:shd w:val="clear" w:color="auto" w:fill="auto"/>
            <w:noWrap/>
            <w:vAlign w:val="center"/>
          </w:tcPr>
          <w:p w14:paraId="6B013806" w14:textId="77777777" w:rsidR="00EB0AAB" w:rsidRPr="00522104" w:rsidRDefault="00EB0AAB" w:rsidP="00E40BEE">
            <w:pPr>
              <w:spacing w:after="0" w:line="240" w:lineRule="auto"/>
              <w:ind w:left="-108"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2022 год</w:t>
            </w:r>
          </w:p>
        </w:tc>
        <w:tc>
          <w:tcPr>
            <w:tcW w:w="851" w:type="dxa"/>
            <w:vMerge/>
            <w:tcBorders>
              <w:top w:val="nil"/>
              <w:left w:val="single" w:sz="4" w:space="0" w:color="auto"/>
              <w:bottom w:val="single" w:sz="4" w:space="0" w:color="000000"/>
              <w:right w:val="single" w:sz="4" w:space="0" w:color="auto"/>
            </w:tcBorders>
            <w:vAlign w:val="center"/>
            <w:hideMark/>
          </w:tcPr>
          <w:p w14:paraId="28CF3FBC" w14:textId="77777777" w:rsidR="00EB0AAB" w:rsidRPr="00522104" w:rsidRDefault="00EB0AAB" w:rsidP="00E40BEE">
            <w:pPr>
              <w:spacing w:after="0" w:line="240" w:lineRule="auto"/>
              <w:rPr>
                <w:rFonts w:ascii="Times New Roman" w:eastAsia="Times New Roman" w:hAnsi="Times New Roman" w:cs="Times New Roman"/>
                <w:bCs/>
                <w:sz w:val="20"/>
                <w:szCs w:val="20"/>
                <w:lang w:eastAsia="ru-RU"/>
              </w:rPr>
            </w:pPr>
          </w:p>
        </w:tc>
        <w:tc>
          <w:tcPr>
            <w:tcW w:w="850" w:type="dxa"/>
            <w:vMerge/>
            <w:tcBorders>
              <w:top w:val="nil"/>
              <w:left w:val="single" w:sz="4" w:space="0" w:color="auto"/>
              <w:bottom w:val="single" w:sz="4" w:space="0" w:color="000000"/>
              <w:right w:val="single" w:sz="4" w:space="0" w:color="auto"/>
            </w:tcBorders>
            <w:vAlign w:val="center"/>
            <w:hideMark/>
          </w:tcPr>
          <w:p w14:paraId="31CCC506" w14:textId="77777777" w:rsidR="00EB0AAB" w:rsidRPr="00522104" w:rsidRDefault="00EB0AAB" w:rsidP="00E40BEE">
            <w:pPr>
              <w:spacing w:after="0" w:line="240" w:lineRule="auto"/>
              <w:rPr>
                <w:rFonts w:ascii="Times New Roman" w:eastAsia="Times New Roman" w:hAnsi="Times New Roman" w:cs="Times New Roman"/>
                <w:bCs/>
                <w:sz w:val="20"/>
                <w:szCs w:val="20"/>
                <w:lang w:eastAsia="ru-RU"/>
              </w:rPr>
            </w:pPr>
          </w:p>
        </w:tc>
        <w:tc>
          <w:tcPr>
            <w:tcW w:w="851" w:type="dxa"/>
            <w:vMerge/>
            <w:tcBorders>
              <w:top w:val="nil"/>
              <w:left w:val="single" w:sz="4" w:space="0" w:color="auto"/>
              <w:bottom w:val="single" w:sz="4" w:space="0" w:color="000000"/>
              <w:right w:val="single" w:sz="4" w:space="0" w:color="auto"/>
            </w:tcBorders>
            <w:vAlign w:val="center"/>
            <w:hideMark/>
          </w:tcPr>
          <w:p w14:paraId="17AF33B9" w14:textId="77777777" w:rsidR="00EB0AAB" w:rsidRPr="00522104" w:rsidRDefault="00EB0AAB" w:rsidP="00E40BEE">
            <w:pPr>
              <w:spacing w:after="0" w:line="240" w:lineRule="auto"/>
              <w:rPr>
                <w:rFonts w:ascii="Times New Roman" w:eastAsia="Times New Roman" w:hAnsi="Times New Roman" w:cs="Times New Roman"/>
                <w:bCs/>
                <w:sz w:val="20"/>
                <w:szCs w:val="20"/>
                <w:lang w:eastAsia="ru-RU"/>
              </w:rPr>
            </w:pPr>
          </w:p>
        </w:tc>
        <w:tc>
          <w:tcPr>
            <w:tcW w:w="680" w:type="dxa"/>
            <w:tcBorders>
              <w:top w:val="nil"/>
              <w:left w:val="nil"/>
              <w:bottom w:val="single" w:sz="4" w:space="0" w:color="auto"/>
              <w:right w:val="single" w:sz="4" w:space="0" w:color="auto"/>
            </w:tcBorders>
            <w:shd w:val="clear" w:color="auto" w:fill="auto"/>
            <w:noWrap/>
            <w:vAlign w:val="center"/>
            <w:hideMark/>
          </w:tcPr>
          <w:p w14:paraId="3760110E" w14:textId="77777777" w:rsidR="00EB0AAB" w:rsidRPr="00522104" w:rsidRDefault="00EB0AAB" w:rsidP="00E40BEE">
            <w:pPr>
              <w:spacing w:after="0" w:line="240" w:lineRule="auto"/>
              <w:ind w:left="-108"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сумма</w:t>
            </w:r>
          </w:p>
        </w:tc>
        <w:tc>
          <w:tcPr>
            <w:tcW w:w="567" w:type="dxa"/>
            <w:tcBorders>
              <w:top w:val="nil"/>
              <w:left w:val="nil"/>
              <w:bottom w:val="single" w:sz="4" w:space="0" w:color="auto"/>
              <w:right w:val="single" w:sz="4" w:space="0" w:color="auto"/>
            </w:tcBorders>
            <w:shd w:val="clear" w:color="auto" w:fill="auto"/>
            <w:noWrap/>
            <w:vAlign w:val="center"/>
            <w:hideMark/>
          </w:tcPr>
          <w:p w14:paraId="7B7B1F8C"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w:t>
            </w:r>
          </w:p>
        </w:tc>
        <w:tc>
          <w:tcPr>
            <w:tcW w:w="708" w:type="dxa"/>
            <w:tcBorders>
              <w:top w:val="nil"/>
              <w:left w:val="nil"/>
              <w:bottom w:val="single" w:sz="4" w:space="0" w:color="auto"/>
              <w:right w:val="single" w:sz="4" w:space="0" w:color="auto"/>
            </w:tcBorders>
            <w:shd w:val="clear" w:color="auto" w:fill="auto"/>
            <w:noWrap/>
            <w:vAlign w:val="center"/>
            <w:hideMark/>
          </w:tcPr>
          <w:p w14:paraId="3D76396B" w14:textId="77777777" w:rsidR="00EB0AAB" w:rsidRPr="00522104" w:rsidRDefault="00EB0AAB" w:rsidP="00E40BEE">
            <w:pPr>
              <w:spacing w:after="0" w:line="240" w:lineRule="auto"/>
              <w:ind w:left="-108"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14:paraId="7B858593" w14:textId="77777777" w:rsidR="00EB0AAB" w:rsidRPr="00522104" w:rsidRDefault="00EB0AAB"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w:t>
            </w:r>
          </w:p>
        </w:tc>
      </w:tr>
      <w:tr w:rsidR="00827437" w:rsidRPr="00522104" w14:paraId="79710A8C" w14:textId="77777777" w:rsidTr="00E40BEE">
        <w:trPr>
          <w:trHeight w:val="276"/>
          <w:jc w:val="center"/>
        </w:trPr>
        <w:tc>
          <w:tcPr>
            <w:tcW w:w="1842" w:type="dxa"/>
            <w:tcBorders>
              <w:top w:val="nil"/>
              <w:left w:val="single" w:sz="4" w:space="0" w:color="auto"/>
              <w:bottom w:val="single" w:sz="4" w:space="0" w:color="auto"/>
              <w:right w:val="single" w:sz="4" w:space="0" w:color="auto"/>
            </w:tcBorders>
            <w:shd w:val="clear" w:color="DDEBF7" w:fill="FFFFFF"/>
            <w:vAlign w:val="center"/>
            <w:hideMark/>
          </w:tcPr>
          <w:p w14:paraId="72F3EF3B"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1</w:t>
            </w:r>
          </w:p>
        </w:tc>
        <w:tc>
          <w:tcPr>
            <w:tcW w:w="993" w:type="dxa"/>
            <w:tcBorders>
              <w:top w:val="nil"/>
              <w:left w:val="nil"/>
              <w:bottom w:val="single" w:sz="4" w:space="0" w:color="auto"/>
              <w:right w:val="single" w:sz="4" w:space="0" w:color="auto"/>
            </w:tcBorders>
            <w:shd w:val="clear" w:color="auto" w:fill="auto"/>
            <w:vAlign w:val="center"/>
            <w:hideMark/>
          </w:tcPr>
          <w:p w14:paraId="132D9117"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2</w:t>
            </w:r>
          </w:p>
        </w:tc>
        <w:tc>
          <w:tcPr>
            <w:tcW w:w="993" w:type="dxa"/>
            <w:tcBorders>
              <w:top w:val="nil"/>
              <w:left w:val="nil"/>
              <w:bottom w:val="single" w:sz="4" w:space="0" w:color="auto"/>
              <w:right w:val="single" w:sz="4" w:space="0" w:color="auto"/>
            </w:tcBorders>
            <w:shd w:val="clear" w:color="auto" w:fill="auto"/>
            <w:vAlign w:val="center"/>
            <w:hideMark/>
          </w:tcPr>
          <w:p w14:paraId="5623CD23"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368190E1"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14:paraId="239FE76C"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14:paraId="487DF25A"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6</w:t>
            </w:r>
          </w:p>
        </w:tc>
        <w:tc>
          <w:tcPr>
            <w:tcW w:w="851" w:type="dxa"/>
            <w:tcBorders>
              <w:top w:val="nil"/>
              <w:left w:val="nil"/>
              <w:bottom w:val="single" w:sz="4" w:space="0" w:color="auto"/>
              <w:right w:val="single" w:sz="4" w:space="0" w:color="auto"/>
            </w:tcBorders>
            <w:shd w:val="clear" w:color="auto" w:fill="auto"/>
            <w:vAlign w:val="center"/>
            <w:hideMark/>
          </w:tcPr>
          <w:p w14:paraId="22C7318D" w14:textId="77777777" w:rsidR="00827437" w:rsidRPr="00522104" w:rsidRDefault="00827437" w:rsidP="00E40BEE">
            <w:pPr>
              <w:spacing w:after="0" w:line="240" w:lineRule="auto"/>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7</w:t>
            </w:r>
          </w:p>
        </w:tc>
        <w:tc>
          <w:tcPr>
            <w:tcW w:w="680" w:type="dxa"/>
            <w:tcBorders>
              <w:top w:val="nil"/>
              <w:left w:val="nil"/>
              <w:bottom w:val="single" w:sz="4" w:space="0" w:color="auto"/>
              <w:right w:val="single" w:sz="4" w:space="0" w:color="auto"/>
            </w:tcBorders>
            <w:shd w:val="clear" w:color="auto" w:fill="auto"/>
            <w:vAlign w:val="center"/>
            <w:hideMark/>
          </w:tcPr>
          <w:p w14:paraId="4EC4B34E" w14:textId="77777777" w:rsidR="00827437" w:rsidRPr="00522104"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8=5-3</w:t>
            </w:r>
          </w:p>
        </w:tc>
        <w:tc>
          <w:tcPr>
            <w:tcW w:w="567" w:type="dxa"/>
            <w:tcBorders>
              <w:top w:val="nil"/>
              <w:left w:val="nil"/>
              <w:bottom w:val="single" w:sz="4" w:space="0" w:color="auto"/>
              <w:right w:val="single" w:sz="4" w:space="0" w:color="auto"/>
            </w:tcBorders>
            <w:shd w:val="clear" w:color="auto" w:fill="auto"/>
            <w:vAlign w:val="center"/>
            <w:hideMark/>
          </w:tcPr>
          <w:p w14:paraId="6B1FA34E" w14:textId="77777777" w:rsidR="00827437" w:rsidRPr="00522104"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9=5/3</w:t>
            </w:r>
          </w:p>
        </w:tc>
        <w:tc>
          <w:tcPr>
            <w:tcW w:w="708" w:type="dxa"/>
            <w:tcBorders>
              <w:top w:val="nil"/>
              <w:left w:val="nil"/>
              <w:bottom w:val="single" w:sz="4" w:space="0" w:color="auto"/>
              <w:right w:val="single" w:sz="4" w:space="0" w:color="auto"/>
            </w:tcBorders>
            <w:shd w:val="clear" w:color="auto" w:fill="auto"/>
            <w:vAlign w:val="center"/>
            <w:hideMark/>
          </w:tcPr>
          <w:p w14:paraId="37C8DDB9" w14:textId="77777777" w:rsidR="00827437" w:rsidRPr="00522104"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10=5-4</w:t>
            </w:r>
          </w:p>
        </w:tc>
        <w:tc>
          <w:tcPr>
            <w:tcW w:w="709" w:type="dxa"/>
            <w:tcBorders>
              <w:top w:val="nil"/>
              <w:left w:val="nil"/>
              <w:bottom w:val="single" w:sz="4" w:space="0" w:color="auto"/>
              <w:right w:val="single" w:sz="4" w:space="0" w:color="auto"/>
            </w:tcBorders>
            <w:shd w:val="clear" w:color="auto" w:fill="auto"/>
            <w:vAlign w:val="center"/>
            <w:hideMark/>
          </w:tcPr>
          <w:p w14:paraId="2FEEDBBF" w14:textId="77777777" w:rsidR="00827437" w:rsidRPr="00522104"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522104">
              <w:rPr>
                <w:rFonts w:ascii="Times New Roman" w:eastAsia="Times New Roman" w:hAnsi="Times New Roman" w:cs="Times New Roman"/>
                <w:bCs/>
                <w:sz w:val="20"/>
                <w:szCs w:val="20"/>
                <w:lang w:eastAsia="ru-RU"/>
              </w:rPr>
              <w:t>11=5/4</w:t>
            </w:r>
          </w:p>
        </w:tc>
      </w:tr>
      <w:tr w:rsidR="00827437" w:rsidRPr="00522104" w14:paraId="44C587F4" w14:textId="77777777" w:rsidTr="00E40BEE">
        <w:trPr>
          <w:trHeight w:val="50"/>
          <w:jc w:val="center"/>
        </w:trPr>
        <w:tc>
          <w:tcPr>
            <w:tcW w:w="1842" w:type="dxa"/>
            <w:tcBorders>
              <w:top w:val="nil"/>
              <w:left w:val="single" w:sz="4" w:space="0" w:color="auto"/>
              <w:bottom w:val="single" w:sz="4" w:space="0" w:color="auto"/>
              <w:right w:val="single" w:sz="4" w:space="0" w:color="auto"/>
            </w:tcBorders>
            <w:shd w:val="clear" w:color="auto" w:fill="auto"/>
            <w:vAlign w:val="bottom"/>
            <w:hideMark/>
          </w:tcPr>
          <w:p w14:paraId="00AE86BD" w14:textId="1A85F757" w:rsidR="00827437" w:rsidRPr="00522104" w:rsidRDefault="00C655A1" w:rsidP="00E40BEE">
            <w:pPr>
              <w:spacing w:after="0" w:line="240" w:lineRule="auto"/>
              <w:ind w:left="-108" w:right="-108"/>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ГП </w:t>
            </w:r>
            <w:r w:rsidR="00827437" w:rsidRPr="00522104">
              <w:rPr>
                <w:rFonts w:ascii="Times New Roman" w:eastAsia="Times New Roman" w:hAnsi="Times New Roman" w:cs="Times New Roman"/>
                <w:b/>
                <w:bCs/>
                <w:sz w:val="20"/>
                <w:szCs w:val="20"/>
                <w:lang w:eastAsia="ru-RU"/>
              </w:rPr>
              <w:t>"Защита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c>
          <w:tcPr>
            <w:tcW w:w="993" w:type="dxa"/>
            <w:tcBorders>
              <w:top w:val="nil"/>
              <w:left w:val="nil"/>
              <w:bottom w:val="single" w:sz="4" w:space="0" w:color="auto"/>
              <w:right w:val="single" w:sz="4" w:space="0" w:color="auto"/>
            </w:tcBorders>
            <w:shd w:val="clear" w:color="auto" w:fill="auto"/>
            <w:noWrap/>
            <w:vAlign w:val="bottom"/>
            <w:hideMark/>
          </w:tcPr>
          <w:p w14:paraId="4273A719" w14:textId="77777777" w:rsidR="00827437" w:rsidRPr="00522104" w:rsidRDefault="00827437" w:rsidP="00E40BEE">
            <w:pPr>
              <w:spacing w:after="0" w:line="240" w:lineRule="auto"/>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1 533,99</w:t>
            </w:r>
          </w:p>
        </w:tc>
        <w:tc>
          <w:tcPr>
            <w:tcW w:w="993" w:type="dxa"/>
            <w:tcBorders>
              <w:top w:val="nil"/>
              <w:left w:val="nil"/>
              <w:bottom w:val="single" w:sz="4" w:space="0" w:color="auto"/>
              <w:right w:val="single" w:sz="4" w:space="0" w:color="auto"/>
            </w:tcBorders>
            <w:shd w:val="clear" w:color="auto" w:fill="auto"/>
            <w:noWrap/>
            <w:vAlign w:val="bottom"/>
            <w:hideMark/>
          </w:tcPr>
          <w:p w14:paraId="69DE4AE3" w14:textId="77777777" w:rsidR="00827437" w:rsidRPr="00522104" w:rsidRDefault="00827437" w:rsidP="00E40BEE">
            <w:pPr>
              <w:spacing w:after="0" w:line="240" w:lineRule="auto"/>
              <w:ind w:left="-149"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1 623,40</w:t>
            </w:r>
          </w:p>
        </w:tc>
        <w:tc>
          <w:tcPr>
            <w:tcW w:w="992" w:type="dxa"/>
            <w:tcBorders>
              <w:top w:val="nil"/>
              <w:left w:val="nil"/>
              <w:bottom w:val="single" w:sz="4" w:space="0" w:color="auto"/>
              <w:right w:val="single" w:sz="4" w:space="0" w:color="auto"/>
            </w:tcBorders>
            <w:shd w:val="clear" w:color="auto" w:fill="auto"/>
            <w:noWrap/>
            <w:vAlign w:val="bottom"/>
            <w:hideMark/>
          </w:tcPr>
          <w:p w14:paraId="0FEBE5D9"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1 511,37</w:t>
            </w:r>
          </w:p>
        </w:tc>
        <w:tc>
          <w:tcPr>
            <w:tcW w:w="851" w:type="dxa"/>
            <w:tcBorders>
              <w:top w:val="nil"/>
              <w:left w:val="nil"/>
              <w:bottom w:val="single" w:sz="4" w:space="0" w:color="auto"/>
              <w:right w:val="single" w:sz="4" w:space="0" w:color="auto"/>
            </w:tcBorders>
            <w:shd w:val="clear" w:color="auto" w:fill="auto"/>
            <w:noWrap/>
            <w:vAlign w:val="bottom"/>
            <w:hideMark/>
          </w:tcPr>
          <w:p w14:paraId="67DD6137"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1 833,63</w:t>
            </w:r>
          </w:p>
        </w:tc>
        <w:tc>
          <w:tcPr>
            <w:tcW w:w="850" w:type="dxa"/>
            <w:tcBorders>
              <w:top w:val="nil"/>
              <w:left w:val="nil"/>
              <w:bottom w:val="single" w:sz="4" w:space="0" w:color="auto"/>
              <w:right w:val="single" w:sz="4" w:space="0" w:color="auto"/>
            </w:tcBorders>
            <w:shd w:val="clear" w:color="auto" w:fill="auto"/>
            <w:noWrap/>
            <w:vAlign w:val="bottom"/>
            <w:hideMark/>
          </w:tcPr>
          <w:p w14:paraId="32E75B57"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1 896,45</w:t>
            </w:r>
          </w:p>
        </w:tc>
        <w:tc>
          <w:tcPr>
            <w:tcW w:w="851" w:type="dxa"/>
            <w:tcBorders>
              <w:top w:val="nil"/>
              <w:left w:val="nil"/>
              <w:bottom w:val="single" w:sz="4" w:space="0" w:color="auto"/>
              <w:right w:val="single" w:sz="4" w:space="0" w:color="auto"/>
            </w:tcBorders>
            <w:shd w:val="clear" w:color="auto" w:fill="auto"/>
            <w:noWrap/>
            <w:vAlign w:val="bottom"/>
            <w:hideMark/>
          </w:tcPr>
          <w:p w14:paraId="70A7E2B5"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1 819,93</w:t>
            </w:r>
          </w:p>
        </w:tc>
        <w:tc>
          <w:tcPr>
            <w:tcW w:w="680" w:type="dxa"/>
            <w:tcBorders>
              <w:top w:val="nil"/>
              <w:left w:val="nil"/>
              <w:bottom w:val="single" w:sz="4" w:space="0" w:color="auto"/>
              <w:right w:val="single" w:sz="4" w:space="0" w:color="auto"/>
            </w:tcBorders>
            <w:shd w:val="clear" w:color="auto" w:fill="auto"/>
            <w:noWrap/>
            <w:vAlign w:val="bottom"/>
            <w:hideMark/>
          </w:tcPr>
          <w:p w14:paraId="73B12C3E"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210,23</w:t>
            </w:r>
          </w:p>
        </w:tc>
        <w:tc>
          <w:tcPr>
            <w:tcW w:w="567" w:type="dxa"/>
            <w:tcBorders>
              <w:top w:val="nil"/>
              <w:left w:val="nil"/>
              <w:bottom w:val="single" w:sz="4" w:space="0" w:color="auto"/>
              <w:right w:val="single" w:sz="4" w:space="0" w:color="auto"/>
            </w:tcBorders>
            <w:shd w:val="clear" w:color="auto" w:fill="auto"/>
            <w:noWrap/>
            <w:vAlign w:val="bottom"/>
            <w:hideMark/>
          </w:tcPr>
          <w:p w14:paraId="6EFB3557"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112,95</w:t>
            </w:r>
          </w:p>
        </w:tc>
        <w:tc>
          <w:tcPr>
            <w:tcW w:w="708" w:type="dxa"/>
            <w:tcBorders>
              <w:top w:val="nil"/>
              <w:left w:val="nil"/>
              <w:bottom w:val="single" w:sz="4" w:space="0" w:color="auto"/>
              <w:right w:val="single" w:sz="4" w:space="0" w:color="auto"/>
            </w:tcBorders>
            <w:shd w:val="clear" w:color="auto" w:fill="auto"/>
            <w:noWrap/>
            <w:vAlign w:val="bottom"/>
            <w:hideMark/>
          </w:tcPr>
          <w:p w14:paraId="363A3D52"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322,25</w:t>
            </w:r>
          </w:p>
        </w:tc>
        <w:tc>
          <w:tcPr>
            <w:tcW w:w="709" w:type="dxa"/>
            <w:tcBorders>
              <w:top w:val="nil"/>
              <w:left w:val="nil"/>
              <w:bottom w:val="single" w:sz="4" w:space="0" w:color="auto"/>
              <w:right w:val="single" w:sz="4" w:space="0" w:color="auto"/>
            </w:tcBorders>
            <w:shd w:val="clear" w:color="auto" w:fill="auto"/>
            <w:noWrap/>
            <w:vAlign w:val="bottom"/>
            <w:hideMark/>
          </w:tcPr>
          <w:p w14:paraId="734F5039" w14:textId="77777777" w:rsidR="00827437" w:rsidRPr="00522104" w:rsidRDefault="00827437" w:rsidP="00E40BEE">
            <w:pPr>
              <w:spacing w:after="0" w:line="240" w:lineRule="auto"/>
              <w:ind w:left="-108" w:right="-108"/>
              <w:jc w:val="center"/>
              <w:rPr>
                <w:rFonts w:ascii="Times New Roman" w:eastAsia="Times New Roman" w:hAnsi="Times New Roman" w:cs="Times New Roman"/>
                <w:b/>
                <w:bCs/>
                <w:sz w:val="20"/>
                <w:szCs w:val="20"/>
                <w:lang w:eastAsia="ru-RU"/>
              </w:rPr>
            </w:pPr>
            <w:r w:rsidRPr="00522104">
              <w:rPr>
                <w:rFonts w:ascii="Times New Roman" w:eastAsia="Times New Roman" w:hAnsi="Times New Roman" w:cs="Times New Roman"/>
                <w:b/>
                <w:bCs/>
                <w:sz w:val="20"/>
                <w:szCs w:val="20"/>
                <w:lang w:eastAsia="ru-RU"/>
              </w:rPr>
              <w:t>121,32</w:t>
            </w:r>
          </w:p>
        </w:tc>
      </w:tr>
      <w:tr w:rsidR="00827437" w:rsidRPr="00522104" w14:paraId="4B95FA5E" w14:textId="77777777" w:rsidTr="00E40BEE">
        <w:trPr>
          <w:trHeight w:val="792"/>
          <w:jc w:val="center"/>
        </w:trPr>
        <w:tc>
          <w:tcPr>
            <w:tcW w:w="1842" w:type="dxa"/>
            <w:tcBorders>
              <w:top w:val="nil"/>
              <w:left w:val="single" w:sz="4" w:space="0" w:color="auto"/>
              <w:bottom w:val="single" w:sz="4" w:space="0" w:color="auto"/>
              <w:right w:val="single" w:sz="4" w:space="0" w:color="auto"/>
            </w:tcBorders>
            <w:shd w:val="clear" w:color="auto" w:fill="auto"/>
            <w:vAlign w:val="bottom"/>
            <w:hideMark/>
          </w:tcPr>
          <w:p w14:paraId="68FD6F2F" w14:textId="77777777" w:rsidR="00827437" w:rsidRPr="00C655A1" w:rsidRDefault="00827437" w:rsidP="00E40BEE">
            <w:pPr>
              <w:spacing w:after="0" w:line="240" w:lineRule="auto"/>
              <w:ind w:left="-108" w:right="-108"/>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993" w:type="dxa"/>
            <w:tcBorders>
              <w:top w:val="nil"/>
              <w:left w:val="nil"/>
              <w:bottom w:val="single" w:sz="4" w:space="0" w:color="auto"/>
              <w:right w:val="single" w:sz="4" w:space="0" w:color="auto"/>
            </w:tcBorders>
            <w:shd w:val="clear" w:color="auto" w:fill="auto"/>
            <w:noWrap/>
            <w:vAlign w:val="bottom"/>
            <w:hideMark/>
          </w:tcPr>
          <w:p w14:paraId="5D9F4C38"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285,80</w:t>
            </w:r>
          </w:p>
        </w:tc>
        <w:tc>
          <w:tcPr>
            <w:tcW w:w="993" w:type="dxa"/>
            <w:tcBorders>
              <w:top w:val="nil"/>
              <w:left w:val="nil"/>
              <w:bottom w:val="single" w:sz="4" w:space="0" w:color="auto"/>
              <w:right w:val="single" w:sz="4" w:space="0" w:color="auto"/>
            </w:tcBorders>
            <w:shd w:val="clear" w:color="auto" w:fill="auto"/>
            <w:noWrap/>
            <w:vAlign w:val="bottom"/>
            <w:hideMark/>
          </w:tcPr>
          <w:p w14:paraId="433BDAA2" w14:textId="77777777" w:rsidR="00827437" w:rsidRPr="00C655A1" w:rsidRDefault="00827437" w:rsidP="00E40BEE">
            <w:pPr>
              <w:spacing w:after="0" w:line="240" w:lineRule="auto"/>
              <w:ind w:left="-149"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320,33</w:t>
            </w:r>
          </w:p>
        </w:tc>
        <w:tc>
          <w:tcPr>
            <w:tcW w:w="992" w:type="dxa"/>
            <w:tcBorders>
              <w:top w:val="nil"/>
              <w:left w:val="nil"/>
              <w:bottom w:val="single" w:sz="4" w:space="0" w:color="auto"/>
              <w:right w:val="single" w:sz="4" w:space="0" w:color="auto"/>
            </w:tcBorders>
            <w:shd w:val="clear" w:color="auto" w:fill="auto"/>
            <w:noWrap/>
            <w:vAlign w:val="bottom"/>
            <w:hideMark/>
          </w:tcPr>
          <w:p w14:paraId="6A3F4DF8"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240,29</w:t>
            </w:r>
          </w:p>
        </w:tc>
        <w:tc>
          <w:tcPr>
            <w:tcW w:w="851" w:type="dxa"/>
            <w:tcBorders>
              <w:top w:val="nil"/>
              <w:left w:val="nil"/>
              <w:bottom w:val="single" w:sz="4" w:space="0" w:color="auto"/>
              <w:right w:val="single" w:sz="4" w:space="0" w:color="auto"/>
            </w:tcBorders>
            <w:shd w:val="clear" w:color="auto" w:fill="auto"/>
            <w:noWrap/>
            <w:vAlign w:val="bottom"/>
            <w:hideMark/>
          </w:tcPr>
          <w:p w14:paraId="199F0A1F"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320,91</w:t>
            </w:r>
          </w:p>
        </w:tc>
        <w:tc>
          <w:tcPr>
            <w:tcW w:w="850" w:type="dxa"/>
            <w:tcBorders>
              <w:top w:val="nil"/>
              <w:left w:val="nil"/>
              <w:bottom w:val="single" w:sz="4" w:space="0" w:color="auto"/>
              <w:right w:val="single" w:sz="4" w:space="0" w:color="auto"/>
            </w:tcBorders>
            <w:shd w:val="clear" w:color="auto" w:fill="auto"/>
            <w:noWrap/>
            <w:vAlign w:val="bottom"/>
            <w:hideMark/>
          </w:tcPr>
          <w:p w14:paraId="055417BD"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269,69</w:t>
            </w:r>
          </w:p>
        </w:tc>
        <w:tc>
          <w:tcPr>
            <w:tcW w:w="851" w:type="dxa"/>
            <w:tcBorders>
              <w:top w:val="nil"/>
              <w:left w:val="nil"/>
              <w:bottom w:val="single" w:sz="4" w:space="0" w:color="auto"/>
              <w:right w:val="single" w:sz="4" w:space="0" w:color="auto"/>
            </w:tcBorders>
            <w:shd w:val="clear" w:color="auto" w:fill="auto"/>
            <w:noWrap/>
            <w:vAlign w:val="bottom"/>
            <w:hideMark/>
          </w:tcPr>
          <w:p w14:paraId="061F6449"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277,30</w:t>
            </w:r>
          </w:p>
        </w:tc>
        <w:tc>
          <w:tcPr>
            <w:tcW w:w="680" w:type="dxa"/>
            <w:tcBorders>
              <w:top w:val="nil"/>
              <w:left w:val="nil"/>
              <w:bottom w:val="single" w:sz="4" w:space="0" w:color="auto"/>
              <w:right w:val="single" w:sz="4" w:space="0" w:color="auto"/>
            </w:tcBorders>
            <w:shd w:val="clear" w:color="auto" w:fill="auto"/>
            <w:noWrap/>
            <w:vAlign w:val="bottom"/>
            <w:hideMark/>
          </w:tcPr>
          <w:p w14:paraId="7D5707F4"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0,58</w:t>
            </w:r>
          </w:p>
        </w:tc>
        <w:tc>
          <w:tcPr>
            <w:tcW w:w="567" w:type="dxa"/>
            <w:tcBorders>
              <w:top w:val="nil"/>
              <w:left w:val="nil"/>
              <w:bottom w:val="single" w:sz="4" w:space="0" w:color="auto"/>
              <w:right w:val="single" w:sz="4" w:space="0" w:color="auto"/>
            </w:tcBorders>
            <w:shd w:val="clear" w:color="auto" w:fill="auto"/>
            <w:noWrap/>
            <w:vAlign w:val="bottom"/>
            <w:hideMark/>
          </w:tcPr>
          <w:p w14:paraId="0ED907C4"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100,18</w:t>
            </w:r>
          </w:p>
        </w:tc>
        <w:tc>
          <w:tcPr>
            <w:tcW w:w="708" w:type="dxa"/>
            <w:tcBorders>
              <w:top w:val="nil"/>
              <w:left w:val="nil"/>
              <w:bottom w:val="single" w:sz="4" w:space="0" w:color="auto"/>
              <w:right w:val="single" w:sz="4" w:space="0" w:color="auto"/>
            </w:tcBorders>
            <w:shd w:val="clear" w:color="auto" w:fill="auto"/>
            <w:noWrap/>
            <w:vAlign w:val="bottom"/>
            <w:hideMark/>
          </w:tcPr>
          <w:p w14:paraId="370BA1E0"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80,62</w:t>
            </w:r>
          </w:p>
        </w:tc>
        <w:tc>
          <w:tcPr>
            <w:tcW w:w="709" w:type="dxa"/>
            <w:tcBorders>
              <w:top w:val="nil"/>
              <w:left w:val="nil"/>
              <w:bottom w:val="single" w:sz="4" w:space="0" w:color="auto"/>
              <w:right w:val="single" w:sz="4" w:space="0" w:color="auto"/>
            </w:tcBorders>
            <w:shd w:val="clear" w:color="auto" w:fill="auto"/>
            <w:noWrap/>
            <w:vAlign w:val="bottom"/>
            <w:hideMark/>
          </w:tcPr>
          <w:p w14:paraId="544DE6A4"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133,55</w:t>
            </w:r>
          </w:p>
        </w:tc>
      </w:tr>
      <w:tr w:rsidR="00827437" w:rsidRPr="00522104" w14:paraId="38B0C894" w14:textId="77777777" w:rsidTr="00E40BEE">
        <w:trPr>
          <w:trHeight w:val="276"/>
          <w:jc w:val="center"/>
        </w:trPr>
        <w:tc>
          <w:tcPr>
            <w:tcW w:w="1842" w:type="dxa"/>
            <w:tcBorders>
              <w:top w:val="nil"/>
              <w:left w:val="single" w:sz="4" w:space="0" w:color="auto"/>
              <w:bottom w:val="single" w:sz="4" w:space="0" w:color="auto"/>
              <w:right w:val="single" w:sz="4" w:space="0" w:color="auto"/>
            </w:tcBorders>
            <w:shd w:val="clear" w:color="auto" w:fill="auto"/>
            <w:vAlign w:val="bottom"/>
            <w:hideMark/>
          </w:tcPr>
          <w:p w14:paraId="53B2CB5A" w14:textId="77777777" w:rsidR="00827437" w:rsidRPr="00C655A1" w:rsidRDefault="00827437" w:rsidP="00E40BEE">
            <w:pPr>
              <w:spacing w:after="0" w:line="240" w:lineRule="auto"/>
              <w:ind w:left="-108" w:right="-108"/>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Подпрограмма "Пожарная безопасность"</w:t>
            </w:r>
          </w:p>
        </w:tc>
        <w:tc>
          <w:tcPr>
            <w:tcW w:w="993" w:type="dxa"/>
            <w:tcBorders>
              <w:top w:val="nil"/>
              <w:left w:val="nil"/>
              <w:bottom w:val="single" w:sz="4" w:space="0" w:color="auto"/>
              <w:right w:val="single" w:sz="4" w:space="0" w:color="auto"/>
            </w:tcBorders>
            <w:shd w:val="clear" w:color="auto" w:fill="auto"/>
            <w:noWrap/>
            <w:vAlign w:val="bottom"/>
            <w:hideMark/>
          </w:tcPr>
          <w:p w14:paraId="0D30286B"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1 237,80</w:t>
            </w:r>
          </w:p>
        </w:tc>
        <w:tc>
          <w:tcPr>
            <w:tcW w:w="993" w:type="dxa"/>
            <w:tcBorders>
              <w:top w:val="nil"/>
              <w:left w:val="nil"/>
              <w:bottom w:val="single" w:sz="4" w:space="0" w:color="auto"/>
              <w:right w:val="single" w:sz="4" w:space="0" w:color="auto"/>
            </w:tcBorders>
            <w:shd w:val="clear" w:color="auto" w:fill="auto"/>
            <w:noWrap/>
            <w:vAlign w:val="bottom"/>
            <w:hideMark/>
          </w:tcPr>
          <w:p w14:paraId="0B8B59DB"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1 284,86</w:t>
            </w:r>
          </w:p>
        </w:tc>
        <w:tc>
          <w:tcPr>
            <w:tcW w:w="992" w:type="dxa"/>
            <w:tcBorders>
              <w:top w:val="nil"/>
              <w:left w:val="nil"/>
              <w:bottom w:val="single" w:sz="4" w:space="0" w:color="auto"/>
              <w:right w:val="single" w:sz="4" w:space="0" w:color="auto"/>
            </w:tcBorders>
            <w:shd w:val="clear" w:color="auto" w:fill="auto"/>
            <w:noWrap/>
            <w:vAlign w:val="bottom"/>
            <w:hideMark/>
          </w:tcPr>
          <w:p w14:paraId="7C02D6E2"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1 268,69</w:t>
            </w:r>
          </w:p>
        </w:tc>
        <w:tc>
          <w:tcPr>
            <w:tcW w:w="851" w:type="dxa"/>
            <w:tcBorders>
              <w:top w:val="nil"/>
              <w:left w:val="nil"/>
              <w:bottom w:val="single" w:sz="4" w:space="0" w:color="auto"/>
              <w:right w:val="single" w:sz="4" w:space="0" w:color="auto"/>
            </w:tcBorders>
            <w:shd w:val="clear" w:color="auto" w:fill="auto"/>
            <w:noWrap/>
            <w:vAlign w:val="bottom"/>
            <w:hideMark/>
          </w:tcPr>
          <w:p w14:paraId="13FAA260"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1 500,40</w:t>
            </w:r>
          </w:p>
        </w:tc>
        <w:tc>
          <w:tcPr>
            <w:tcW w:w="850" w:type="dxa"/>
            <w:tcBorders>
              <w:top w:val="nil"/>
              <w:left w:val="nil"/>
              <w:bottom w:val="single" w:sz="4" w:space="0" w:color="auto"/>
              <w:right w:val="single" w:sz="4" w:space="0" w:color="auto"/>
            </w:tcBorders>
            <w:shd w:val="clear" w:color="auto" w:fill="auto"/>
            <w:noWrap/>
            <w:vAlign w:val="bottom"/>
            <w:hideMark/>
          </w:tcPr>
          <w:p w14:paraId="11340389"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1 624,37</w:t>
            </w:r>
          </w:p>
        </w:tc>
        <w:tc>
          <w:tcPr>
            <w:tcW w:w="851" w:type="dxa"/>
            <w:tcBorders>
              <w:top w:val="nil"/>
              <w:left w:val="nil"/>
              <w:bottom w:val="single" w:sz="4" w:space="0" w:color="auto"/>
              <w:right w:val="single" w:sz="4" w:space="0" w:color="auto"/>
            </w:tcBorders>
            <w:shd w:val="clear" w:color="auto" w:fill="auto"/>
            <w:noWrap/>
            <w:vAlign w:val="bottom"/>
            <w:hideMark/>
          </w:tcPr>
          <w:p w14:paraId="13785D43"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1 540,24</w:t>
            </w:r>
          </w:p>
        </w:tc>
        <w:tc>
          <w:tcPr>
            <w:tcW w:w="680" w:type="dxa"/>
            <w:tcBorders>
              <w:top w:val="nil"/>
              <w:left w:val="nil"/>
              <w:bottom w:val="single" w:sz="4" w:space="0" w:color="auto"/>
              <w:right w:val="single" w:sz="4" w:space="0" w:color="auto"/>
            </w:tcBorders>
            <w:shd w:val="clear" w:color="auto" w:fill="auto"/>
            <w:noWrap/>
            <w:vAlign w:val="bottom"/>
            <w:hideMark/>
          </w:tcPr>
          <w:p w14:paraId="0B9E998D"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215,54</w:t>
            </w:r>
          </w:p>
        </w:tc>
        <w:tc>
          <w:tcPr>
            <w:tcW w:w="567" w:type="dxa"/>
            <w:tcBorders>
              <w:top w:val="nil"/>
              <w:left w:val="nil"/>
              <w:bottom w:val="single" w:sz="4" w:space="0" w:color="auto"/>
              <w:right w:val="single" w:sz="4" w:space="0" w:color="auto"/>
            </w:tcBorders>
            <w:shd w:val="clear" w:color="auto" w:fill="auto"/>
            <w:noWrap/>
            <w:vAlign w:val="bottom"/>
            <w:hideMark/>
          </w:tcPr>
          <w:p w14:paraId="5E757144"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116,78</w:t>
            </w:r>
          </w:p>
        </w:tc>
        <w:tc>
          <w:tcPr>
            <w:tcW w:w="708" w:type="dxa"/>
            <w:tcBorders>
              <w:top w:val="nil"/>
              <w:left w:val="nil"/>
              <w:bottom w:val="single" w:sz="4" w:space="0" w:color="auto"/>
              <w:right w:val="single" w:sz="4" w:space="0" w:color="auto"/>
            </w:tcBorders>
            <w:shd w:val="clear" w:color="auto" w:fill="auto"/>
            <w:noWrap/>
            <w:vAlign w:val="bottom"/>
            <w:hideMark/>
          </w:tcPr>
          <w:p w14:paraId="5A871CA3"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231,71</w:t>
            </w:r>
          </w:p>
        </w:tc>
        <w:tc>
          <w:tcPr>
            <w:tcW w:w="709" w:type="dxa"/>
            <w:tcBorders>
              <w:top w:val="nil"/>
              <w:left w:val="nil"/>
              <w:bottom w:val="single" w:sz="4" w:space="0" w:color="auto"/>
              <w:right w:val="single" w:sz="4" w:space="0" w:color="auto"/>
            </w:tcBorders>
            <w:shd w:val="clear" w:color="auto" w:fill="auto"/>
            <w:noWrap/>
            <w:vAlign w:val="bottom"/>
            <w:hideMark/>
          </w:tcPr>
          <w:p w14:paraId="0C627861"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118,26</w:t>
            </w:r>
          </w:p>
        </w:tc>
      </w:tr>
      <w:tr w:rsidR="00827437" w:rsidRPr="00522104" w14:paraId="54EBF3A3" w14:textId="77777777" w:rsidTr="00E40BEE">
        <w:trPr>
          <w:trHeight w:val="792"/>
          <w:jc w:val="center"/>
        </w:trPr>
        <w:tc>
          <w:tcPr>
            <w:tcW w:w="1842" w:type="dxa"/>
            <w:tcBorders>
              <w:top w:val="nil"/>
              <w:left w:val="single" w:sz="4" w:space="0" w:color="auto"/>
              <w:bottom w:val="single" w:sz="4" w:space="0" w:color="auto"/>
              <w:right w:val="single" w:sz="4" w:space="0" w:color="auto"/>
            </w:tcBorders>
            <w:shd w:val="clear" w:color="auto" w:fill="auto"/>
            <w:vAlign w:val="bottom"/>
            <w:hideMark/>
          </w:tcPr>
          <w:p w14:paraId="710B971A" w14:textId="77777777" w:rsidR="00827437" w:rsidRPr="00C655A1" w:rsidRDefault="00827437" w:rsidP="00E40BEE">
            <w:pPr>
              <w:spacing w:after="0" w:line="240" w:lineRule="auto"/>
              <w:ind w:left="-108" w:right="-108"/>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Подпрограмма "Предупреждение чрезвычайных ситуаций природного и техногенного характера в Приморском крае"</w:t>
            </w:r>
          </w:p>
        </w:tc>
        <w:tc>
          <w:tcPr>
            <w:tcW w:w="993" w:type="dxa"/>
            <w:tcBorders>
              <w:top w:val="nil"/>
              <w:left w:val="nil"/>
              <w:bottom w:val="single" w:sz="4" w:space="0" w:color="auto"/>
              <w:right w:val="single" w:sz="4" w:space="0" w:color="auto"/>
            </w:tcBorders>
            <w:shd w:val="clear" w:color="auto" w:fill="auto"/>
            <w:noWrap/>
            <w:vAlign w:val="bottom"/>
            <w:hideMark/>
          </w:tcPr>
          <w:p w14:paraId="64B0A945"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10,39</w:t>
            </w:r>
          </w:p>
        </w:tc>
        <w:tc>
          <w:tcPr>
            <w:tcW w:w="993" w:type="dxa"/>
            <w:tcBorders>
              <w:top w:val="nil"/>
              <w:left w:val="nil"/>
              <w:bottom w:val="single" w:sz="4" w:space="0" w:color="auto"/>
              <w:right w:val="single" w:sz="4" w:space="0" w:color="auto"/>
            </w:tcBorders>
            <w:shd w:val="clear" w:color="auto" w:fill="auto"/>
            <w:noWrap/>
            <w:vAlign w:val="bottom"/>
            <w:hideMark/>
          </w:tcPr>
          <w:p w14:paraId="685A9A66"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18,21</w:t>
            </w:r>
          </w:p>
        </w:tc>
        <w:tc>
          <w:tcPr>
            <w:tcW w:w="992" w:type="dxa"/>
            <w:tcBorders>
              <w:top w:val="nil"/>
              <w:left w:val="nil"/>
              <w:bottom w:val="single" w:sz="4" w:space="0" w:color="auto"/>
              <w:right w:val="single" w:sz="4" w:space="0" w:color="auto"/>
            </w:tcBorders>
            <w:shd w:val="clear" w:color="auto" w:fill="auto"/>
            <w:noWrap/>
            <w:vAlign w:val="bottom"/>
            <w:hideMark/>
          </w:tcPr>
          <w:p w14:paraId="76E22F31"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2,39</w:t>
            </w:r>
          </w:p>
        </w:tc>
        <w:tc>
          <w:tcPr>
            <w:tcW w:w="851" w:type="dxa"/>
            <w:tcBorders>
              <w:top w:val="nil"/>
              <w:left w:val="nil"/>
              <w:bottom w:val="single" w:sz="4" w:space="0" w:color="auto"/>
              <w:right w:val="single" w:sz="4" w:space="0" w:color="auto"/>
            </w:tcBorders>
            <w:shd w:val="clear" w:color="auto" w:fill="auto"/>
            <w:noWrap/>
            <w:vAlign w:val="bottom"/>
            <w:hideMark/>
          </w:tcPr>
          <w:p w14:paraId="5E395978"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12,32</w:t>
            </w:r>
          </w:p>
        </w:tc>
        <w:tc>
          <w:tcPr>
            <w:tcW w:w="850" w:type="dxa"/>
            <w:tcBorders>
              <w:top w:val="nil"/>
              <w:left w:val="nil"/>
              <w:bottom w:val="single" w:sz="4" w:space="0" w:color="auto"/>
              <w:right w:val="single" w:sz="4" w:space="0" w:color="auto"/>
            </w:tcBorders>
            <w:shd w:val="clear" w:color="auto" w:fill="auto"/>
            <w:noWrap/>
            <w:vAlign w:val="bottom"/>
            <w:hideMark/>
          </w:tcPr>
          <w:p w14:paraId="592A355F"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2,39</w:t>
            </w:r>
          </w:p>
        </w:tc>
        <w:tc>
          <w:tcPr>
            <w:tcW w:w="851" w:type="dxa"/>
            <w:tcBorders>
              <w:top w:val="nil"/>
              <w:left w:val="nil"/>
              <w:bottom w:val="single" w:sz="4" w:space="0" w:color="auto"/>
              <w:right w:val="single" w:sz="4" w:space="0" w:color="auto"/>
            </w:tcBorders>
            <w:shd w:val="clear" w:color="auto" w:fill="auto"/>
            <w:noWrap/>
            <w:vAlign w:val="bottom"/>
            <w:hideMark/>
          </w:tcPr>
          <w:p w14:paraId="434E631D"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2,39</w:t>
            </w:r>
          </w:p>
        </w:tc>
        <w:tc>
          <w:tcPr>
            <w:tcW w:w="680" w:type="dxa"/>
            <w:tcBorders>
              <w:top w:val="nil"/>
              <w:left w:val="nil"/>
              <w:bottom w:val="single" w:sz="4" w:space="0" w:color="auto"/>
              <w:right w:val="single" w:sz="4" w:space="0" w:color="auto"/>
            </w:tcBorders>
            <w:shd w:val="clear" w:color="auto" w:fill="auto"/>
            <w:noWrap/>
            <w:vAlign w:val="bottom"/>
            <w:hideMark/>
          </w:tcPr>
          <w:p w14:paraId="313D3510"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-5,89</w:t>
            </w:r>
          </w:p>
        </w:tc>
        <w:tc>
          <w:tcPr>
            <w:tcW w:w="567" w:type="dxa"/>
            <w:tcBorders>
              <w:top w:val="nil"/>
              <w:left w:val="nil"/>
              <w:bottom w:val="single" w:sz="4" w:space="0" w:color="auto"/>
              <w:right w:val="single" w:sz="4" w:space="0" w:color="auto"/>
            </w:tcBorders>
            <w:shd w:val="clear" w:color="auto" w:fill="auto"/>
            <w:noWrap/>
            <w:vAlign w:val="bottom"/>
            <w:hideMark/>
          </w:tcPr>
          <w:p w14:paraId="14298560" w14:textId="77777777" w:rsidR="00827437" w:rsidRPr="00C655A1" w:rsidRDefault="00827437" w:rsidP="00E40BEE">
            <w:pPr>
              <w:spacing w:after="0" w:line="240" w:lineRule="auto"/>
              <w:ind w:left="-22" w:right="-86"/>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67,67</w:t>
            </w:r>
          </w:p>
        </w:tc>
        <w:tc>
          <w:tcPr>
            <w:tcW w:w="708" w:type="dxa"/>
            <w:tcBorders>
              <w:top w:val="nil"/>
              <w:left w:val="nil"/>
              <w:bottom w:val="single" w:sz="4" w:space="0" w:color="auto"/>
              <w:right w:val="single" w:sz="4" w:space="0" w:color="auto"/>
            </w:tcBorders>
            <w:shd w:val="clear" w:color="auto" w:fill="auto"/>
            <w:noWrap/>
            <w:vAlign w:val="bottom"/>
            <w:hideMark/>
          </w:tcPr>
          <w:p w14:paraId="17EE7032" w14:textId="77777777" w:rsidR="00827437" w:rsidRPr="00C655A1" w:rsidRDefault="00827437" w:rsidP="00E40BEE">
            <w:pPr>
              <w:spacing w:after="0" w:line="240" w:lineRule="auto"/>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9,93</w:t>
            </w:r>
          </w:p>
        </w:tc>
        <w:tc>
          <w:tcPr>
            <w:tcW w:w="709" w:type="dxa"/>
            <w:tcBorders>
              <w:top w:val="nil"/>
              <w:left w:val="nil"/>
              <w:bottom w:val="single" w:sz="4" w:space="0" w:color="auto"/>
              <w:right w:val="single" w:sz="4" w:space="0" w:color="auto"/>
            </w:tcBorders>
            <w:shd w:val="clear" w:color="auto" w:fill="auto"/>
            <w:noWrap/>
            <w:vAlign w:val="bottom"/>
            <w:hideMark/>
          </w:tcPr>
          <w:p w14:paraId="3152EA1C" w14:textId="77777777" w:rsidR="00827437" w:rsidRPr="00C655A1" w:rsidRDefault="00827437" w:rsidP="00E40BEE">
            <w:pPr>
              <w:spacing w:after="0" w:line="240" w:lineRule="auto"/>
              <w:ind w:left="-108" w:right="-108"/>
              <w:jc w:val="center"/>
              <w:rPr>
                <w:rFonts w:ascii="Times New Roman" w:eastAsia="Times New Roman" w:hAnsi="Times New Roman" w:cs="Times New Roman"/>
                <w:bCs/>
                <w:sz w:val="20"/>
                <w:szCs w:val="20"/>
                <w:lang w:eastAsia="ru-RU"/>
              </w:rPr>
            </w:pPr>
            <w:r w:rsidRPr="00C655A1">
              <w:rPr>
                <w:rFonts w:ascii="Times New Roman" w:eastAsia="Times New Roman" w:hAnsi="Times New Roman" w:cs="Times New Roman"/>
                <w:bCs/>
                <w:sz w:val="20"/>
                <w:szCs w:val="20"/>
                <w:lang w:eastAsia="ru-RU"/>
              </w:rPr>
              <w:t>516,04</w:t>
            </w:r>
          </w:p>
        </w:tc>
      </w:tr>
    </w:tbl>
    <w:p w14:paraId="7AEE8848" w14:textId="77777777" w:rsidR="00827437" w:rsidRPr="00522104" w:rsidRDefault="00827437" w:rsidP="00827437">
      <w:pPr>
        <w:spacing w:after="0" w:line="240" w:lineRule="auto"/>
        <w:jc w:val="both"/>
        <w:rPr>
          <w:rFonts w:ascii="Times New Roman" w:hAnsi="Times New Roman" w:cs="Times New Roman"/>
          <w:sz w:val="28"/>
          <w:szCs w:val="28"/>
        </w:rPr>
      </w:pPr>
    </w:p>
    <w:p w14:paraId="2BEF2AB8"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Анализ подпрограмм ГП показал следующее.</w:t>
      </w:r>
    </w:p>
    <w:p w14:paraId="1146925D" w14:textId="67D6CFFF"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"Снижение рисков и смягчение последствий чрезвычайных ситуаций природного и техногенного характера в Приморском крае"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законопроектом на 2022 год предусмотрены бюджетные ассигнования в размере 320,91</w:t>
      </w:r>
      <w:r w:rsidRPr="00522104">
        <w:t xml:space="preserve"> </w:t>
      </w:r>
      <w:r w:rsidRPr="00522104">
        <w:rPr>
          <w:rFonts w:ascii="Times New Roman" w:eastAsia="Times New Roman" w:hAnsi="Times New Roman" w:cs="Times New Roman"/>
          <w:sz w:val="28"/>
          <w:szCs w:val="28"/>
          <w:lang w:eastAsia="ru-RU"/>
        </w:rPr>
        <w:t>млн рублей, что на 80,62</w:t>
      </w:r>
      <w:r w:rsidRPr="00522104">
        <w:t xml:space="preserve"> </w:t>
      </w:r>
      <w:r w:rsidRPr="00522104">
        <w:rPr>
          <w:rFonts w:ascii="Times New Roman" w:eastAsia="Times New Roman" w:hAnsi="Times New Roman" w:cs="Times New Roman"/>
          <w:sz w:val="28"/>
          <w:szCs w:val="28"/>
          <w:lang w:eastAsia="ru-RU"/>
        </w:rPr>
        <w:t>млн рублей, или 33,5 %</w:t>
      </w:r>
      <w:r w:rsidR="005930D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выше утвержденных назначений</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(240,29 млн рублей), и практически на уровне расходов текущего финансового года (320,33 млн рублей), которые в свою очередь на 34,53 млн рублей увеличены в ходе исполнения бюджета 2021 года.</w:t>
      </w:r>
    </w:p>
    <w:p w14:paraId="5B69B221"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Расходы по мероприятиям ГП запланированы законопроектом на 2022 год:</w:t>
      </w:r>
    </w:p>
    <w:p w14:paraId="00E38C9C" w14:textId="77777777" w:rsidR="00827437" w:rsidRPr="00522104" w:rsidRDefault="00827437" w:rsidP="00827437">
      <w:pPr>
        <w:spacing w:after="0" w:line="240" w:lineRule="auto"/>
        <w:ind w:firstLine="709"/>
        <w:jc w:val="both"/>
        <w:rPr>
          <w:rFonts w:ascii="Times New Roman" w:eastAsia="Times New Roman" w:hAnsi="Times New Roman" w:cs="Times New Roman"/>
          <w:b/>
          <w:i/>
          <w:sz w:val="28"/>
          <w:szCs w:val="28"/>
          <w:lang w:eastAsia="ru-RU"/>
        </w:rPr>
      </w:pPr>
      <w:r w:rsidRPr="00522104">
        <w:rPr>
          <w:rFonts w:ascii="Times New Roman" w:eastAsia="Times New Roman" w:hAnsi="Times New Roman" w:cs="Times New Roman"/>
          <w:sz w:val="28"/>
          <w:szCs w:val="28"/>
          <w:lang w:eastAsia="ru-RU"/>
        </w:rPr>
        <w:t xml:space="preserve">на уровне утвержденных </w:t>
      </w:r>
      <w:r w:rsidRPr="00522104">
        <w:rPr>
          <w:rFonts w:ascii="Times New Roman" w:hAnsi="Times New Roman" w:cs="Times New Roman"/>
          <w:sz w:val="28"/>
          <w:szCs w:val="28"/>
        </w:rPr>
        <w:t>назначений</w:t>
      </w:r>
      <w:r w:rsidRPr="00522104">
        <w:rPr>
          <w:rFonts w:ascii="Times New Roman" w:hAnsi="Times New Roman" w:cs="Times New Roman"/>
          <w:b/>
          <w:i/>
          <w:sz w:val="28"/>
          <w:szCs w:val="28"/>
        </w:rPr>
        <w:t xml:space="preserve"> </w:t>
      </w:r>
      <w:r w:rsidRPr="00522104">
        <w:rPr>
          <w:rFonts w:ascii="Times New Roman" w:hAnsi="Times New Roman" w:cs="Times New Roman"/>
          <w:sz w:val="28"/>
          <w:szCs w:val="28"/>
        </w:rPr>
        <w:t>на</w:t>
      </w:r>
      <w:r w:rsidRPr="00522104">
        <w:rPr>
          <w:rFonts w:ascii="Times New Roman" w:hAnsi="Times New Roman" w:cs="Times New Roman"/>
          <w:b/>
          <w:sz w:val="28"/>
          <w:szCs w:val="28"/>
        </w:rPr>
        <w:t xml:space="preserve"> </w:t>
      </w:r>
      <w:r w:rsidRPr="00522104">
        <w:rPr>
          <w:rFonts w:ascii="Times New Roman" w:hAnsi="Times New Roman" w:cs="Times New Roman"/>
          <w:sz w:val="28"/>
          <w:szCs w:val="28"/>
        </w:rPr>
        <w:t>развитие материально-технической базы спасателей Приморского края, в том числе на водных объектах (25,50 млн рублей). На плановый период 2023-2024 годов расходы не планируются;</w:t>
      </w:r>
    </w:p>
    <w:p w14:paraId="3495F060" w14:textId="77777777" w:rsidR="00827437" w:rsidRPr="00522104" w:rsidRDefault="00827437" w:rsidP="00827437">
      <w:pPr>
        <w:spacing w:after="0" w:line="240" w:lineRule="auto"/>
        <w:ind w:firstLine="709"/>
        <w:jc w:val="both"/>
        <w:rPr>
          <w:rFonts w:ascii="Times New Roman" w:eastAsia="Times New Roman" w:hAnsi="Times New Roman" w:cs="Times New Roman"/>
          <w:bCs/>
          <w:iCs/>
          <w:sz w:val="28"/>
          <w:szCs w:val="28"/>
          <w:lang w:eastAsia="ru-RU"/>
        </w:rPr>
      </w:pPr>
      <w:r w:rsidRPr="00522104">
        <w:rPr>
          <w:rFonts w:ascii="Times New Roman" w:eastAsia="Times New Roman" w:hAnsi="Times New Roman" w:cs="Times New Roman"/>
          <w:bCs/>
          <w:iCs/>
          <w:sz w:val="28"/>
          <w:szCs w:val="28"/>
          <w:lang w:eastAsia="ru-RU"/>
        </w:rPr>
        <w:t>со значительным увеличением по расходам на:</w:t>
      </w:r>
    </w:p>
    <w:p w14:paraId="7733531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создание и дооснащение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 как и на 2023-2024 годы, по 27,95 млн рублей. Так, Законом № 969-КЗ на</w:t>
      </w:r>
      <w:r w:rsidRPr="00522104">
        <w:rPr>
          <w:rFonts w:ascii="Times New Roman" w:eastAsia="Times New Roman" w:hAnsi="Times New Roman" w:cs="Times New Roman"/>
          <w:sz w:val="28"/>
          <w:szCs w:val="28"/>
          <w:lang w:eastAsia="ru-RU"/>
        </w:rPr>
        <w:t xml:space="preserve"> 2022 год</w:t>
      </w:r>
      <w:r w:rsidRPr="00522104">
        <w:rPr>
          <w:rFonts w:ascii="Times New Roman" w:hAnsi="Times New Roman" w:cs="Times New Roman"/>
          <w:sz w:val="28"/>
          <w:szCs w:val="28"/>
        </w:rPr>
        <w:t xml:space="preserve"> расходы не планировались. На 2021 год бюджетные ассигнования на указанные расходы утверждены в сумме 26,88 млн рублей, что незначительно отличается от объемов, предусмотренных законопроектом на исследуемый период;</w:t>
      </w:r>
    </w:p>
    <w:p w14:paraId="070771E3" w14:textId="19AC33F1"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обеспечение эксплуатации комплексных систем безопасности Приморского края расходы </w:t>
      </w:r>
      <w:r w:rsidR="0017317B" w:rsidRPr="00522104">
        <w:rPr>
          <w:rFonts w:ascii="Times New Roman" w:hAnsi="Times New Roman" w:cs="Times New Roman"/>
          <w:sz w:val="28"/>
          <w:szCs w:val="28"/>
        </w:rPr>
        <w:t>–</w:t>
      </w:r>
      <w:r w:rsidRPr="00522104">
        <w:rPr>
          <w:rFonts w:ascii="Times New Roman" w:hAnsi="Times New Roman" w:cs="Times New Roman"/>
          <w:sz w:val="28"/>
          <w:szCs w:val="28"/>
        </w:rPr>
        <w:t xml:space="preserve"> 56,02 млн рублей, что почти в 2 раза превышают утвержденные назначения (25,00 млн рублей). Расходы на плановый пер</w:t>
      </w:r>
      <w:r w:rsidR="0017317B" w:rsidRPr="00522104">
        <w:rPr>
          <w:rFonts w:ascii="Times New Roman" w:hAnsi="Times New Roman" w:cs="Times New Roman"/>
          <w:sz w:val="28"/>
          <w:szCs w:val="28"/>
        </w:rPr>
        <w:t>иод 2023-2024 годов соответствую</w:t>
      </w:r>
      <w:r w:rsidRPr="00522104">
        <w:rPr>
          <w:rFonts w:ascii="Times New Roman" w:hAnsi="Times New Roman" w:cs="Times New Roman"/>
          <w:sz w:val="28"/>
          <w:szCs w:val="28"/>
        </w:rPr>
        <w:t>т объемам 2021 год</w:t>
      </w:r>
      <w:r w:rsidR="0017317B" w:rsidRPr="00522104">
        <w:rPr>
          <w:rFonts w:ascii="Times New Roman" w:hAnsi="Times New Roman" w:cs="Times New Roman"/>
          <w:sz w:val="28"/>
          <w:szCs w:val="28"/>
        </w:rPr>
        <w:t>а</w:t>
      </w:r>
      <w:r w:rsidRPr="00522104">
        <w:rPr>
          <w:rFonts w:ascii="Times New Roman" w:hAnsi="Times New Roman" w:cs="Times New Roman"/>
          <w:sz w:val="28"/>
          <w:szCs w:val="28"/>
        </w:rPr>
        <w:t xml:space="preserve"> (по 25,00 млн рублей); </w:t>
      </w:r>
    </w:p>
    <w:p w14:paraId="43A8C923" w14:textId="77777777" w:rsidR="00827437" w:rsidRPr="00522104" w:rsidRDefault="00827437" w:rsidP="00827437">
      <w:pPr>
        <w:spacing w:after="0" w:line="240" w:lineRule="auto"/>
        <w:ind w:firstLine="709"/>
        <w:jc w:val="both"/>
        <w:rPr>
          <w:rFonts w:ascii="Times New Roman" w:eastAsia="Times New Roman" w:hAnsi="Times New Roman" w:cs="Times New Roman"/>
          <w:bCs/>
          <w:iCs/>
          <w:sz w:val="28"/>
          <w:szCs w:val="28"/>
          <w:lang w:eastAsia="ru-RU"/>
        </w:rPr>
      </w:pPr>
      <w:r w:rsidRPr="00522104">
        <w:rPr>
          <w:rFonts w:ascii="Times New Roman" w:eastAsia="Times New Roman" w:hAnsi="Times New Roman" w:cs="Times New Roman"/>
          <w:bCs/>
          <w:iCs/>
          <w:sz w:val="28"/>
          <w:szCs w:val="28"/>
          <w:lang w:eastAsia="ru-RU"/>
        </w:rPr>
        <w:t xml:space="preserve">с незначительным увеличением утвержденных </w:t>
      </w:r>
      <w:r w:rsidRPr="00522104">
        <w:rPr>
          <w:rFonts w:ascii="Times New Roman" w:hAnsi="Times New Roman" w:cs="Times New Roman"/>
          <w:bCs/>
          <w:iCs/>
          <w:sz w:val="28"/>
          <w:szCs w:val="28"/>
        </w:rPr>
        <w:t>назначений</w:t>
      </w:r>
      <w:r w:rsidRPr="00522104">
        <w:rPr>
          <w:rFonts w:ascii="Times New Roman" w:eastAsia="Times New Roman" w:hAnsi="Times New Roman" w:cs="Times New Roman"/>
          <w:bCs/>
          <w:iCs/>
          <w:sz w:val="28"/>
          <w:szCs w:val="28"/>
          <w:lang w:eastAsia="ru-RU"/>
        </w:rPr>
        <w:t xml:space="preserve"> по расходам на:</w:t>
      </w:r>
    </w:p>
    <w:p w14:paraId="3D391BFB" w14:textId="7DD6E23A"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руководство и управление в сфере установленных функций министерству по делам гражданской обороны, защиты от чрезвычайных ситуаций и ликвидации последствий стихийных бедствий Приморского края – на 1,42 млн рублей (законопроектом предусмотрено на 2022 год 24,29 млн рублей, утверждено законом 22,87 млн рублей). В плановом периоде на 2023-2024 годы по министерству предусматривается повышение расходов с учетом индексации заработной платы (25,23 млн рублей и 26,21 млн рублей соответственно);</w:t>
      </w:r>
    </w:p>
    <w:p w14:paraId="52F344F9"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обеспечение деятельности (оказание услуг, выполнение работ) краевых государственных учреждений – на 20,21 млн рублей (предусмотрено на 2022 год – 187,14 млн рублей, утверждено законом – 166,93 млн рублей). В плановом периоде на 2023-2024 годы по подведомственным учреждениям предусматривается повышение расходов в том числе с учетом индексации заработной платы (191,51 млн рублей и 198,14 млн рублей соответственно по годам).</w:t>
      </w:r>
    </w:p>
    <w:p w14:paraId="59A9E7A9" w14:textId="764CFEAF"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"Пожарная безопасность"</w:t>
      </w:r>
      <w:r w:rsidRPr="00522104">
        <w:rPr>
          <w:rFonts w:ascii="Times New Roman" w:eastAsia="Times New Roman" w:hAnsi="Times New Roman" w:cs="Times New Roman"/>
          <w:sz w:val="28"/>
          <w:szCs w:val="28"/>
          <w:lang w:eastAsia="ru-RU"/>
        </w:rPr>
        <w:t xml:space="preserve"> на 2022 год планируется 1500,40</w:t>
      </w:r>
      <w:r w:rsidRPr="00522104">
        <w:t xml:space="preserve"> </w:t>
      </w:r>
      <w:r w:rsidRPr="00522104">
        <w:rPr>
          <w:rFonts w:ascii="Times New Roman" w:eastAsia="Times New Roman" w:hAnsi="Times New Roman" w:cs="Times New Roman"/>
          <w:sz w:val="28"/>
          <w:szCs w:val="28"/>
          <w:lang w:eastAsia="ru-RU"/>
        </w:rPr>
        <w:t>млн рублей, что на 231,71</w:t>
      </w:r>
      <w:r w:rsidRPr="00522104">
        <w:t xml:space="preserve"> </w:t>
      </w:r>
      <w:r w:rsidRPr="00522104">
        <w:rPr>
          <w:rFonts w:ascii="Times New Roman" w:eastAsia="Times New Roman" w:hAnsi="Times New Roman" w:cs="Times New Roman"/>
          <w:sz w:val="28"/>
          <w:szCs w:val="28"/>
          <w:lang w:eastAsia="ru-RU"/>
        </w:rPr>
        <w:t>млн рублей, или 18,3 %</w:t>
      </w:r>
      <w:r w:rsidR="00FD19C0"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выше утвержденных назначений</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(1268,69 млн рублей), и на 215,54</w:t>
      </w:r>
      <w:r w:rsidRPr="00522104">
        <w:t xml:space="preserve"> </w:t>
      </w:r>
      <w:r w:rsidRPr="00522104">
        <w:rPr>
          <w:rFonts w:ascii="Times New Roman" w:eastAsia="Times New Roman" w:hAnsi="Times New Roman" w:cs="Times New Roman"/>
          <w:sz w:val="28"/>
          <w:szCs w:val="28"/>
          <w:lang w:eastAsia="ru-RU"/>
        </w:rPr>
        <w:t>млн рублей, или 16,8 %</w:t>
      </w:r>
      <w:r w:rsidR="00FD19C0"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выше уровня текущего финансового года (1284,86 млн рублей).</w:t>
      </w:r>
    </w:p>
    <w:p w14:paraId="66292B1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Расходы по мероприятиям ГП запланированы законопроектом на 2022 год:</w:t>
      </w:r>
    </w:p>
    <w:p w14:paraId="5467E6E1"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уровне утвержденных </w:t>
      </w:r>
      <w:r w:rsidRPr="00522104">
        <w:rPr>
          <w:rFonts w:ascii="Times New Roman" w:hAnsi="Times New Roman" w:cs="Times New Roman"/>
          <w:sz w:val="28"/>
          <w:szCs w:val="28"/>
        </w:rPr>
        <w:t>назначений</w:t>
      </w:r>
      <w:r w:rsidRPr="00522104">
        <w:rPr>
          <w:rFonts w:ascii="Times New Roman" w:eastAsia="Times New Roman" w:hAnsi="Times New Roman" w:cs="Times New Roman"/>
          <w:sz w:val="28"/>
          <w:szCs w:val="28"/>
          <w:lang w:eastAsia="ru-RU"/>
        </w:rPr>
        <w:t>:</w:t>
      </w:r>
    </w:p>
    <w:p w14:paraId="31111C6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противопожарную пропаганду – 2,17 млн рублей;</w:t>
      </w:r>
    </w:p>
    <w:p w14:paraId="787C87D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личное страхование добровольных пожарных Приморского края – 0,20 млн рублей;</w:t>
      </w:r>
    </w:p>
    <w:p w14:paraId="5C753CA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выплаты единовременного пособия в случае гибели (смерти) работников противопожарной службы Приморского края, наступившей при исполнении служебных обязанностей – 0,10 млн рублей;</w:t>
      </w:r>
    </w:p>
    <w:p w14:paraId="18A5510D" w14:textId="03840D8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 увеличением к утвержденны</w:t>
      </w:r>
      <w:r w:rsidR="00FD19C0" w:rsidRPr="00522104">
        <w:rPr>
          <w:rFonts w:ascii="Times New Roman" w:eastAsia="Times New Roman" w:hAnsi="Times New Roman" w:cs="Times New Roman"/>
          <w:sz w:val="28"/>
          <w:szCs w:val="28"/>
          <w:lang w:eastAsia="ru-RU"/>
        </w:rPr>
        <w:t>м</w:t>
      </w:r>
      <w:r w:rsidRPr="00522104">
        <w:rPr>
          <w:rFonts w:ascii="Times New Roman" w:eastAsia="Times New Roman" w:hAnsi="Times New Roman" w:cs="Times New Roman"/>
          <w:sz w:val="28"/>
          <w:szCs w:val="28"/>
          <w:lang w:eastAsia="ru-RU"/>
        </w:rPr>
        <w:t xml:space="preserve"> </w:t>
      </w:r>
      <w:r w:rsidRPr="00522104">
        <w:rPr>
          <w:rFonts w:ascii="Times New Roman" w:hAnsi="Times New Roman" w:cs="Times New Roman"/>
          <w:sz w:val="28"/>
          <w:szCs w:val="28"/>
        </w:rPr>
        <w:t>назначениям</w:t>
      </w:r>
      <w:r w:rsidRPr="00522104">
        <w:rPr>
          <w:rFonts w:ascii="Times New Roman" w:eastAsia="Times New Roman" w:hAnsi="Times New Roman" w:cs="Times New Roman"/>
          <w:sz w:val="28"/>
          <w:szCs w:val="28"/>
          <w:lang w:eastAsia="ru-RU"/>
        </w:rPr>
        <w:t xml:space="preserve"> по расходам на:</w:t>
      </w:r>
    </w:p>
    <w:p w14:paraId="19232CE7" w14:textId="7C07B155"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обеспечение деятельности (оказание услуг, выполнение работ) краевых государственных учреждений – на 86,42 млн рублей (законопроектом планируется – 1245,03 млн рублей, утверждено – 1158,61 млн рублей). В плановом периоде на 2023-2024 годы по подведомственному учреждению предусматривается повышение расходов</w:t>
      </w:r>
      <w:r w:rsidR="00FD19C0" w:rsidRPr="00522104">
        <w:rPr>
          <w:rFonts w:ascii="Times New Roman" w:hAnsi="Times New Roman" w:cs="Times New Roman"/>
          <w:sz w:val="28"/>
          <w:szCs w:val="28"/>
        </w:rPr>
        <w:t>,</w:t>
      </w:r>
      <w:r w:rsidRPr="00522104">
        <w:rPr>
          <w:rFonts w:ascii="Times New Roman" w:hAnsi="Times New Roman" w:cs="Times New Roman"/>
          <w:sz w:val="28"/>
          <w:szCs w:val="28"/>
        </w:rPr>
        <w:t xml:space="preserve"> в том числе с учетом индексации заработной платы (1246,65 млн рублей и 1292,11 млн рублей соответственно);</w:t>
      </w:r>
    </w:p>
    <w:p w14:paraId="757E50D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модернизацию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 – на 21,40 млн рублей (планируется – 127,41 млн рублей, утверждено – 106,01 млн рублей). В плановом периоде на 2023-2024 годы по указанному мероприятию отмечается снижение объемов по расходам до 31,51 млн рублей;</w:t>
      </w:r>
    </w:p>
    <w:p w14:paraId="09F0276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оказание услуг по охране объектов пожарной охраны на 0,15 млн рублей (планируются расходы в сумме 1,75 млн рублей, утверждено – 1,60 млн рублей). На плановый период 2023-2024 годов прогнозируются объемы как в 2021 году. </w:t>
      </w:r>
    </w:p>
    <w:p w14:paraId="5D24E925" w14:textId="4E2B110A"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2022 год планируются расходы в сумме 123,74 млн рублей, что больше на 117,81 млн рублей</w:t>
      </w:r>
      <w:r w:rsidR="00FD19C0" w:rsidRPr="00522104">
        <w:rPr>
          <w:rFonts w:ascii="Times New Roman" w:hAnsi="Times New Roman" w:cs="Times New Roman"/>
          <w:sz w:val="28"/>
          <w:szCs w:val="28"/>
        </w:rPr>
        <w:t>,</w:t>
      </w:r>
      <w:r w:rsidRPr="00522104">
        <w:rPr>
          <w:rFonts w:ascii="Times New Roman" w:hAnsi="Times New Roman" w:cs="Times New Roman"/>
          <w:sz w:val="28"/>
          <w:szCs w:val="28"/>
        </w:rPr>
        <w:t xml:space="preserve"> чем в 2021 году (5,93 млн рублей), на 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 в свою очередь Законом № 969-КЗ на тот же год данные расходы не планировались. Законопроектом на плановый период 2023-2024 годов предусмотрено 342,13 млн рублей и 212,54 млн рублей соответственно. </w:t>
      </w:r>
    </w:p>
    <w:p w14:paraId="6C110FE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Контрольно-счетная палата отмечает, что планирование расходов, связанных со строительством пожарных депо в рамках одного кода бюджетной классификации (77503100720243630000), не позволяет отразить расходы в законе о краевом бюджете по конкретному объекту и не предполагает прозрачности расходов, осуществляемых при исполнении мероприятий по данному направлению.</w:t>
      </w:r>
    </w:p>
    <w:p w14:paraId="659BD42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Согласно представленной министерством строительства Приморского края информации расшифрованы по объектам вышеуказанные расходы только на 2022 год (расходы планового периода 2023-2024 годов не конкретизированы) и указаны следующие мероприятия:</w:t>
      </w:r>
    </w:p>
    <w:p w14:paraId="2625CD48" w14:textId="29191350"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1</w:t>
      </w:r>
      <w:r w:rsidR="00FD19C0" w:rsidRPr="00522104">
        <w:rPr>
          <w:rFonts w:ascii="Times New Roman" w:hAnsi="Times New Roman" w:cs="Times New Roman"/>
          <w:sz w:val="28"/>
          <w:szCs w:val="28"/>
        </w:rPr>
        <w:t>)</w:t>
      </w:r>
      <w:r w:rsidRPr="00522104">
        <w:rPr>
          <w:rFonts w:ascii="Times New Roman" w:hAnsi="Times New Roman" w:cs="Times New Roman"/>
          <w:sz w:val="28"/>
          <w:szCs w:val="28"/>
        </w:rPr>
        <w:t xml:space="preserve"> строительство объекта пожарной охраны на два выезда в с. Береговое Владивостокского городского округа Приморского края, в том числе проектно-изыскательские работы в сумме 56,87 млн рублей (согласно решению Ленинского районного суда г. Владивостока № 2-59/2014 департамент гражданской защиты Приморского края (правопреемником которого в настоящее время является министерство по делам гражданской обороны, защиты от чрезвычайных ситуаций и ликвидации последствий стихийных бедствий Приморского края) обязан принять меры по созданию подразделения пожарной охраны на территории поселения с. Береговое, п-в Песчаный, г. Владивосток);  </w:t>
      </w:r>
    </w:p>
    <w:p w14:paraId="13410E16" w14:textId="180094F9"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2</w:t>
      </w:r>
      <w:r w:rsidR="00334FD2" w:rsidRPr="00522104">
        <w:rPr>
          <w:rFonts w:ascii="Times New Roman" w:hAnsi="Times New Roman" w:cs="Times New Roman"/>
          <w:sz w:val="28"/>
          <w:szCs w:val="28"/>
        </w:rPr>
        <w:t>)</w:t>
      </w:r>
      <w:r w:rsidRPr="00522104">
        <w:rPr>
          <w:rFonts w:ascii="Times New Roman" w:hAnsi="Times New Roman" w:cs="Times New Roman"/>
          <w:sz w:val="28"/>
          <w:szCs w:val="28"/>
        </w:rPr>
        <w:t> строительство объекта пожарной охраны на два выезда в с. Голубинное Красноармейского муниципального района, в том числе проектно-изыскательские работы, в сумме 56,87 млн рублей (необходимо строительство в связи с вводом новой школы на указанной территории);</w:t>
      </w:r>
    </w:p>
    <w:p w14:paraId="41C62E0B" w14:textId="1A692ECB"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3</w:t>
      </w:r>
      <w:r w:rsidR="00334FD2" w:rsidRPr="00522104">
        <w:rPr>
          <w:rFonts w:ascii="Times New Roman" w:hAnsi="Times New Roman" w:cs="Times New Roman"/>
          <w:sz w:val="28"/>
          <w:szCs w:val="28"/>
        </w:rPr>
        <w:t>)</w:t>
      </w:r>
      <w:r w:rsidRPr="00522104">
        <w:rPr>
          <w:rFonts w:ascii="Times New Roman" w:hAnsi="Times New Roman" w:cs="Times New Roman"/>
          <w:sz w:val="28"/>
          <w:szCs w:val="28"/>
        </w:rPr>
        <w:t> завершение строительства пожарного депо в с. Новопокровка Приморского края, в том числе проектно-изыскательские работы, в сумме 10,00 млн рублей.</w:t>
      </w:r>
    </w:p>
    <w:p w14:paraId="6AE143D8" w14:textId="014EF435"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Вместе с тем</w:t>
      </w:r>
      <w:r w:rsidR="00334FD2" w:rsidRPr="00522104">
        <w:rPr>
          <w:rFonts w:ascii="Times New Roman" w:hAnsi="Times New Roman" w:cs="Times New Roman"/>
          <w:sz w:val="28"/>
          <w:szCs w:val="28"/>
        </w:rPr>
        <w:t>,</w:t>
      </w:r>
      <w:r w:rsidRPr="00522104">
        <w:rPr>
          <w:rFonts w:ascii="Times New Roman" w:hAnsi="Times New Roman" w:cs="Times New Roman"/>
          <w:sz w:val="28"/>
          <w:szCs w:val="28"/>
        </w:rPr>
        <w:t xml:space="preserve"> обращаем внимание, что на момент подготовки заключения на уровне субъекта Российской Федерации не утверждены нормативные документы, устанавливающие проведение ценового и технологического аудита обоснования инвестиций, объемы финансовых средств (инвестиции) и сроки строительства/введения в эксплуатацию в отношении объектов пожарной охраны на два выезда в с. Береговое и с.</w:t>
      </w:r>
      <w:r w:rsidR="00334FD2" w:rsidRPr="00522104">
        <w:rPr>
          <w:rFonts w:ascii="Times New Roman" w:hAnsi="Times New Roman" w:cs="Times New Roman"/>
          <w:sz w:val="28"/>
          <w:szCs w:val="28"/>
        </w:rPr>
        <w:t> </w:t>
      </w:r>
      <w:r w:rsidRPr="00522104">
        <w:rPr>
          <w:rFonts w:ascii="Times New Roman" w:hAnsi="Times New Roman" w:cs="Times New Roman"/>
          <w:sz w:val="28"/>
          <w:szCs w:val="28"/>
        </w:rPr>
        <w:t xml:space="preserve">Глубинное. </w:t>
      </w:r>
    </w:p>
    <w:p w14:paraId="5EF4AC3B" w14:textId="32FACEAD"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Также указанные документы отсутствуют в Перечне законов и иных нормативных правовых актов Приморского края, подлежащих признанию утратившим силу, приостановлению, изменению или принятию в связи с принятием проекта закона Приморского края "О краевом бюджете на 2022 год и плановый период 2023 и 2024 годов".</w:t>
      </w:r>
    </w:p>
    <w:p w14:paraId="6B80298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Кроме того, следует отметить, что в ходе экспертно-аналитического мероприятия "Анализ реализации полномочий органов исполнительной власти Приморского края по обеспечению пожарной безопасности населенных пунктов, расположенных на территории Приморского края, в части принятия мер по строительству объектов пожарной охраны, в том числе проектно-изыскательские работы", проведенного Контрольно-счетной палатой в июле-сентябре текущего года, установлена критическая ситуация с реализацией полномочий Приморского края по обеспечению территорий края необходимым количеством пожарных депо. </w:t>
      </w:r>
    </w:p>
    <w:p w14:paraId="2EC5EE92"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Так, за счет средств, предусмотренных в краевом бюджете на 2013-2021 годы, не построено и не введено в эксплуатацию ни одного пожарного депо. При в этом в 2013-2021 годах осуществлены расходы по 7 объектам пожарной охраны (п. Анучино, с. Малиново, п. Новый, с. Новогеоргиевка, с. Новопокровка, с. Барабаш, пгт Смоляниново). Кроме того, планировались (с дальнейшим исключением плановых назначений) объемы по с. Новонежино, с. Жариково, с. Береговое, с. Яблоновка, с. Глубинное, с. Новокачалинск.</w:t>
      </w:r>
    </w:p>
    <w:p w14:paraId="7A5E184C"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В связи с решением, принятым в 2020-2021 годах на уровне Приморского края, о применении механизма строительства пожарных депо "под ключ" проведён ценовой и технологический аудит по результатам подготовленных обоснований инвестиций. </w:t>
      </w:r>
    </w:p>
    <w:p w14:paraId="06D723D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2020 году заключено четыре государственных контракта на разработку обоснований инвестиций для объектов строительства объекта пожарной охраны (пгт Смоляниново, п. Новый, с. Малиново, п. Анучино). На момент составления Заключения результаты проведенного технологического и ценового аудита по указанным объектам, позволяющие осуществить строительство</w:t>
      </w:r>
      <w:r w:rsidRPr="00522104">
        <w:rPr>
          <w:rFonts w:ascii="Times New Roman" w:hAnsi="Times New Roman" w:cs="Times New Roman"/>
          <w:sz w:val="28"/>
          <w:szCs w:val="28"/>
          <w:vertAlign w:val="superscript"/>
        </w:rPr>
        <w:footnoteReference w:id="36"/>
      </w:r>
      <w:r w:rsidRPr="00522104">
        <w:rPr>
          <w:rFonts w:ascii="Times New Roman" w:hAnsi="Times New Roman" w:cs="Times New Roman"/>
          <w:sz w:val="28"/>
          <w:szCs w:val="28"/>
        </w:rPr>
        <w:t xml:space="preserve"> объектов пожарной охраны, не реализованы в 2021 году, а также не запланированы по расходам на 2022 год.</w:t>
      </w:r>
    </w:p>
    <w:p w14:paraId="06865E8D" w14:textId="43044D4D"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Согласно информации министерства строительства Приморского края</w:t>
      </w:r>
      <w:r w:rsidR="00334FD2" w:rsidRPr="00522104">
        <w:rPr>
          <w:rFonts w:ascii="Times New Roman" w:hAnsi="Times New Roman" w:cs="Times New Roman"/>
          <w:sz w:val="28"/>
          <w:szCs w:val="28"/>
        </w:rPr>
        <w:t>,</w:t>
      </w:r>
      <w:r w:rsidRPr="00522104">
        <w:rPr>
          <w:rFonts w:ascii="Times New Roman" w:hAnsi="Times New Roman" w:cs="Times New Roman"/>
          <w:sz w:val="28"/>
          <w:szCs w:val="28"/>
        </w:rPr>
        <w:t xml:space="preserve"> указано, что из 8 объектов пожарной охраны, определенных (предложения в Адресную инвестиционную программу на 2022-2024 годы) к строительству, министерством экономического развития Приморского края согласовано только 3 объекта (министерством не предоставлены причины невключения иных объектов в названную программу). Вместе с тем, Контрольно-счетная палата полагает, что сложившаяся ситуация стала возможной в связи с некачественной подготовкой министерством строительства Приморского края требуемой документации и обоснований по объектам пожарной охраны, по которым министерство получило отказ.</w:t>
      </w:r>
    </w:p>
    <w:p w14:paraId="6BE5F53A" w14:textId="5AD79CE9"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i/>
          <w:sz w:val="28"/>
          <w:szCs w:val="28"/>
        </w:rPr>
        <w:t>Справочно: в Перечне законов и иных нормативных правовых актов Приморского края, подлежащих признанию утратившим силу, приостановлению, изменению или принятию в связи с принятием проекта закона Приморского края "О краевом бюджете на 2022 год и плановый период 2023 и 2024 годов" не приведена ссылка на необходимость принятия постановления Правительства Приморского края "Об утверждении адресной инвестиционной программы Приморского края на 2022 год и плановый период 2023 и 2024 годов".</w:t>
      </w:r>
    </w:p>
    <w:p w14:paraId="6FFDA023" w14:textId="7D07844C"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Также считаем необходимым отметить, что согласно оценке ГП и ее подпрограмм, отраженной в результатах мониторинга реализации документов стратегического планирования Приморского края за 2020 год (в разделе "Мониторинг реализации государственных программ Приморского края за 2020 год")</w:t>
      </w:r>
      <w:r w:rsidRPr="00522104">
        <w:rPr>
          <w:rFonts w:ascii="Times New Roman" w:hAnsi="Times New Roman" w:cs="Times New Roman"/>
          <w:sz w:val="28"/>
          <w:szCs w:val="28"/>
          <w:vertAlign w:val="superscript"/>
        </w:rPr>
        <w:footnoteReference w:id="37"/>
      </w:r>
      <w:r w:rsidRPr="00522104">
        <w:rPr>
          <w:rFonts w:ascii="Times New Roman" w:hAnsi="Times New Roman" w:cs="Times New Roman"/>
          <w:sz w:val="28"/>
          <w:szCs w:val="28"/>
        </w:rPr>
        <w:t xml:space="preserve"> эффективность реализации государственной программы составляет 76,0 % (удовлетворительная), эффективность подпрограммы "Пожарная безопасность" составила 51,0 % (неудовлетворительная), поскольку из 15 мероприятий не выполнено 7. К невыполненным мероприятиям относятся мероприятия, связанные со строительством объектов пожарной охраны.</w:t>
      </w:r>
    </w:p>
    <w:p w14:paraId="6FF55879" w14:textId="760EFA43"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"Предупреждение чрезвычайных ситуаций природного и техногенного характера в Приморском крае"</w:t>
      </w:r>
      <w:r w:rsidRPr="00522104">
        <w:rPr>
          <w:rFonts w:ascii="Times New Roman" w:eastAsia="Times New Roman" w:hAnsi="Times New Roman" w:cs="Times New Roman"/>
          <w:i/>
          <w:sz w:val="28"/>
          <w:szCs w:val="28"/>
          <w:lang w:eastAsia="ru-RU"/>
        </w:rPr>
        <w:t xml:space="preserve"> </w:t>
      </w:r>
      <w:r w:rsidRPr="00522104">
        <w:rPr>
          <w:rFonts w:ascii="Times New Roman" w:eastAsia="Times New Roman" w:hAnsi="Times New Roman" w:cs="Times New Roman"/>
          <w:sz w:val="28"/>
          <w:szCs w:val="28"/>
          <w:lang w:eastAsia="ru-RU"/>
        </w:rPr>
        <w:t>законопроектом на 2022 год предусмотрены бюджетные ассигнования в размере 12,32</w:t>
      </w:r>
      <w:r w:rsidRPr="00522104">
        <w:t xml:space="preserve"> </w:t>
      </w:r>
      <w:r w:rsidRPr="00522104">
        <w:rPr>
          <w:rFonts w:ascii="Times New Roman" w:eastAsia="Times New Roman" w:hAnsi="Times New Roman" w:cs="Times New Roman"/>
          <w:sz w:val="28"/>
          <w:szCs w:val="28"/>
          <w:lang w:eastAsia="ru-RU"/>
        </w:rPr>
        <w:t>млн рублей, что на 9,93</w:t>
      </w:r>
      <w:r w:rsidRPr="00522104">
        <w:t xml:space="preserve"> </w:t>
      </w:r>
      <w:r w:rsidRPr="00522104">
        <w:rPr>
          <w:rFonts w:ascii="Times New Roman" w:eastAsia="Times New Roman" w:hAnsi="Times New Roman" w:cs="Times New Roman"/>
          <w:sz w:val="28"/>
          <w:szCs w:val="28"/>
          <w:lang w:eastAsia="ru-RU"/>
        </w:rPr>
        <w:t>млн рублей, или более чем в 5 раз</w:t>
      </w:r>
      <w:r w:rsidR="009A3B8D"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выше утвержденных назначений (2,39 млн рублей), и на 5,89</w:t>
      </w:r>
      <w:r w:rsidRPr="00522104">
        <w:t xml:space="preserve"> </w:t>
      </w:r>
      <w:r w:rsidRPr="00522104">
        <w:rPr>
          <w:rFonts w:ascii="Times New Roman" w:eastAsia="Times New Roman" w:hAnsi="Times New Roman" w:cs="Times New Roman"/>
          <w:sz w:val="28"/>
          <w:szCs w:val="28"/>
          <w:lang w:eastAsia="ru-RU"/>
        </w:rPr>
        <w:t>млн рублей, или на 32,3 %</w:t>
      </w:r>
      <w:r w:rsidR="009A3B8D"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меньше уровня текущего финансового года (18,21 млн рублей).</w:t>
      </w:r>
    </w:p>
    <w:p w14:paraId="324FFA3E"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Расходы по мероприятиям ГП запланированы на 2022 год на уровне утвержденных назначений на</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создание и сопровождение системы дистанционного обучения на базе Учебно-методического центра по гражданской обороне, чрезвычайным ситуациям и пожарной безопасности Приморского края</w:t>
      </w:r>
      <w:r w:rsidRPr="00522104">
        <w:rPr>
          <w:rFonts w:ascii="Times New Roman" w:eastAsia="Times New Roman" w:hAnsi="Times New Roman" w:cs="Times New Roman"/>
          <w:sz w:val="28"/>
          <w:szCs w:val="28"/>
          <w:vertAlign w:val="superscript"/>
          <w:lang w:eastAsia="ru-RU"/>
        </w:rPr>
        <w:footnoteReference w:id="38"/>
      </w:r>
      <w:r w:rsidRPr="00522104">
        <w:rPr>
          <w:rFonts w:ascii="Times New Roman" w:eastAsia="Times New Roman" w:hAnsi="Times New Roman" w:cs="Times New Roman"/>
          <w:sz w:val="28"/>
          <w:szCs w:val="28"/>
          <w:lang w:eastAsia="ru-RU"/>
        </w:rPr>
        <w:t xml:space="preserve"> в размере 2,39 млн рублей.</w:t>
      </w:r>
    </w:p>
    <w:p w14:paraId="413FDFBC"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Законопроектом на 2022 год министерству сельского хозяйства Приморского края предусмотрены расходы на </w:t>
      </w:r>
      <w:r w:rsidRPr="00522104">
        <w:rPr>
          <w:rFonts w:ascii="Times New Roman" w:hAnsi="Times New Roman" w:cs="Times New Roman"/>
          <w:sz w:val="28"/>
          <w:szCs w:val="28"/>
        </w:rPr>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r w:rsidRPr="00522104">
        <w:rPr>
          <w:rFonts w:ascii="Times New Roman" w:hAnsi="Times New Roman" w:cs="Times New Roman"/>
          <w:sz w:val="28"/>
          <w:szCs w:val="28"/>
          <w:vertAlign w:val="superscript"/>
        </w:rPr>
        <w:footnoteReference w:id="39"/>
      </w:r>
      <w:r w:rsidRPr="00522104">
        <w:rPr>
          <w:rFonts w:ascii="Times New Roman" w:hAnsi="Times New Roman" w:cs="Times New Roman"/>
          <w:sz w:val="28"/>
          <w:szCs w:val="28"/>
        </w:rPr>
        <w:t xml:space="preserve"> в объеме 9,94 млн рублей</w:t>
      </w:r>
      <w:r w:rsidRPr="00522104">
        <w:rPr>
          <w:rFonts w:ascii="Times New Roman" w:hAnsi="Times New Roman" w:cs="Times New Roman"/>
          <w:sz w:val="28"/>
          <w:szCs w:val="28"/>
          <w:vertAlign w:val="superscript"/>
        </w:rPr>
        <w:footnoteReference w:id="40"/>
      </w:r>
      <w:r w:rsidRPr="00522104">
        <w:rPr>
          <w:rFonts w:ascii="Times New Roman" w:hAnsi="Times New Roman" w:cs="Times New Roman"/>
          <w:sz w:val="28"/>
          <w:szCs w:val="28"/>
        </w:rPr>
        <w:t>, которые не планировались Законом № 969-КЗ на</w:t>
      </w:r>
      <w:r w:rsidRPr="00522104">
        <w:rPr>
          <w:rFonts w:ascii="Times New Roman" w:eastAsia="Times New Roman" w:hAnsi="Times New Roman" w:cs="Times New Roman"/>
          <w:sz w:val="28"/>
          <w:szCs w:val="28"/>
          <w:lang w:eastAsia="ru-RU"/>
        </w:rPr>
        <w:t xml:space="preserve"> тот же год. </w:t>
      </w:r>
      <w:r w:rsidRPr="00522104">
        <w:rPr>
          <w:rFonts w:ascii="Times New Roman" w:hAnsi="Times New Roman" w:cs="Times New Roman"/>
          <w:sz w:val="28"/>
          <w:szCs w:val="28"/>
        </w:rPr>
        <w:t>Законопроектом</w:t>
      </w:r>
      <w:r w:rsidRPr="00522104">
        <w:rPr>
          <w:rFonts w:ascii="Times New Roman" w:eastAsia="Times New Roman" w:hAnsi="Times New Roman" w:cs="Times New Roman"/>
          <w:sz w:val="28"/>
          <w:szCs w:val="28"/>
          <w:lang w:eastAsia="ru-RU"/>
        </w:rPr>
        <w:t xml:space="preserve"> н</w:t>
      </w:r>
      <w:r w:rsidRPr="00522104">
        <w:rPr>
          <w:rFonts w:ascii="Times New Roman" w:hAnsi="Times New Roman" w:cs="Times New Roman"/>
          <w:sz w:val="28"/>
          <w:szCs w:val="28"/>
        </w:rPr>
        <w:t>е запланированы расходы на плановый период 2023-2024 годов.</w:t>
      </w:r>
    </w:p>
    <w:p w14:paraId="4A770683" w14:textId="226AC82D" w:rsidR="00827437" w:rsidRPr="00522104" w:rsidRDefault="00827437" w:rsidP="00827437">
      <w:pPr>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hAnsi="Times New Roman" w:cs="Times New Roman"/>
          <w:i/>
          <w:sz w:val="28"/>
          <w:szCs w:val="28"/>
        </w:rPr>
        <w:t xml:space="preserve">Справочно: </w:t>
      </w:r>
      <w:r w:rsidR="009A3B8D" w:rsidRPr="00522104">
        <w:rPr>
          <w:rFonts w:ascii="Times New Roman" w:hAnsi="Times New Roman" w:cs="Times New Roman"/>
          <w:i/>
          <w:sz w:val="28"/>
          <w:szCs w:val="28"/>
        </w:rPr>
        <w:t>в</w:t>
      </w:r>
      <w:r w:rsidRPr="00522104">
        <w:rPr>
          <w:rFonts w:ascii="Times New Roman" w:hAnsi="Times New Roman" w:cs="Times New Roman"/>
          <w:i/>
          <w:sz w:val="28"/>
          <w:szCs w:val="28"/>
        </w:rPr>
        <w:t xml:space="preserve"> текущем финансовом году на мероприятие предусмотрено 11,50 млн рублей. Согласно отчетной форме 0503160 "Пояснительная записка", входящей в состав бюджетной отчетности министерства сельского хозяйства Приморского края и составленной за 9 месяцев 2021 года, указано, что заключены соглашения о предоставлении субсидий из краевого бюджета бюджету Спасского муниципального района и Хорольского муниципального округа. Освоение составило 3,54 млн рублей, или 30,8 %. В 2020 году аналогичные расходы произведены в объеме 4,23 млн рублей.</w:t>
      </w:r>
    </w:p>
    <w:p w14:paraId="5341B9EA" w14:textId="2941991C"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Следует обратить внимание, что на 2021 год Законом № 969-КЗ</w:t>
      </w:r>
      <w:r w:rsidRPr="00522104">
        <w:rPr>
          <w:rFonts w:ascii="Times New Roman" w:hAnsi="Times New Roman" w:cs="Times New Roman"/>
          <w:b/>
          <w:i/>
          <w:sz w:val="28"/>
          <w:szCs w:val="28"/>
        </w:rPr>
        <w:t xml:space="preserve"> </w:t>
      </w:r>
      <w:r w:rsidRPr="00522104">
        <w:rPr>
          <w:rFonts w:ascii="Times New Roman" w:hAnsi="Times New Roman" w:cs="Times New Roman"/>
          <w:sz w:val="28"/>
          <w:szCs w:val="28"/>
        </w:rPr>
        <w:t xml:space="preserve">предусмотрены расходы по консервации сибиреязвенных захоронений (в том числе проектно-изыскательские </w:t>
      </w:r>
      <w:r w:rsidR="009A3B8D" w:rsidRPr="00522104">
        <w:rPr>
          <w:rFonts w:ascii="Times New Roman" w:hAnsi="Times New Roman" w:cs="Times New Roman"/>
          <w:sz w:val="28"/>
          <w:szCs w:val="28"/>
        </w:rPr>
        <w:t>работы</w:t>
      </w:r>
      <w:r w:rsidRPr="00522104">
        <w:rPr>
          <w:rFonts w:ascii="Times New Roman" w:hAnsi="Times New Roman" w:cs="Times New Roman"/>
          <w:sz w:val="28"/>
          <w:szCs w:val="28"/>
        </w:rPr>
        <w:t xml:space="preserve">) в с. Астраханка Ханкайского муниципального района (1,73 млн рублей) и в с. Покровка Октябрьского муниципального района (2,59 млн рублей). Согласно отчетной форме 0503160 "Пояснительная записка", входящей в состав бюджетной отчетности министерства строительства Приморского края и составленной за 9 месяцев 2021 года указано, что исполнение 0,0 %, по причине того, что заключение контрактов по данным объектам запланировано в 4 квартале 2021 года. На момент подготовки заключения информация о заключении указанных контрактов отсутствует. Законопроектом на 2022 год и плановый период указанные расходы не планируются. </w:t>
      </w:r>
    </w:p>
    <w:p w14:paraId="1B86162F"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noProof/>
          <w:lang w:eastAsia="ru-RU"/>
        </w:rPr>
        <w:drawing>
          <wp:anchor distT="0" distB="0" distL="114300" distR="114300" simplePos="0" relativeHeight="251716608" behindDoc="1" locked="0" layoutInCell="1" allowOverlap="1" wp14:anchorId="51A2161E" wp14:editId="523751A4">
            <wp:simplePos x="0" y="0"/>
            <wp:positionH relativeFrom="column">
              <wp:posOffset>67310</wp:posOffset>
            </wp:positionH>
            <wp:positionV relativeFrom="paragraph">
              <wp:posOffset>203835</wp:posOffset>
            </wp:positionV>
            <wp:extent cx="1789430" cy="933450"/>
            <wp:effectExtent l="0" t="0" r="0" b="0"/>
            <wp:wrapTight wrapText="bothSides">
              <wp:wrapPolygon edited="0">
                <wp:start x="0" y="0"/>
                <wp:lineTo x="0" y="21159"/>
                <wp:lineTo x="21385" y="21159"/>
                <wp:lineTo x="21385" y="0"/>
                <wp:lineTo x="0" y="0"/>
              </wp:wrapPolygon>
            </wp:wrapTight>
            <wp:docPr id="28" name="Рисунок 28" descr="C:\Users\zavzyataya_sv\Desktop\Картинки\11cb1b69c71472df65e3a6d3f216b04e.png"/>
            <wp:cNvGraphicFramePr/>
            <a:graphic xmlns:a="http://schemas.openxmlformats.org/drawingml/2006/main">
              <a:graphicData uri="http://schemas.openxmlformats.org/drawingml/2006/picture">
                <pic:pic xmlns:pic="http://schemas.openxmlformats.org/drawingml/2006/picture">
                  <pic:nvPicPr>
                    <pic:cNvPr id="28" name="Рисунок 28" descr="C:\Users\zavzyataya_sv\Desktop\Картинки\11cb1b69c71472df65e3a6d3f216b04e.png"/>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89430"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0DCA31"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Государственная программа "Развитие физической культуры и спорта Приморского края"</w:t>
      </w:r>
    </w:p>
    <w:p w14:paraId="6612675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Законопроектом бюджетные ассигнования на реализацию ГП на 2022 год предусмотрены в объеме 3348,02 млн рублей, из них за счет средств федерального бюджета – 938,50 млн рублей, краевого бюджета – 2409,52 млн рублей, в том числе по: </w:t>
      </w:r>
    </w:p>
    <w:p w14:paraId="6B13F8AE" w14:textId="77777777" w:rsidR="00827437" w:rsidRPr="00522104" w:rsidRDefault="00827437" w:rsidP="00827437">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министерству физической культуры и спорта Приморского края – 2368,07 млн рублей;</w:t>
      </w:r>
    </w:p>
    <w:p w14:paraId="78382E42" w14:textId="77777777" w:rsidR="00827437" w:rsidRPr="00522104" w:rsidRDefault="00827437" w:rsidP="00827437">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министерству строительства Приморского края – 979,95 млн рублей.</w:t>
      </w:r>
    </w:p>
    <w:p w14:paraId="1E538E58"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На плановый период 2023-2024 годов предусмотрено соответственно 2236,97 млн рублей и 2128,74 млн рублей.</w:t>
      </w:r>
    </w:p>
    <w:p w14:paraId="06887CE5"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на 2022 год в рамках исполнения мероприятий ГП предусмотрена реализация НП "Демография" через ФП "</w:t>
      </w:r>
      <w:r w:rsidRPr="00522104">
        <w:rPr>
          <w:rFonts w:ascii="Times New Roman" w:hAnsi="Times New Roman" w:cs="Times New Roman"/>
          <w:sz w:val="28"/>
          <w:szCs w:val="28"/>
        </w:rPr>
        <w:t>Спорт – норма жизни"</w:t>
      </w:r>
      <w:r w:rsidRPr="00522104">
        <w:rPr>
          <w:rFonts w:ascii="Times New Roman" w:eastAsia="Times New Roman" w:hAnsi="Times New Roman" w:cs="Times New Roman"/>
          <w:sz w:val="28"/>
          <w:szCs w:val="28"/>
          <w:lang w:eastAsia="ru-RU"/>
        </w:rPr>
        <w:t xml:space="preserve"> в сумме 1658,15 млн рублей, или 49,53 % в расходах ГП.</w:t>
      </w:r>
    </w:p>
    <w:p w14:paraId="3D2C1623"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Распределение бюджетных ассигнований на финансовое обеспечение ГП в разрезе подпрограмм с указанием федеральных проектов на 2022 год к уровню утвержденных расходов 2021 и 2022 годов приведено в таблице.</w:t>
      </w:r>
    </w:p>
    <w:p w14:paraId="5F5A185A" w14:textId="77777777" w:rsidR="00827437" w:rsidRPr="00522104" w:rsidRDefault="00827437" w:rsidP="00827437">
      <w:pPr>
        <w:spacing w:after="0" w:line="240" w:lineRule="auto"/>
        <w:jc w:val="right"/>
        <w:rPr>
          <w:rFonts w:ascii="Times New Roman" w:eastAsia="Times New Roman" w:hAnsi="Times New Roman" w:cs="Times New Roman"/>
          <w:sz w:val="20"/>
          <w:szCs w:val="20"/>
          <w:lang w:eastAsia="ru-RU"/>
        </w:rPr>
      </w:pPr>
    </w:p>
    <w:tbl>
      <w:tblPr>
        <w:tblW w:w="10392" w:type="dxa"/>
        <w:tblInd w:w="-851" w:type="dxa"/>
        <w:tblLayout w:type="fixed"/>
        <w:tblLook w:val="04A0" w:firstRow="1" w:lastRow="0" w:firstColumn="1" w:lastColumn="0" w:noHBand="0" w:noVBand="1"/>
      </w:tblPr>
      <w:tblGrid>
        <w:gridCol w:w="1702"/>
        <w:gridCol w:w="958"/>
        <w:gridCol w:w="866"/>
        <w:gridCol w:w="933"/>
        <w:gridCol w:w="933"/>
        <w:gridCol w:w="883"/>
        <w:gridCol w:w="866"/>
        <w:gridCol w:w="844"/>
        <w:gridCol w:w="786"/>
        <w:gridCol w:w="835"/>
        <w:gridCol w:w="786"/>
      </w:tblGrid>
      <w:tr w:rsidR="00827437" w:rsidRPr="00522104" w14:paraId="786D6438" w14:textId="77777777" w:rsidTr="00E40BEE">
        <w:trPr>
          <w:trHeight w:val="321"/>
          <w:tblHeader/>
        </w:trPr>
        <w:tc>
          <w:tcPr>
            <w:tcW w:w="1702" w:type="dxa"/>
            <w:tcBorders>
              <w:bottom w:val="single" w:sz="4" w:space="0" w:color="auto"/>
            </w:tcBorders>
            <w:shd w:val="clear" w:color="auto" w:fill="auto"/>
          </w:tcPr>
          <w:p w14:paraId="1E651428" w14:textId="77777777" w:rsidR="00827437" w:rsidRPr="00522104" w:rsidRDefault="00827437" w:rsidP="00E40BEE">
            <w:pPr>
              <w:spacing w:after="0" w:line="240" w:lineRule="auto"/>
              <w:jc w:val="center"/>
              <w:rPr>
                <w:rFonts w:ascii="Times New Roman" w:eastAsia="Times New Roman" w:hAnsi="Times New Roman" w:cs="Times New Roman"/>
                <w:b/>
                <w:bCs/>
                <w:color w:val="000000"/>
                <w:sz w:val="20"/>
                <w:szCs w:val="20"/>
                <w:lang w:eastAsia="ru-RU"/>
              </w:rPr>
            </w:pPr>
          </w:p>
        </w:tc>
        <w:tc>
          <w:tcPr>
            <w:tcW w:w="2757" w:type="dxa"/>
            <w:gridSpan w:val="3"/>
            <w:tcBorders>
              <w:bottom w:val="single" w:sz="4" w:space="0" w:color="auto"/>
            </w:tcBorders>
            <w:shd w:val="clear" w:color="auto" w:fill="auto"/>
            <w:vAlign w:val="center"/>
          </w:tcPr>
          <w:p w14:paraId="26C305BE" w14:textId="77777777" w:rsidR="00827437" w:rsidRPr="00522104" w:rsidRDefault="00827437" w:rsidP="00E40BEE">
            <w:pPr>
              <w:spacing w:after="0" w:line="240" w:lineRule="auto"/>
              <w:jc w:val="center"/>
              <w:rPr>
                <w:rFonts w:ascii="Times New Roman" w:eastAsia="Times New Roman" w:hAnsi="Times New Roman" w:cs="Times New Roman"/>
                <w:b/>
                <w:bCs/>
                <w:color w:val="000000"/>
                <w:sz w:val="20"/>
                <w:szCs w:val="20"/>
                <w:lang w:eastAsia="ru-RU"/>
              </w:rPr>
            </w:pPr>
          </w:p>
        </w:tc>
        <w:tc>
          <w:tcPr>
            <w:tcW w:w="2682" w:type="dxa"/>
            <w:gridSpan w:val="3"/>
            <w:tcBorders>
              <w:bottom w:val="single" w:sz="4" w:space="0" w:color="auto"/>
            </w:tcBorders>
            <w:shd w:val="clear" w:color="auto" w:fill="auto"/>
            <w:vAlign w:val="center"/>
          </w:tcPr>
          <w:p w14:paraId="22C0213E" w14:textId="77777777" w:rsidR="00827437" w:rsidRPr="00522104" w:rsidRDefault="00827437" w:rsidP="00E40BEE">
            <w:pPr>
              <w:spacing w:after="0" w:line="240" w:lineRule="auto"/>
              <w:jc w:val="center"/>
              <w:rPr>
                <w:rFonts w:ascii="Times New Roman" w:eastAsia="Times New Roman" w:hAnsi="Times New Roman" w:cs="Times New Roman"/>
                <w:b/>
                <w:bCs/>
                <w:color w:val="000000"/>
                <w:sz w:val="20"/>
                <w:szCs w:val="20"/>
                <w:lang w:eastAsia="ru-RU"/>
              </w:rPr>
            </w:pPr>
          </w:p>
        </w:tc>
        <w:tc>
          <w:tcPr>
            <w:tcW w:w="3251" w:type="dxa"/>
            <w:gridSpan w:val="4"/>
            <w:tcBorders>
              <w:bottom w:val="single" w:sz="4" w:space="0" w:color="auto"/>
            </w:tcBorders>
            <w:shd w:val="clear" w:color="auto" w:fill="auto"/>
            <w:vAlign w:val="center"/>
          </w:tcPr>
          <w:p w14:paraId="3FC80B7C" w14:textId="77777777" w:rsidR="00827437" w:rsidRPr="00C655A1"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C655A1">
              <w:rPr>
                <w:rFonts w:ascii="Times New Roman" w:eastAsia="Times New Roman" w:hAnsi="Times New Roman" w:cs="Times New Roman"/>
                <w:sz w:val="20"/>
                <w:szCs w:val="20"/>
                <w:lang w:eastAsia="ru-RU"/>
              </w:rPr>
              <w:t>(млн рублей)</w:t>
            </w:r>
          </w:p>
        </w:tc>
      </w:tr>
      <w:tr w:rsidR="00827437" w:rsidRPr="00522104" w14:paraId="126BFD6F" w14:textId="77777777" w:rsidTr="00E40BEE">
        <w:trPr>
          <w:trHeight w:val="450"/>
          <w:tblHeader/>
        </w:trPr>
        <w:tc>
          <w:tcPr>
            <w:tcW w:w="17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AA9FD3"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Наименование</w:t>
            </w:r>
          </w:p>
        </w:tc>
        <w:tc>
          <w:tcPr>
            <w:tcW w:w="2757" w:type="dxa"/>
            <w:gridSpan w:val="3"/>
            <w:tcBorders>
              <w:top w:val="single" w:sz="4" w:space="0" w:color="auto"/>
              <w:left w:val="nil"/>
              <w:bottom w:val="single" w:sz="4" w:space="0" w:color="auto"/>
              <w:right w:val="single" w:sz="4" w:space="0" w:color="000000"/>
            </w:tcBorders>
            <w:shd w:val="clear" w:color="auto" w:fill="auto"/>
            <w:vAlign w:val="center"/>
            <w:hideMark/>
          </w:tcPr>
          <w:p w14:paraId="07C20F4A"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Закон № 969-КЗ</w:t>
            </w:r>
          </w:p>
        </w:tc>
        <w:tc>
          <w:tcPr>
            <w:tcW w:w="2682" w:type="dxa"/>
            <w:gridSpan w:val="3"/>
            <w:tcBorders>
              <w:top w:val="single" w:sz="4" w:space="0" w:color="auto"/>
              <w:left w:val="nil"/>
              <w:bottom w:val="single" w:sz="4" w:space="0" w:color="auto"/>
              <w:right w:val="single" w:sz="4" w:space="0" w:color="000000"/>
            </w:tcBorders>
            <w:shd w:val="clear" w:color="auto" w:fill="auto"/>
            <w:vAlign w:val="center"/>
            <w:hideMark/>
          </w:tcPr>
          <w:p w14:paraId="3AD12EC0"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Законопроект</w:t>
            </w:r>
          </w:p>
        </w:tc>
        <w:tc>
          <w:tcPr>
            <w:tcW w:w="3251" w:type="dxa"/>
            <w:gridSpan w:val="4"/>
            <w:tcBorders>
              <w:top w:val="single" w:sz="4" w:space="0" w:color="auto"/>
              <w:left w:val="nil"/>
              <w:bottom w:val="single" w:sz="4" w:space="0" w:color="auto"/>
              <w:right w:val="single" w:sz="4" w:space="0" w:color="000000"/>
            </w:tcBorders>
            <w:shd w:val="clear" w:color="auto" w:fill="auto"/>
            <w:vAlign w:val="center"/>
            <w:hideMark/>
          </w:tcPr>
          <w:p w14:paraId="05FB3D51"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Отклонения законопроекта к утвержденным назначениям</w:t>
            </w:r>
          </w:p>
        </w:tc>
      </w:tr>
      <w:tr w:rsidR="00EB0AAB" w:rsidRPr="00522104" w14:paraId="08A314EF" w14:textId="77777777" w:rsidTr="00E86AFD">
        <w:trPr>
          <w:trHeight w:val="765"/>
          <w:tblHeader/>
        </w:trPr>
        <w:tc>
          <w:tcPr>
            <w:tcW w:w="1702" w:type="dxa"/>
            <w:vMerge/>
            <w:tcBorders>
              <w:top w:val="single" w:sz="4" w:space="0" w:color="auto"/>
              <w:left w:val="single" w:sz="4" w:space="0" w:color="auto"/>
              <w:bottom w:val="single" w:sz="4" w:space="0" w:color="000000"/>
              <w:right w:val="single" w:sz="4" w:space="0" w:color="auto"/>
            </w:tcBorders>
            <w:vAlign w:val="center"/>
            <w:hideMark/>
          </w:tcPr>
          <w:p w14:paraId="53E636DB" w14:textId="77777777" w:rsidR="00EB0AAB" w:rsidRPr="00522104" w:rsidRDefault="00EB0AAB" w:rsidP="00E40BEE">
            <w:pPr>
              <w:spacing w:after="0" w:line="240" w:lineRule="auto"/>
              <w:rPr>
                <w:rFonts w:ascii="Times New Roman" w:eastAsia="Times New Roman" w:hAnsi="Times New Roman" w:cs="Times New Roman"/>
                <w:bCs/>
                <w:color w:val="000000"/>
                <w:sz w:val="20"/>
                <w:szCs w:val="20"/>
                <w:lang w:eastAsia="ru-RU"/>
              </w:rPr>
            </w:pPr>
          </w:p>
        </w:tc>
        <w:tc>
          <w:tcPr>
            <w:tcW w:w="958" w:type="dxa"/>
            <w:vMerge w:val="restart"/>
            <w:tcBorders>
              <w:top w:val="nil"/>
              <w:left w:val="nil"/>
              <w:right w:val="single" w:sz="4" w:space="0" w:color="auto"/>
            </w:tcBorders>
            <w:shd w:val="clear" w:color="auto" w:fill="auto"/>
            <w:vAlign w:val="center"/>
            <w:hideMark/>
          </w:tcPr>
          <w:p w14:paraId="46C1B4FD" w14:textId="66A8909E"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первоначальная редак</w:t>
            </w:r>
            <w:r>
              <w:rPr>
                <w:rFonts w:ascii="Times New Roman" w:eastAsia="Times New Roman" w:hAnsi="Times New Roman" w:cs="Times New Roman"/>
                <w:bCs/>
                <w:color w:val="000000"/>
                <w:sz w:val="20"/>
                <w:szCs w:val="20"/>
                <w:lang w:eastAsia="ru-RU"/>
              </w:rPr>
              <w:t>-</w:t>
            </w:r>
            <w:r w:rsidRPr="00522104">
              <w:rPr>
                <w:rFonts w:ascii="Times New Roman" w:eastAsia="Times New Roman" w:hAnsi="Times New Roman" w:cs="Times New Roman"/>
                <w:bCs/>
                <w:color w:val="000000"/>
                <w:sz w:val="20"/>
                <w:szCs w:val="20"/>
                <w:lang w:eastAsia="ru-RU"/>
              </w:rPr>
              <w:t>ция</w:t>
            </w:r>
          </w:p>
          <w:p w14:paraId="41D35DDA" w14:textId="10491E29"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2021 год</w:t>
            </w:r>
          </w:p>
        </w:tc>
        <w:tc>
          <w:tcPr>
            <w:tcW w:w="1799" w:type="dxa"/>
            <w:gridSpan w:val="2"/>
            <w:tcBorders>
              <w:top w:val="single" w:sz="4" w:space="0" w:color="auto"/>
              <w:left w:val="nil"/>
              <w:bottom w:val="single" w:sz="4" w:space="0" w:color="auto"/>
              <w:right w:val="nil"/>
            </w:tcBorders>
            <w:shd w:val="clear" w:color="auto" w:fill="auto"/>
            <w:noWrap/>
            <w:vAlign w:val="center"/>
            <w:hideMark/>
          </w:tcPr>
          <w:p w14:paraId="64C45C6B"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8 редакция</w:t>
            </w:r>
          </w:p>
        </w:tc>
        <w:tc>
          <w:tcPr>
            <w:tcW w:w="93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1A681C"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2022 год</w:t>
            </w:r>
          </w:p>
        </w:tc>
        <w:tc>
          <w:tcPr>
            <w:tcW w:w="8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18E1F2"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2023 год</w:t>
            </w:r>
          </w:p>
        </w:tc>
        <w:tc>
          <w:tcPr>
            <w:tcW w:w="86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A0F0B5"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2024 год</w:t>
            </w:r>
          </w:p>
        </w:tc>
        <w:tc>
          <w:tcPr>
            <w:tcW w:w="1630" w:type="dxa"/>
            <w:gridSpan w:val="2"/>
            <w:tcBorders>
              <w:top w:val="nil"/>
              <w:left w:val="nil"/>
              <w:bottom w:val="single" w:sz="4" w:space="0" w:color="auto"/>
              <w:right w:val="single" w:sz="4" w:space="0" w:color="000000"/>
            </w:tcBorders>
            <w:shd w:val="clear" w:color="auto" w:fill="auto"/>
            <w:noWrap/>
            <w:vAlign w:val="center"/>
            <w:hideMark/>
          </w:tcPr>
          <w:p w14:paraId="763F29E4"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2022/2021</w:t>
            </w:r>
          </w:p>
        </w:tc>
        <w:tc>
          <w:tcPr>
            <w:tcW w:w="162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036FD5F"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2022/2022</w:t>
            </w:r>
          </w:p>
        </w:tc>
      </w:tr>
      <w:tr w:rsidR="00EB0AAB" w:rsidRPr="00522104" w14:paraId="008A6B57" w14:textId="77777777" w:rsidTr="00E86AFD">
        <w:trPr>
          <w:trHeight w:val="300"/>
          <w:tblHeader/>
        </w:trPr>
        <w:tc>
          <w:tcPr>
            <w:tcW w:w="1702" w:type="dxa"/>
            <w:vMerge/>
            <w:tcBorders>
              <w:top w:val="single" w:sz="4" w:space="0" w:color="auto"/>
              <w:left w:val="single" w:sz="4" w:space="0" w:color="auto"/>
              <w:bottom w:val="single" w:sz="4" w:space="0" w:color="000000"/>
              <w:right w:val="single" w:sz="4" w:space="0" w:color="auto"/>
            </w:tcBorders>
            <w:vAlign w:val="center"/>
            <w:hideMark/>
          </w:tcPr>
          <w:p w14:paraId="7366CC32" w14:textId="77777777" w:rsidR="00EB0AAB" w:rsidRPr="00522104" w:rsidRDefault="00EB0AAB" w:rsidP="00E40BEE">
            <w:pPr>
              <w:spacing w:after="0" w:line="240" w:lineRule="auto"/>
              <w:rPr>
                <w:rFonts w:ascii="Times New Roman" w:eastAsia="Times New Roman" w:hAnsi="Times New Roman" w:cs="Times New Roman"/>
                <w:bCs/>
                <w:color w:val="000000"/>
                <w:sz w:val="20"/>
                <w:szCs w:val="20"/>
                <w:lang w:eastAsia="ru-RU"/>
              </w:rPr>
            </w:pPr>
          </w:p>
        </w:tc>
        <w:tc>
          <w:tcPr>
            <w:tcW w:w="958" w:type="dxa"/>
            <w:vMerge/>
            <w:tcBorders>
              <w:left w:val="nil"/>
              <w:bottom w:val="single" w:sz="4" w:space="0" w:color="auto"/>
              <w:right w:val="single" w:sz="4" w:space="0" w:color="auto"/>
            </w:tcBorders>
            <w:shd w:val="clear" w:color="auto" w:fill="auto"/>
            <w:vAlign w:val="center"/>
            <w:hideMark/>
          </w:tcPr>
          <w:p w14:paraId="49B47CEB" w14:textId="478EA7A1"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p>
        </w:tc>
        <w:tc>
          <w:tcPr>
            <w:tcW w:w="866" w:type="dxa"/>
            <w:tcBorders>
              <w:top w:val="nil"/>
              <w:left w:val="nil"/>
              <w:bottom w:val="single" w:sz="4" w:space="0" w:color="auto"/>
              <w:right w:val="single" w:sz="4" w:space="0" w:color="auto"/>
            </w:tcBorders>
            <w:shd w:val="clear" w:color="auto" w:fill="auto"/>
            <w:noWrap/>
            <w:vAlign w:val="center"/>
            <w:hideMark/>
          </w:tcPr>
          <w:p w14:paraId="2C292CCC"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2021 год</w:t>
            </w:r>
          </w:p>
        </w:tc>
        <w:tc>
          <w:tcPr>
            <w:tcW w:w="933" w:type="dxa"/>
            <w:tcBorders>
              <w:top w:val="nil"/>
              <w:left w:val="nil"/>
              <w:bottom w:val="single" w:sz="4" w:space="0" w:color="auto"/>
              <w:right w:val="nil"/>
            </w:tcBorders>
            <w:shd w:val="clear" w:color="auto" w:fill="auto"/>
            <w:noWrap/>
            <w:vAlign w:val="center"/>
            <w:hideMark/>
          </w:tcPr>
          <w:p w14:paraId="42A85764"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2022 год</w:t>
            </w:r>
          </w:p>
        </w:tc>
        <w:tc>
          <w:tcPr>
            <w:tcW w:w="933" w:type="dxa"/>
            <w:vMerge/>
            <w:tcBorders>
              <w:top w:val="nil"/>
              <w:left w:val="single" w:sz="4" w:space="0" w:color="auto"/>
              <w:bottom w:val="single" w:sz="4" w:space="0" w:color="000000"/>
              <w:right w:val="single" w:sz="4" w:space="0" w:color="auto"/>
            </w:tcBorders>
            <w:vAlign w:val="center"/>
            <w:hideMark/>
          </w:tcPr>
          <w:p w14:paraId="4F2D6388" w14:textId="77777777" w:rsidR="00EB0AAB" w:rsidRPr="00522104" w:rsidRDefault="00EB0AAB" w:rsidP="00E40BEE">
            <w:pPr>
              <w:spacing w:after="0" w:line="240" w:lineRule="auto"/>
              <w:rPr>
                <w:rFonts w:ascii="Times New Roman" w:eastAsia="Times New Roman" w:hAnsi="Times New Roman" w:cs="Times New Roman"/>
                <w:bCs/>
                <w:color w:val="000000"/>
                <w:sz w:val="20"/>
                <w:szCs w:val="20"/>
                <w:lang w:eastAsia="ru-RU"/>
              </w:rPr>
            </w:pPr>
          </w:p>
        </w:tc>
        <w:tc>
          <w:tcPr>
            <w:tcW w:w="883" w:type="dxa"/>
            <w:vMerge/>
            <w:tcBorders>
              <w:top w:val="nil"/>
              <w:left w:val="single" w:sz="4" w:space="0" w:color="auto"/>
              <w:bottom w:val="single" w:sz="4" w:space="0" w:color="000000"/>
              <w:right w:val="single" w:sz="4" w:space="0" w:color="auto"/>
            </w:tcBorders>
            <w:vAlign w:val="center"/>
            <w:hideMark/>
          </w:tcPr>
          <w:p w14:paraId="1B5027D5" w14:textId="77777777" w:rsidR="00EB0AAB" w:rsidRPr="00522104" w:rsidRDefault="00EB0AAB" w:rsidP="00E40BEE">
            <w:pPr>
              <w:spacing w:after="0" w:line="240" w:lineRule="auto"/>
              <w:rPr>
                <w:rFonts w:ascii="Times New Roman" w:eastAsia="Times New Roman" w:hAnsi="Times New Roman" w:cs="Times New Roman"/>
                <w:bCs/>
                <w:color w:val="000000"/>
                <w:sz w:val="20"/>
                <w:szCs w:val="20"/>
                <w:lang w:eastAsia="ru-RU"/>
              </w:rPr>
            </w:pPr>
          </w:p>
        </w:tc>
        <w:tc>
          <w:tcPr>
            <w:tcW w:w="866" w:type="dxa"/>
            <w:vMerge/>
            <w:tcBorders>
              <w:top w:val="nil"/>
              <w:left w:val="single" w:sz="4" w:space="0" w:color="auto"/>
              <w:bottom w:val="single" w:sz="4" w:space="0" w:color="000000"/>
              <w:right w:val="single" w:sz="4" w:space="0" w:color="auto"/>
            </w:tcBorders>
            <w:vAlign w:val="center"/>
            <w:hideMark/>
          </w:tcPr>
          <w:p w14:paraId="6D14DE88" w14:textId="77777777" w:rsidR="00EB0AAB" w:rsidRPr="00522104" w:rsidRDefault="00EB0AAB" w:rsidP="00E40BEE">
            <w:pPr>
              <w:spacing w:after="0" w:line="240" w:lineRule="auto"/>
              <w:rPr>
                <w:rFonts w:ascii="Times New Roman" w:eastAsia="Times New Roman" w:hAnsi="Times New Roman" w:cs="Times New Roman"/>
                <w:bCs/>
                <w:color w:val="000000"/>
                <w:sz w:val="20"/>
                <w:szCs w:val="20"/>
                <w:lang w:eastAsia="ru-RU"/>
              </w:rPr>
            </w:pPr>
          </w:p>
        </w:tc>
        <w:tc>
          <w:tcPr>
            <w:tcW w:w="844" w:type="dxa"/>
            <w:tcBorders>
              <w:top w:val="nil"/>
              <w:left w:val="nil"/>
              <w:bottom w:val="single" w:sz="4" w:space="0" w:color="auto"/>
              <w:right w:val="single" w:sz="4" w:space="0" w:color="auto"/>
            </w:tcBorders>
            <w:shd w:val="clear" w:color="auto" w:fill="auto"/>
            <w:noWrap/>
            <w:vAlign w:val="center"/>
            <w:hideMark/>
          </w:tcPr>
          <w:p w14:paraId="54AA0489"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сумма</w:t>
            </w:r>
          </w:p>
        </w:tc>
        <w:tc>
          <w:tcPr>
            <w:tcW w:w="786" w:type="dxa"/>
            <w:tcBorders>
              <w:top w:val="nil"/>
              <w:left w:val="nil"/>
              <w:bottom w:val="single" w:sz="4" w:space="0" w:color="auto"/>
              <w:right w:val="single" w:sz="4" w:space="0" w:color="auto"/>
            </w:tcBorders>
            <w:shd w:val="clear" w:color="auto" w:fill="auto"/>
            <w:noWrap/>
            <w:vAlign w:val="center"/>
            <w:hideMark/>
          </w:tcPr>
          <w:p w14:paraId="197CE2CC"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w:t>
            </w:r>
          </w:p>
        </w:tc>
        <w:tc>
          <w:tcPr>
            <w:tcW w:w="835" w:type="dxa"/>
            <w:tcBorders>
              <w:top w:val="nil"/>
              <w:left w:val="nil"/>
              <w:bottom w:val="single" w:sz="4" w:space="0" w:color="auto"/>
              <w:right w:val="single" w:sz="4" w:space="0" w:color="auto"/>
            </w:tcBorders>
            <w:shd w:val="clear" w:color="auto" w:fill="auto"/>
            <w:noWrap/>
            <w:vAlign w:val="center"/>
            <w:hideMark/>
          </w:tcPr>
          <w:p w14:paraId="67157C95"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сумма</w:t>
            </w:r>
          </w:p>
        </w:tc>
        <w:tc>
          <w:tcPr>
            <w:tcW w:w="786" w:type="dxa"/>
            <w:tcBorders>
              <w:top w:val="nil"/>
              <w:left w:val="nil"/>
              <w:bottom w:val="single" w:sz="4" w:space="0" w:color="auto"/>
              <w:right w:val="single" w:sz="4" w:space="0" w:color="auto"/>
            </w:tcBorders>
            <w:shd w:val="clear" w:color="auto" w:fill="auto"/>
            <w:noWrap/>
            <w:vAlign w:val="center"/>
            <w:hideMark/>
          </w:tcPr>
          <w:p w14:paraId="3E593D1E" w14:textId="77777777" w:rsidR="00EB0AAB" w:rsidRPr="00522104" w:rsidRDefault="00EB0AAB"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w:t>
            </w:r>
          </w:p>
        </w:tc>
      </w:tr>
      <w:tr w:rsidR="00827437" w:rsidRPr="00522104" w14:paraId="127FF3A2" w14:textId="77777777" w:rsidTr="00E40BEE">
        <w:trPr>
          <w:trHeight w:val="239"/>
          <w:tblHeader/>
        </w:trPr>
        <w:tc>
          <w:tcPr>
            <w:tcW w:w="1702" w:type="dxa"/>
            <w:tcBorders>
              <w:top w:val="nil"/>
              <w:left w:val="single" w:sz="4" w:space="0" w:color="auto"/>
              <w:bottom w:val="single" w:sz="4" w:space="0" w:color="auto"/>
              <w:right w:val="single" w:sz="4" w:space="0" w:color="auto"/>
            </w:tcBorders>
            <w:shd w:val="clear" w:color="DDEBF7" w:fill="FFFFFF"/>
            <w:vAlign w:val="center"/>
            <w:hideMark/>
          </w:tcPr>
          <w:p w14:paraId="59448800"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1</w:t>
            </w:r>
          </w:p>
        </w:tc>
        <w:tc>
          <w:tcPr>
            <w:tcW w:w="958" w:type="dxa"/>
            <w:tcBorders>
              <w:top w:val="nil"/>
              <w:left w:val="nil"/>
              <w:bottom w:val="single" w:sz="4" w:space="0" w:color="auto"/>
              <w:right w:val="single" w:sz="4" w:space="0" w:color="auto"/>
            </w:tcBorders>
            <w:shd w:val="clear" w:color="auto" w:fill="auto"/>
            <w:vAlign w:val="center"/>
            <w:hideMark/>
          </w:tcPr>
          <w:p w14:paraId="352245F6"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w:t>
            </w:r>
          </w:p>
        </w:tc>
        <w:tc>
          <w:tcPr>
            <w:tcW w:w="866" w:type="dxa"/>
            <w:tcBorders>
              <w:top w:val="nil"/>
              <w:left w:val="nil"/>
              <w:bottom w:val="single" w:sz="4" w:space="0" w:color="auto"/>
              <w:right w:val="single" w:sz="4" w:space="0" w:color="auto"/>
            </w:tcBorders>
            <w:shd w:val="clear" w:color="auto" w:fill="auto"/>
            <w:vAlign w:val="center"/>
            <w:hideMark/>
          </w:tcPr>
          <w:p w14:paraId="7EE2CB20"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3</w:t>
            </w:r>
          </w:p>
        </w:tc>
        <w:tc>
          <w:tcPr>
            <w:tcW w:w="933" w:type="dxa"/>
            <w:tcBorders>
              <w:top w:val="nil"/>
              <w:left w:val="nil"/>
              <w:bottom w:val="single" w:sz="4" w:space="0" w:color="auto"/>
              <w:right w:val="single" w:sz="4" w:space="0" w:color="auto"/>
            </w:tcBorders>
            <w:shd w:val="clear" w:color="auto" w:fill="auto"/>
            <w:vAlign w:val="center"/>
            <w:hideMark/>
          </w:tcPr>
          <w:p w14:paraId="5D9785E1"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4</w:t>
            </w:r>
          </w:p>
        </w:tc>
        <w:tc>
          <w:tcPr>
            <w:tcW w:w="933" w:type="dxa"/>
            <w:tcBorders>
              <w:top w:val="nil"/>
              <w:left w:val="nil"/>
              <w:bottom w:val="single" w:sz="4" w:space="0" w:color="auto"/>
              <w:right w:val="single" w:sz="4" w:space="0" w:color="auto"/>
            </w:tcBorders>
            <w:shd w:val="clear" w:color="000000" w:fill="FFFFFF"/>
            <w:vAlign w:val="center"/>
            <w:hideMark/>
          </w:tcPr>
          <w:p w14:paraId="18F8014D"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5</w:t>
            </w:r>
          </w:p>
        </w:tc>
        <w:tc>
          <w:tcPr>
            <w:tcW w:w="883" w:type="dxa"/>
            <w:tcBorders>
              <w:top w:val="nil"/>
              <w:left w:val="nil"/>
              <w:bottom w:val="single" w:sz="4" w:space="0" w:color="auto"/>
              <w:right w:val="single" w:sz="4" w:space="0" w:color="auto"/>
            </w:tcBorders>
            <w:shd w:val="clear" w:color="auto" w:fill="auto"/>
            <w:vAlign w:val="center"/>
            <w:hideMark/>
          </w:tcPr>
          <w:p w14:paraId="7D56A469"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6</w:t>
            </w:r>
          </w:p>
        </w:tc>
        <w:tc>
          <w:tcPr>
            <w:tcW w:w="866" w:type="dxa"/>
            <w:tcBorders>
              <w:top w:val="nil"/>
              <w:left w:val="nil"/>
              <w:bottom w:val="single" w:sz="4" w:space="0" w:color="auto"/>
              <w:right w:val="single" w:sz="4" w:space="0" w:color="auto"/>
            </w:tcBorders>
            <w:shd w:val="clear" w:color="auto" w:fill="auto"/>
            <w:vAlign w:val="center"/>
            <w:hideMark/>
          </w:tcPr>
          <w:p w14:paraId="7FEE4E3F"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7</w:t>
            </w:r>
          </w:p>
        </w:tc>
        <w:tc>
          <w:tcPr>
            <w:tcW w:w="844" w:type="dxa"/>
            <w:tcBorders>
              <w:top w:val="nil"/>
              <w:left w:val="nil"/>
              <w:bottom w:val="single" w:sz="4" w:space="0" w:color="auto"/>
              <w:right w:val="single" w:sz="4" w:space="0" w:color="auto"/>
            </w:tcBorders>
            <w:shd w:val="clear" w:color="auto" w:fill="auto"/>
            <w:vAlign w:val="center"/>
            <w:hideMark/>
          </w:tcPr>
          <w:p w14:paraId="743CBBB2"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8=5-3</w:t>
            </w:r>
          </w:p>
        </w:tc>
        <w:tc>
          <w:tcPr>
            <w:tcW w:w="786" w:type="dxa"/>
            <w:tcBorders>
              <w:top w:val="nil"/>
              <w:left w:val="nil"/>
              <w:bottom w:val="single" w:sz="4" w:space="0" w:color="auto"/>
              <w:right w:val="single" w:sz="4" w:space="0" w:color="auto"/>
            </w:tcBorders>
            <w:shd w:val="clear" w:color="auto" w:fill="auto"/>
            <w:vAlign w:val="center"/>
            <w:hideMark/>
          </w:tcPr>
          <w:p w14:paraId="58F9A2C2"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9=5/3</w:t>
            </w:r>
          </w:p>
        </w:tc>
        <w:tc>
          <w:tcPr>
            <w:tcW w:w="835" w:type="dxa"/>
            <w:tcBorders>
              <w:top w:val="nil"/>
              <w:left w:val="nil"/>
              <w:bottom w:val="single" w:sz="4" w:space="0" w:color="auto"/>
              <w:right w:val="single" w:sz="4" w:space="0" w:color="auto"/>
            </w:tcBorders>
            <w:shd w:val="clear" w:color="auto" w:fill="auto"/>
            <w:vAlign w:val="center"/>
            <w:hideMark/>
          </w:tcPr>
          <w:p w14:paraId="7BE5D97E"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10=5-4</w:t>
            </w:r>
          </w:p>
        </w:tc>
        <w:tc>
          <w:tcPr>
            <w:tcW w:w="786" w:type="dxa"/>
            <w:tcBorders>
              <w:top w:val="nil"/>
              <w:left w:val="nil"/>
              <w:bottom w:val="single" w:sz="4" w:space="0" w:color="auto"/>
              <w:right w:val="single" w:sz="4" w:space="0" w:color="auto"/>
            </w:tcBorders>
            <w:shd w:val="clear" w:color="auto" w:fill="auto"/>
            <w:vAlign w:val="center"/>
            <w:hideMark/>
          </w:tcPr>
          <w:p w14:paraId="3BD5C1FE"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11=5/4</w:t>
            </w:r>
          </w:p>
        </w:tc>
      </w:tr>
      <w:tr w:rsidR="00827437" w:rsidRPr="00522104" w14:paraId="65D02A8C" w14:textId="77777777" w:rsidTr="00E40BEE">
        <w:trPr>
          <w:trHeight w:val="1414"/>
        </w:trPr>
        <w:tc>
          <w:tcPr>
            <w:tcW w:w="1702" w:type="dxa"/>
            <w:tcBorders>
              <w:top w:val="nil"/>
              <w:left w:val="single" w:sz="4" w:space="0" w:color="auto"/>
              <w:bottom w:val="single" w:sz="4" w:space="0" w:color="auto"/>
              <w:right w:val="single" w:sz="4" w:space="0" w:color="auto"/>
            </w:tcBorders>
            <w:shd w:val="clear" w:color="000000" w:fill="FFFFFF"/>
            <w:hideMark/>
          </w:tcPr>
          <w:p w14:paraId="51B256D5" w14:textId="77777777" w:rsidR="00827437" w:rsidRPr="00522104" w:rsidRDefault="00827437" w:rsidP="00E40BEE">
            <w:pPr>
              <w:spacing w:after="0" w:line="240" w:lineRule="auto"/>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 xml:space="preserve">ГП "Развитие физической культуры и спорта Приморского края" на 2020-2027 годы </w:t>
            </w:r>
          </w:p>
        </w:tc>
        <w:tc>
          <w:tcPr>
            <w:tcW w:w="958" w:type="dxa"/>
            <w:tcBorders>
              <w:top w:val="nil"/>
              <w:left w:val="nil"/>
              <w:bottom w:val="single" w:sz="4" w:space="0" w:color="auto"/>
              <w:right w:val="single" w:sz="4" w:space="0" w:color="auto"/>
            </w:tcBorders>
            <w:shd w:val="clear" w:color="000000" w:fill="FFFFFF"/>
            <w:noWrap/>
            <w:vAlign w:val="bottom"/>
            <w:hideMark/>
          </w:tcPr>
          <w:p w14:paraId="41BA0012"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2548,19</w:t>
            </w:r>
          </w:p>
        </w:tc>
        <w:tc>
          <w:tcPr>
            <w:tcW w:w="866" w:type="dxa"/>
            <w:tcBorders>
              <w:top w:val="nil"/>
              <w:left w:val="nil"/>
              <w:bottom w:val="single" w:sz="4" w:space="0" w:color="auto"/>
              <w:right w:val="single" w:sz="4" w:space="0" w:color="auto"/>
            </w:tcBorders>
            <w:shd w:val="clear" w:color="000000" w:fill="FFFFFF"/>
            <w:noWrap/>
            <w:vAlign w:val="bottom"/>
            <w:hideMark/>
          </w:tcPr>
          <w:p w14:paraId="17A19273"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2916,05</w:t>
            </w:r>
          </w:p>
        </w:tc>
        <w:tc>
          <w:tcPr>
            <w:tcW w:w="933" w:type="dxa"/>
            <w:tcBorders>
              <w:top w:val="nil"/>
              <w:left w:val="nil"/>
              <w:bottom w:val="single" w:sz="4" w:space="0" w:color="auto"/>
              <w:right w:val="single" w:sz="4" w:space="0" w:color="auto"/>
            </w:tcBorders>
            <w:shd w:val="clear" w:color="000000" w:fill="FFFFFF"/>
            <w:noWrap/>
            <w:vAlign w:val="bottom"/>
            <w:hideMark/>
          </w:tcPr>
          <w:p w14:paraId="2C7C0C70"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2580,27</w:t>
            </w:r>
          </w:p>
        </w:tc>
        <w:tc>
          <w:tcPr>
            <w:tcW w:w="933" w:type="dxa"/>
            <w:tcBorders>
              <w:top w:val="nil"/>
              <w:left w:val="nil"/>
              <w:bottom w:val="single" w:sz="4" w:space="0" w:color="auto"/>
              <w:right w:val="single" w:sz="4" w:space="0" w:color="auto"/>
            </w:tcBorders>
            <w:shd w:val="clear" w:color="000000" w:fill="FFFFFF"/>
            <w:noWrap/>
            <w:vAlign w:val="bottom"/>
            <w:hideMark/>
          </w:tcPr>
          <w:p w14:paraId="2DF5E32E"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3348,02</w:t>
            </w:r>
          </w:p>
        </w:tc>
        <w:tc>
          <w:tcPr>
            <w:tcW w:w="883" w:type="dxa"/>
            <w:tcBorders>
              <w:top w:val="nil"/>
              <w:left w:val="nil"/>
              <w:bottom w:val="single" w:sz="4" w:space="0" w:color="auto"/>
              <w:right w:val="single" w:sz="4" w:space="0" w:color="auto"/>
            </w:tcBorders>
            <w:shd w:val="clear" w:color="000000" w:fill="FFFFFF"/>
            <w:noWrap/>
            <w:vAlign w:val="bottom"/>
            <w:hideMark/>
          </w:tcPr>
          <w:p w14:paraId="4D1921EB"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2236,97</w:t>
            </w:r>
          </w:p>
        </w:tc>
        <w:tc>
          <w:tcPr>
            <w:tcW w:w="866" w:type="dxa"/>
            <w:tcBorders>
              <w:top w:val="nil"/>
              <w:left w:val="nil"/>
              <w:bottom w:val="single" w:sz="4" w:space="0" w:color="auto"/>
              <w:right w:val="single" w:sz="4" w:space="0" w:color="auto"/>
            </w:tcBorders>
            <w:shd w:val="clear" w:color="000000" w:fill="FFFFFF"/>
            <w:noWrap/>
            <w:vAlign w:val="bottom"/>
            <w:hideMark/>
          </w:tcPr>
          <w:p w14:paraId="583715C7"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2128,74</w:t>
            </w:r>
          </w:p>
        </w:tc>
        <w:tc>
          <w:tcPr>
            <w:tcW w:w="844" w:type="dxa"/>
            <w:tcBorders>
              <w:top w:val="nil"/>
              <w:left w:val="nil"/>
              <w:bottom w:val="single" w:sz="4" w:space="0" w:color="auto"/>
              <w:right w:val="single" w:sz="4" w:space="0" w:color="auto"/>
            </w:tcBorders>
            <w:shd w:val="clear" w:color="000000" w:fill="FFFFFF"/>
            <w:noWrap/>
            <w:vAlign w:val="bottom"/>
            <w:hideMark/>
          </w:tcPr>
          <w:p w14:paraId="544B523A"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431,97</w:t>
            </w:r>
          </w:p>
        </w:tc>
        <w:tc>
          <w:tcPr>
            <w:tcW w:w="786" w:type="dxa"/>
            <w:tcBorders>
              <w:top w:val="nil"/>
              <w:left w:val="nil"/>
              <w:bottom w:val="single" w:sz="4" w:space="0" w:color="auto"/>
              <w:right w:val="single" w:sz="4" w:space="0" w:color="auto"/>
            </w:tcBorders>
            <w:shd w:val="clear" w:color="000000" w:fill="FFFFFF"/>
            <w:noWrap/>
            <w:vAlign w:val="bottom"/>
            <w:hideMark/>
          </w:tcPr>
          <w:p w14:paraId="689E5A3A"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114,81</w:t>
            </w:r>
          </w:p>
        </w:tc>
        <w:tc>
          <w:tcPr>
            <w:tcW w:w="835" w:type="dxa"/>
            <w:tcBorders>
              <w:top w:val="nil"/>
              <w:left w:val="nil"/>
              <w:bottom w:val="single" w:sz="4" w:space="0" w:color="auto"/>
              <w:right w:val="single" w:sz="4" w:space="0" w:color="auto"/>
            </w:tcBorders>
            <w:shd w:val="clear" w:color="000000" w:fill="FFFFFF"/>
            <w:noWrap/>
            <w:vAlign w:val="bottom"/>
            <w:hideMark/>
          </w:tcPr>
          <w:p w14:paraId="1DF85723"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767,75</w:t>
            </w:r>
          </w:p>
        </w:tc>
        <w:tc>
          <w:tcPr>
            <w:tcW w:w="786" w:type="dxa"/>
            <w:tcBorders>
              <w:top w:val="nil"/>
              <w:left w:val="nil"/>
              <w:bottom w:val="single" w:sz="4" w:space="0" w:color="auto"/>
              <w:right w:val="single" w:sz="4" w:space="0" w:color="auto"/>
            </w:tcBorders>
            <w:shd w:val="clear" w:color="000000" w:fill="FFFFFF"/>
            <w:noWrap/>
            <w:vAlign w:val="bottom"/>
            <w:hideMark/>
          </w:tcPr>
          <w:p w14:paraId="5B339B0D"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129,75</w:t>
            </w:r>
          </w:p>
        </w:tc>
      </w:tr>
      <w:tr w:rsidR="00827437" w:rsidRPr="00522104" w14:paraId="23687B08" w14:textId="77777777" w:rsidTr="00E40BEE">
        <w:trPr>
          <w:trHeight w:val="765"/>
        </w:trPr>
        <w:tc>
          <w:tcPr>
            <w:tcW w:w="1702" w:type="dxa"/>
            <w:tcBorders>
              <w:top w:val="nil"/>
              <w:left w:val="single" w:sz="4" w:space="0" w:color="auto"/>
              <w:bottom w:val="single" w:sz="4" w:space="0" w:color="auto"/>
              <w:right w:val="single" w:sz="4" w:space="0" w:color="auto"/>
            </w:tcBorders>
            <w:shd w:val="clear" w:color="000000" w:fill="FFFFFF"/>
            <w:hideMark/>
          </w:tcPr>
          <w:p w14:paraId="7DFD1B1E" w14:textId="77777777" w:rsidR="00827437" w:rsidRPr="00C655A1" w:rsidRDefault="00827437" w:rsidP="00E40BEE">
            <w:pPr>
              <w:spacing w:after="0" w:line="240" w:lineRule="auto"/>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Подпрограмма "Развитие массовой физической культуры и спорта в Приморском крае"</w:t>
            </w:r>
          </w:p>
        </w:tc>
        <w:tc>
          <w:tcPr>
            <w:tcW w:w="958" w:type="dxa"/>
            <w:tcBorders>
              <w:top w:val="nil"/>
              <w:left w:val="nil"/>
              <w:bottom w:val="single" w:sz="4" w:space="0" w:color="auto"/>
              <w:right w:val="single" w:sz="4" w:space="0" w:color="auto"/>
            </w:tcBorders>
            <w:shd w:val="clear" w:color="000000" w:fill="FFFFFF"/>
            <w:noWrap/>
            <w:vAlign w:val="bottom"/>
            <w:hideMark/>
          </w:tcPr>
          <w:p w14:paraId="72063B11"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617,09</w:t>
            </w:r>
          </w:p>
        </w:tc>
        <w:tc>
          <w:tcPr>
            <w:tcW w:w="866" w:type="dxa"/>
            <w:tcBorders>
              <w:top w:val="nil"/>
              <w:left w:val="nil"/>
              <w:bottom w:val="single" w:sz="4" w:space="0" w:color="auto"/>
              <w:right w:val="single" w:sz="4" w:space="0" w:color="auto"/>
            </w:tcBorders>
            <w:shd w:val="clear" w:color="000000" w:fill="FFFFFF"/>
            <w:noWrap/>
            <w:vAlign w:val="bottom"/>
            <w:hideMark/>
          </w:tcPr>
          <w:p w14:paraId="7414EE0A"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867,12</w:t>
            </w:r>
          </w:p>
        </w:tc>
        <w:tc>
          <w:tcPr>
            <w:tcW w:w="933" w:type="dxa"/>
            <w:tcBorders>
              <w:top w:val="nil"/>
              <w:left w:val="nil"/>
              <w:bottom w:val="single" w:sz="4" w:space="0" w:color="auto"/>
              <w:right w:val="single" w:sz="4" w:space="0" w:color="auto"/>
            </w:tcBorders>
            <w:shd w:val="clear" w:color="000000" w:fill="FFFFFF"/>
            <w:noWrap/>
            <w:vAlign w:val="bottom"/>
            <w:hideMark/>
          </w:tcPr>
          <w:p w14:paraId="61FCE101"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327,83</w:t>
            </w:r>
          </w:p>
        </w:tc>
        <w:tc>
          <w:tcPr>
            <w:tcW w:w="933" w:type="dxa"/>
            <w:tcBorders>
              <w:top w:val="nil"/>
              <w:left w:val="nil"/>
              <w:bottom w:val="single" w:sz="4" w:space="0" w:color="auto"/>
              <w:right w:val="single" w:sz="4" w:space="0" w:color="auto"/>
            </w:tcBorders>
            <w:shd w:val="clear" w:color="000000" w:fill="FFFFFF"/>
            <w:noWrap/>
            <w:vAlign w:val="bottom"/>
            <w:hideMark/>
          </w:tcPr>
          <w:p w14:paraId="3D50C871"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564,69</w:t>
            </w:r>
          </w:p>
        </w:tc>
        <w:tc>
          <w:tcPr>
            <w:tcW w:w="883" w:type="dxa"/>
            <w:tcBorders>
              <w:top w:val="nil"/>
              <w:left w:val="nil"/>
              <w:bottom w:val="single" w:sz="4" w:space="0" w:color="auto"/>
              <w:right w:val="single" w:sz="4" w:space="0" w:color="auto"/>
            </w:tcBorders>
            <w:shd w:val="clear" w:color="000000" w:fill="FFFFFF"/>
            <w:noWrap/>
            <w:vAlign w:val="bottom"/>
            <w:hideMark/>
          </w:tcPr>
          <w:p w14:paraId="5F267229"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389,20</w:t>
            </w:r>
          </w:p>
        </w:tc>
        <w:tc>
          <w:tcPr>
            <w:tcW w:w="866" w:type="dxa"/>
            <w:tcBorders>
              <w:top w:val="nil"/>
              <w:left w:val="nil"/>
              <w:bottom w:val="single" w:sz="4" w:space="0" w:color="auto"/>
              <w:right w:val="single" w:sz="4" w:space="0" w:color="auto"/>
            </w:tcBorders>
            <w:shd w:val="clear" w:color="000000" w:fill="FFFFFF"/>
            <w:noWrap/>
            <w:vAlign w:val="bottom"/>
            <w:hideMark/>
          </w:tcPr>
          <w:p w14:paraId="60F68A4D"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387,59</w:t>
            </w:r>
          </w:p>
        </w:tc>
        <w:tc>
          <w:tcPr>
            <w:tcW w:w="844" w:type="dxa"/>
            <w:tcBorders>
              <w:top w:val="nil"/>
              <w:left w:val="nil"/>
              <w:bottom w:val="single" w:sz="4" w:space="0" w:color="auto"/>
              <w:right w:val="single" w:sz="4" w:space="0" w:color="auto"/>
            </w:tcBorders>
            <w:shd w:val="clear" w:color="000000" w:fill="FFFFFF"/>
            <w:noWrap/>
            <w:vAlign w:val="bottom"/>
            <w:hideMark/>
          </w:tcPr>
          <w:p w14:paraId="6D248C07"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-302,43</w:t>
            </w:r>
          </w:p>
        </w:tc>
        <w:tc>
          <w:tcPr>
            <w:tcW w:w="786" w:type="dxa"/>
            <w:tcBorders>
              <w:top w:val="nil"/>
              <w:left w:val="nil"/>
              <w:bottom w:val="single" w:sz="4" w:space="0" w:color="auto"/>
              <w:right w:val="single" w:sz="4" w:space="0" w:color="auto"/>
            </w:tcBorders>
            <w:shd w:val="clear" w:color="000000" w:fill="FFFFFF"/>
            <w:noWrap/>
            <w:vAlign w:val="bottom"/>
            <w:hideMark/>
          </w:tcPr>
          <w:p w14:paraId="2E1CE380"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65,12</w:t>
            </w:r>
          </w:p>
        </w:tc>
        <w:tc>
          <w:tcPr>
            <w:tcW w:w="835" w:type="dxa"/>
            <w:tcBorders>
              <w:top w:val="nil"/>
              <w:left w:val="nil"/>
              <w:bottom w:val="single" w:sz="4" w:space="0" w:color="auto"/>
              <w:right w:val="single" w:sz="4" w:space="0" w:color="auto"/>
            </w:tcBorders>
            <w:shd w:val="clear" w:color="000000" w:fill="FFFFFF"/>
            <w:noWrap/>
            <w:vAlign w:val="bottom"/>
            <w:hideMark/>
          </w:tcPr>
          <w:p w14:paraId="25508230"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236,86</w:t>
            </w:r>
          </w:p>
        </w:tc>
        <w:tc>
          <w:tcPr>
            <w:tcW w:w="786" w:type="dxa"/>
            <w:tcBorders>
              <w:top w:val="nil"/>
              <w:left w:val="nil"/>
              <w:bottom w:val="single" w:sz="4" w:space="0" w:color="auto"/>
              <w:right w:val="single" w:sz="4" w:space="0" w:color="auto"/>
            </w:tcBorders>
            <w:shd w:val="clear" w:color="000000" w:fill="FFFFFF"/>
            <w:noWrap/>
            <w:vAlign w:val="bottom"/>
            <w:hideMark/>
          </w:tcPr>
          <w:p w14:paraId="1C9F395E"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172,25</w:t>
            </w:r>
          </w:p>
        </w:tc>
      </w:tr>
      <w:tr w:rsidR="00827437" w:rsidRPr="00522104" w14:paraId="7CEA3E27" w14:textId="77777777" w:rsidTr="00E40BEE">
        <w:trPr>
          <w:trHeight w:val="560"/>
        </w:trPr>
        <w:tc>
          <w:tcPr>
            <w:tcW w:w="1702" w:type="dxa"/>
            <w:tcBorders>
              <w:top w:val="nil"/>
              <w:left w:val="single" w:sz="4" w:space="0" w:color="auto"/>
              <w:bottom w:val="single" w:sz="4" w:space="0" w:color="auto"/>
              <w:right w:val="single" w:sz="4" w:space="0" w:color="auto"/>
            </w:tcBorders>
            <w:shd w:val="clear" w:color="000000" w:fill="FFFFFF"/>
            <w:vAlign w:val="bottom"/>
          </w:tcPr>
          <w:p w14:paraId="7A449800" w14:textId="77777777" w:rsidR="00827437" w:rsidRPr="00522104" w:rsidRDefault="00827437" w:rsidP="00E40BEE">
            <w:pPr>
              <w:spacing w:after="0" w:line="240" w:lineRule="auto"/>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Федеральный проект "Спорт - норма жизни"</w:t>
            </w:r>
          </w:p>
        </w:tc>
        <w:tc>
          <w:tcPr>
            <w:tcW w:w="958" w:type="dxa"/>
            <w:tcBorders>
              <w:top w:val="nil"/>
              <w:left w:val="nil"/>
              <w:bottom w:val="single" w:sz="4" w:space="0" w:color="auto"/>
              <w:right w:val="single" w:sz="4" w:space="0" w:color="auto"/>
            </w:tcBorders>
            <w:shd w:val="clear" w:color="000000" w:fill="FFFFFF"/>
            <w:noWrap/>
            <w:vAlign w:val="bottom"/>
          </w:tcPr>
          <w:p w14:paraId="34883DBF"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589,91</w:t>
            </w:r>
          </w:p>
        </w:tc>
        <w:tc>
          <w:tcPr>
            <w:tcW w:w="866" w:type="dxa"/>
            <w:tcBorders>
              <w:top w:val="nil"/>
              <w:left w:val="nil"/>
              <w:bottom w:val="single" w:sz="4" w:space="0" w:color="auto"/>
              <w:right w:val="single" w:sz="4" w:space="0" w:color="auto"/>
            </w:tcBorders>
            <w:shd w:val="clear" w:color="000000" w:fill="FFFFFF"/>
            <w:noWrap/>
            <w:vAlign w:val="bottom"/>
          </w:tcPr>
          <w:p w14:paraId="69B5AB11"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674,26</w:t>
            </w:r>
          </w:p>
        </w:tc>
        <w:tc>
          <w:tcPr>
            <w:tcW w:w="933" w:type="dxa"/>
            <w:tcBorders>
              <w:top w:val="nil"/>
              <w:left w:val="nil"/>
              <w:bottom w:val="single" w:sz="4" w:space="0" w:color="auto"/>
              <w:right w:val="single" w:sz="4" w:space="0" w:color="auto"/>
            </w:tcBorders>
            <w:shd w:val="clear" w:color="000000" w:fill="FFFFFF"/>
            <w:noWrap/>
            <w:vAlign w:val="bottom"/>
          </w:tcPr>
          <w:p w14:paraId="79708D7B"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296,89</w:t>
            </w:r>
          </w:p>
        </w:tc>
        <w:tc>
          <w:tcPr>
            <w:tcW w:w="933" w:type="dxa"/>
            <w:tcBorders>
              <w:top w:val="nil"/>
              <w:left w:val="nil"/>
              <w:bottom w:val="single" w:sz="4" w:space="0" w:color="auto"/>
              <w:right w:val="single" w:sz="4" w:space="0" w:color="auto"/>
            </w:tcBorders>
            <w:shd w:val="clear" w:color="000000" w:fill="FFFFFF"/>
            <w:noWrap/>
            <w:vAlign w:val="bottom"/>
          </w:tcPr>
          <w:p w14:paraId="6DF08D82"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474,81</w:t>
            </w:r>
          </w:p>
        </w:tc>
        <w:tc>
          <w:tcPr>
            <w:tcW w:w="883" w:type="dxa"/>
            <w:tcBorders>
              <w:top w:val="nil"/>
              <w:left w:val="nil"/>
              <w:bottom w:val="single" w:sz="4" w:space="0" w:color="auto"/>
              <w:right w:val="single" w:sz="4" w:space="0" w:color="auto"/>
            </w:tcBorders>
            <w:shd w:val="clear" w:color="000000" w:fill="FFFFFF"/>
            <w:noWrap/>
            <w:vAlign w:val="bottom"/>
          </w:tcPr>
          <w:p w14:paraId="4071AEBC"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356,15</w:t>
            </w:r>
          </w:p>
        </w:tc>
        <w:tc>
          <w:tcPr>
            <w:tcW w:w="866" w:type="dxa"/>
            <w:tcBorders>
              <w:top w:val="nil"/>
              <w:left w:val="nil"/>
              <w:bottom w:val="single" w:sz="4" w:space="0" w:color="auto"/>
              <w:right w:val="single" w:sz="4" w:space="0" w:color="auto"/>
            </w:tcBorders>
            <w:shd w:val="clear" w:color="000000" w:fill="FFFFFF"/>
            <w:noWrap/>
            <w:vAlign w:val="bottom"/>
          </w:tcPr>
          <w:p w14:paraId="64493B89"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353,40</w:t>
            </w:r>
          </w:p>
        </w:tc>
        <w:tc>
          <w:tcPr>
            <w:tcW w:w="844" w:type="dxa"/>
            <w:tcBorders>
              <w:top w:val="nil"/>
              <w:left w:val="nil"/>
              <w:bottom w:val="single" w:sz="4" w:space="0" w:color="auto"/>
              <w:right w:val="single" w:sz="4" w:space="0" w:color="auto"/>
            </w:tcBorders>
            <w:shd w:val="clear" w:color="000000" w:fill="FFFFFF"/>
            <w:noWrap/>
            <w:vAlign w:val="bottom"/>
          </w:tcPr>
          <w:p w14:paraId="687DDD6B"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-199,45</w:t>
            </w:r>
          </w:p>
        </w:tc>
        <w:tc>
          <w:tcPr>
            <w:tcW w:w="786" w:type="dxa"/>
            <w:tcBorders>
              <w:top w:val="nil"/>
              <w:left w:val="nil"/>
              <w:bottom w:val="single" w:sz="4" w:space="0" w:color="auto"/>
              <w:right w:val="single" w:sz="4" w:space="0" w:color="auto"/>
            </w:tcBorders>
            <w:shd w:val="clear" w:color="000000" w:fill="FFFFFF"/>
            <w:noWrap/>
            <w:vAlign w:val="bottom"/>
          </w:tcPr>
          <w:p w14:paraId="3FA44C3B"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70,42</w:t>
            </w:r>
          </w:p>
        </w:tc>
        <w:tc>
          <w:tcPr>
            <w:tcW w:w="835" w:type="dxa"/>
            <w:tcBorders>
              <w:top w:val="nil"/>
              <w:left w:val="nil"/>
              <w:bottom w:val="single" w:sz="4" w:space="0" w:color="auto"/>
              <w:right w:val="single" w:sz="4" w:space="0" w:color="auto"/>
            </w:tcBorders>
            <w:shd w:val="clear" w:color="000000" w:fill="FFFFFF"/>
            <w:noWrap/>
            <w:vAlign w:val="bottom"/>
          </w:tcPr>
          <w:p w14:paraId="1D0D3EAA"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177,92</w:t>
            </w:r>
          </w:p>
        </w:tc>
        <w:tc>
          <w:tcPr>
            <w:tcW w:w="786" w:type="dxa"/>
            <w:tcBorders>
              <w:top w:val="nil"/>
              <w:left w:val="nil"/>
              <w:bottom w:val="single" w:sz="4" w:space="0" w:color="auto"/>
              <w:right w:val="single" w:sz="4" w:space="0" w:color="auto"/>
            </w:tcBorders>
            <w:shd w:val="clear" w:color="000000" w:fill="FFFFFF"/>
            <w:noWrap/>
            <w:vAlign w:val="bottom"/>
          </w:tcPr>
          <w:p w14:paraId="2029C153"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159,93</w:t>
            </w:r>
          </w:p>
        </w:tc>
      </w:tr>
      <w:tr w:rsidR="00827437" w:rsidRPr="00522104" w14:paraId="3B52513B" w14:textId="77777777" w:rsidTr="00E40BEE">
        <w:trPr>
          <w:trHeight w:val="383"/>
        </w:trPr>
        <w:tc>
          <w:tcPr>
            <w:tcW w:w="1702" w:type="dxa"/>
            <w:tcBorders>
              <w:top w:val="nil"/>
              <w:left w:val="single" w:sz="4" w:space="0" w:color="auto"/>
              <w:bottom w:val="single" w:sz="4" w:space="0" w:color="auto"/>
              <w:right w:val="single" w:sz="4" w:space="0" w:color="auto"/>
            </w:tcBorders>
            <w:shd w:val="clear" w:color="000000" w:fill="FFFFFF"/>
            <w:hideMark/>
          </w:tcPr>
          <w:p w14:paraId="415F566E" w14:textId="77777777" w:rsidR="00827437" w:rsidRPr="00C655A1" w:rsidRDefault="00827437" w:rsidP="00E40BEE">
            <w:pPr>
              <w:spacing w:after="0" w:line="240" w:lineRule="auto"/>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Подпрограмма "Подготовка спортивного резерва в Приморском крае"</w:t>
            </w:r>
          </w:p>
        </w:tc>
        <w:tc>
          <w:tcPr>
            <w:tcW w:w="958" w:type="dxa"/>
            <w:tcBorders>
              <w:top w:val="nil"/>
              <w:left w:val="nil"/>
              <w:bottom w:val="single" w:sz="4" w:space="0" w:color="auto"/>
              <w:right w:val="single" w:sz="4" w:space="0" w:color="auto"/>
            </w:tcBorders>
            <w:shd w:val="clear" w:color="000000" w:fill="FFFFFF"/>
            <w:noWrap/>
            <w:vAlign w:val="bottom"/>
            <w:hideMark/>
          </w:tcPr>
          <w:p w14:paraId="018381F9"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1208,00</w:t>
            </w:r>
          </w:p>
        </w:tc>
        <w:tc>
          <w:tcPr>
            <w:tcW w:w="866" w:type="dxa"/>
            <w:tcBorders>
              <w:top w:val="nil"/>
              <w:left w:val="nil"/>
              <w:bottom w:val="single" w:sz="4" w:space="0" w:color="auto"/>
              <w:right w:val="single" w:sz="4" w:space="0" w:color="auto"/>
            </w:tcBorders>
            <w:shd w:val="clear" w:color="000000" w:fill="FFFFFF"/>
            <w:noWrap/>
            <w:vAlign w:val="bottom"/>
            <w:hideMark/>
          </w:tcPr>
          <w:p w14:paraId="2D1DCFED"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1379,72</w:t>
            </w:r>
          </w:p>
        </w:tc>
        <w:tc>
          <w:tcPr>
            <w:tcW w:w="933" w:type="dxa"/>
            <w:tcBorders>
              <w:top w:val="nil"/>
              <w:left w:val="nil"/>
              <w:bottom w:val="single" w:sz="4" w:space="0" w:color="auto"/>
              <w:right w:val="single" w:sz="4" w:space="0" w:color="auto"/>
            </w:tcBorders>
            <w:shd w:val="clear" w:color="000000" w:fill="FFFFFF"/>
            <w:noWrap/>
            <w:vAlign w:val="bottom"/>
            <w:hideMark/>
          </w:tcPr>
          <w:p w14:paraId="6BBE7FDA"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1312,47</w:t>
            </w:r>
          </w:p>
        </w:tc>
        <w:tc>
          <w:tcPr>
            <w:tcW w:w="933" w:type="dxa"/>
            <w:tcBorders>
              <w:top w:val="nil"/>
              <w:left w:val="nil"/>
              <w:bottom w:val="single" w:sz="4" w:space="0" w:color="auto"/>
              <w:right w:val="single" w:sz="4" w:space="0" w:color="auto"/>
            </w:tcBorders>
            <w:shd w:val="clear" w:color="000000" w:fill="FFFFFF"/>
            <w:noWrap/>
            <w:vAlign w:val="bottom"/>
            <w:hideMark/>
          </w:tcPr>
          <w:p w14:paraId="063BC1DA"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1854,60</w:t>
            </w:r>
          </w:p>
        </w:tc>
        <w:tc>
          <w:tcPr>
            <w:tcW w:w="883" w:type="dxa"/>
            <w:tcBorders>
              <w:top w:val="nil"/>
              <w:left w:val="nil"/>
              <w:bottom w:val="single" w:sz="4" w:space="0" w:color="auto"/>
              <w:right w:val="single" w:sz="4" w:space="0" w:color="auto"/>
            </w:tcBorders>
            <w:shd w:val="clear" w:color="000000" w:fill="FFFFFF"/>
            <w:noWrap/>
            <w:vAlign w:val="bottom"/>
            <w:hideMark/>
          </w:tcPr>
          <w:p w14:paraId="3D88766D"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913,57</w:t>
            </w:r>
          </w:p>
        </w:tc>
        <w:tc>
          <w:tcPr>
            <w:tcW w:w="866" w:type="dxa"/>
            <w:tcBorders>
              <w:top w:val="nil"/>
              <w:left w:val="nil"/>
              <w:bottom w:val="single" w:sz="4" w:space="0" w:color="auto"/>
              <w:right w:val="single" w:sz="4" w:space="0" w:color="auto"/>
            </w:tcBorders>
            <w:shd w:val="clear" w:color="000000" w:fill="FFFFFF"/>
            <w:noWrap/>
            <w:vAlign w:val="bottom"/>
            <w:hideMark/>
          </w:tcPr>
          <w:p w14:paraId="37341036"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804,89</w:t>
            </w:r>
          </w:p>
        </w:tc>
        <w:tc>
          <w:tcPr>
            <w:tcW w:w="844" w:type="dxa"/>
            <w:tcBorders>
              <w:top w:val="nil"/>
              <w:left w:val="nil"/>
              <w:bottom w:val="single" w:sz="4" w:space="0" w:color="auto"/>
              <w:right w:val="single" w:sz="4" w:space="0" w:color="auto"/>
            </w:tcBorders>
            <w:shd w:val="clear" w:color="000000" w:fill="FFFFFF"/>
            <w:noWrap/>
            <w:vAlign w:val="bottom"/>
            <w:hideMark/>
          </w:tcPr>
          <w:p w14:paraId="635EAE93"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474,88</w:t>
            </w:r>
          </w:p>
        </w:tc>
        <w:tc>
          <w:tcPr>
            <w:tcW w:w="786" w:type="dxa"/>
            <w:tcBorders>
              <w:top w:val="nil"/>
              <w:left w:val="nil"/>
              <w:bottom w:val="single" w:sz="4" w:space="0" w:color="auto"/>
              <w:right w:val="single" w:sz="4" w:space="0" w:color="auto"/>
            </w:tcBorders>
            <w:shd w:val="clear" w:color="000000" w:fill="FFFFFF"/>
            <w:noWrap/>
            <w:vAlign w:val="bottom"/>
            <w:hideMark/>
          </w:tcPr>
          <w:p w14:paraId="425C17C4"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134,42</w:t>
            </w:r>
          </w:p>
        </w:tc>
        <w:tc>
          <w:tcPr>
            <w:tcW w:w="835" w:type="dxa"/>
            <w:tcBorders>
              <w:top w:val="nil"/>
              <w:left w:val="nil"/>
              <w:bottom w:val="single" w:sz="4" w:space="0" w:color="auto"/>
              <w:right w:val="single" w:sz="4" w:space="0" w:color="auto"/>
            </w:tcBorders>
            <w:shd w:val="clear" w:color="000000" w:fill="FFFFFF"/>
            <w:noWrap/>
            <w:vAlign w:val="bottom"/>
            <w:hideMark/>
          </w:tcPr>
          <w:p w14:paraId="6208964A"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542,13</w:t>
            </w:r>
          </w:p>
        </w:tc>
        <w:tc>
          <w:tcPr>
            <w:tcW w:w="786" w:type="dxa"/>
            <w:tcBorders>
              <w:top w:val="nil"/>
              <w:left w:val="nil"/>
              <w:bottom w:val="single" w:sz="4" w:space="0" w:color="auto"/>
              <w:right w:val="single" w:sz="4" w:space="0" w:color="auto"/>
            </w:tcBorders>
            <w:shd w:val="clear" w:color="000000" w:fill="FFFFFF"/>
            <w:noWrap/>
            <w:vAlign w:val="bottom"/>
            <w:hideMark/>
          </w:tcPr>
          <w:p w14:paraId="7E7A77C9"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141,31</w:t>
            </w:r>
          </w:p>
        </w:tc>
      </w:tr>
      <w:tr w:rsidR="00827437" w:rsidRPr="00522104" w14:paraId="7EDBA625" w14:textId="77777777" w:rsidTr="00E40BEE">
        <w:trPr>
          <w:trHeight w:val="525"/>
        </w:trPr>
        <w:tc>
          <w:tcPr>
            <w:tcW w:w="1702" w:type="dxa"/>
            <w:tcBorders>
              <w:top w:val="nil"/>
              <w:left w:val="single" w:sz="4" w:space="0" w:color="auto"/>
              <w:bottom w:val="single" w:sz="4" w:space="0" w:color="auto"/>
              <w:right w:val="single" w:sz="4" w:space="0" w:color="auto"/>
            </w:tcBorders>
            <w:shd w:val="clear" w:color="000000" w:fill="FFFFFF"/>
            <w:vAlign w:val="bottom"/>
          </w:tcPr>
          <w:p w14:paraId="60031DF9" w14:textId="77777777" w:rsidR="00827437" w:rsidRPr="00522104" w:rsidRDefault="00827437" w:rsidP="00E40BEE">
            <w:pPr>
              <w:spacing w:after="0" w:line="240" w:lineRule="auto"/>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Федеральный проект "Спорт - норма жизни"</w:t>
            </w:r>
          </w:p>
        </w:tc>
        <w:tc>
          <w:tcPr>
            <w:tcW w:w="958" w:type="dxa"/>
            <w:tcBorders>
              <w:top w:val="nil"/>
              <w:left w:val="nil"/>
              <w:bottom w:val="single" w:sz="4" w:space="0" w:color="auto"/>
              <w:right w:val="single" w:sz="4" w:space="0" w:color="auto"/>
            </w:tcBorders>
            <w:shd w:val="clear" w:color="000000" w:fill="FFFFFF"/>
            <w:noWrap/>
            <w:vAlign w:val="bottom"/>
          </w:tcPr>
          <w:p w14:paraId="72A1B59E"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714,68</w:t>
            </w:r>
          </w:p>
        </w:tc>
        <w:tc>
          <w:tcPr>
            <w:tcW w:w="866" w:type="dxa"/>
            <w:tcBorders>
              <w:top w:val="nil"/>
              <w:left w:val="nil"/>
              <w:bottom w:val="single" w:sz="4" w:space="0" w:color="auto"/>
              <w:right w:val="single" w:sz="4" w:space="0" w:color="auto"/>
            </w:tcBorders>
            <w:shd w:val="clear" w:color="000000" w:fill="FFFFFF"/>
            <w:noWrap/>
            <w:vAlign w:val="bottom"/>
          </w:tcPr>
          <w:p w14:paraId="40C15846"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813,47</w:t>
            </w:r>
          </w:p>
        </w:tc>
        <w:tc>
          <w:tcPr>
            <w:tcW w:w="933" w:type="dxa"/>
            <w:tcBorders>
              <w:top w:val="nil"/>
              <w:left w:val="nil"/>
              <w:bottom w:val="single" w:sz="4" w:space="0" w:color="auto"/>
              <w:right w:val="single" w:sz="4" w:space="0" w:color="auto"/>
            </w:tcBorders>
            <w:shd w:val="clear" w:color="000000" w:fill="FFFFFF"/>
            <w:noWrap/>
            <w:vAlign w:val="bottom"/>
          </w:tcPr>
          <w:p w14:paraId="5464423B"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969,37</w:t>
            </w:r>
          </w:p>
        </w:tc>
        <w:tc>
          <w:tcPr>
            <w:tcW w:w="933" w:type="dxa"/>
            <w:tcBorders>
              <w:top w:val="nil"/>
              <w:left w:val="nil"/>
              <w:bottom w:val="single" w:sz="4" w:space="0" w:color="auto"/>
              <w:right w:val="single" w:sz="4" w:space="0" w:color="auto"/>
            </w:tcBorders>
            <w:shd w:val="clear" w:color="000000" w:fill="FFFFFF"/>
            <w:noWrap/>
            <w:vAlign w:val="bottom"/>
          </w:tcPr>
          <w:p w14:paraId="254DB23E"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1183,34</w:t>
            </w:r>
          </w:p>
        </w:tc>
        <w:tc>
          <w:tcPr>
            <w:tcW w:w="883" w:type="dxa"/>
            <w:tcBorders>
              <w:top w:val="nil"/>
              <w:left w:val="nil"/>
              <w:bottom w:val="single" w:sz="4" w:space="0" w:color="auto"/>
              <w:right w:val="single" w:sz="4" w:space="0" w:color="auto"/>
            </w:tcBorders>
            <w:shd w:val="clear" w:color="000000" w:fill="FFFFFF"/>
            <w:noWrap/>
            <w:vAlign w:val="bottom"/>
          </w:tcPr>
          <w:p w14:paraId="30BBC213" w14:textId="77777777" w:rsidR="00827437" w:rsidRPr="00522104"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522104">
              <w:rPr>
                <w:rFonts w:ascii="Times New Roman" w:eastAsia="Times New Roman" w:hAnsi="Times New Roman" w:cs="Times New Roman"/>
                <w:i/>
                <w:iCs/>
                <w:color w:val="000000"/>
                <w:sz w:val="20"/>
                <w:szCs w:val="20"/>
                <w:lang w:eastAsia="ru-RU"/>
              </w:rPr>
              <w:t>707,78</w:t>
            </w:r>
          </w:p>
        </w:tc>
        <w:tc>
          <w:tcPr>
            <w:tcW w:w="866" w:type="dxa"/>
            <w:tcBorders>
              <w:top w:val="nil"/>
              <w:left w:val="nil"/>
              <w:bottom w:val="single" w:sz="4" w:space="0" w:color="auto"/>
              <w:right w:val="single" w:sz="4" w:space="0" w:color="auto"/>
            </w:tcBorders>
            <w:shd w:val="clear" w:color="000000" w:fill="FFFFFF"/>
            <w:noWrap/>
            <w:vAlign w:val="bottom"/>
          </w:tcPr>
          <w:p w14:paraId="2E112CAB" w14:textId="77777777" w:rsidR="00827437" w:rsidRPr="00C655A1" w:rsidRDefault="00827437" w:rsidP="00E40BEE">
            <w:pPr>
              <w:spacing w:after="0" w:line="240" w:lineRule="auto"/>
              <w:jc w:val="right"/>
              <w:rPr>
                <w:rFonts w:ascii="Times New Roman" w:eastAsia="Times New Roman" w:hAnsi="Times New Roman" w:cs="Times New Roman"/>
                <w:i/>
                <w:iCs/>
                <w:color w:val="000000"/>
                <w:sz w:val="20"/>
                <w:szCs w:val="20"/>
                <w:lang w:eastAsia="ru-RU"/>
              </w:rPr>
            </w:pPr>
            <w:r w:rsidRPr="00C655A1">
              <w:rPr>
                <w:rFonts w:ascii="Times New Roman" w:eastAsia="Times New Roman" w:hAnsi="Times New Roman" w:cs="Times New Roman"/>
                <w:i/>
                <w:iCs/>
                <w:color w:val="000000"/>
                <w:sz w:val="20"/>
                <w:szCs w:val="20"/>
                <w:lang w:eastAsia="ru-RU"/>
              </w:rPr>
              <w:t>598,76</w:t>
            </w:r>
          </w:p>
        </w:tc>
        <w:tc>
          <w:tcPr>
            <w:tcW w:w="844" w:type="dxa"/>
            <w:tcBorders>
              <w:top w:val="nil"/>
              <w:left w:val="nil"/>
              <w:bottom w:val="single" w:sz="4" w:space="0" w:color="auto"/>
              <w:right w:val="single" w:sz="4" w:space="0" w:color="auto"/>
            </w:tcBorders>
            <w:shd w:val="clear" w:color="000000" w:fill="FFFFFF"/>
            <w:noWrap/>
            <w:vAlign w:val="bottom"/>
          </w:tcPr>
          <w:p w14:paraId="63EB66D3"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369,87</w:t>
            </w:r>
          </w:p>
        </w:tc>
        <w:tc>
          <w:tcPr>
            <w:tcW w:w="786" w:type="dxa"/>
            <w:tcBorders>
              <w:top w:val="nil"/>
              <w:left w:val="nil"/>
              <w:bottom w:val="single" w:sz="4" w:space="0" w:color="auto"/>
              <w:right w:val="single" w:sz="4" w:space="0" w:color="auto"/>
            </w:tcBorders>
            <w:shd w:val="clear" w:color="000000" w:fill="FFFFFF"/>
            <w:noWrap/>
            <w:vAlign w:val="bottom"/>
          </w:tcPr>
          <w:p w14:paraId="58D48A29"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145,47</w:t>
            </w:r>
          </w:p>
        </w:tc>
        <w:tc>
          <w:tcPr>
            <w:tcW w:w="835" w:type="dxa"/>
            <w:tcBorders>
              <w:top w:val="nil"/>
              <w:left w:val="nil"/>
              <w:bottom w:val="single" w:sz="4" w:space="0" w:color="auto"/>
              <w:right w:val="single" w:sz="4" w:space="0" w:color="auto"/>
            </w:tcBorders>
            <w:shd w:val="clear" w:color="000000" w:fill="FFFFFF"/>
            <w:noWrap/>
            <w:vAlign w:val="bottom"/>
          </w:tcPr>
          <w:p w14:paraId="6CC53B1B"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213,97</w:t>
            </w:r>
          </w:p>
        </w:tc>
        <w:tc>
          <w:tcPr>
            <w:tcW w:w="786" w:type="dxa"/>
            <w:tcBorders>
              <w:top w:val="nil"/>
              <w:left w:val="nil"/>
              <w:bottom w:val="single" w:sz="4" w:space="0" w:color="auto"/>
              <w:right w:val="single" w:sz="4" w:space="0" w:color="auto"/>
            </w:tcBorders>
            <w:shd w:val="clear" w:color="000000" w:fill="FFFFFF"/>
            <w:noWrap/>
            <w:vAlign w:val="bottom"/>
          </w:tcPr>
          <w:p w14:paraId="65797072" w14:textId="77777777" w:rsidR="00827437" w:rsidRPr="00C655A1" w:rsidRDefault="00827437" w:rsidP="00E40BEE">
            <w:pPr>
              <w:spacing w:after="0" w:line="240" w:lineRule="auto"/>
              <w:jc w:val="right"/>
              <w:rPr>
                <w:rFonts w:ascii="Times New Roman" w:eastAsia="Times New Roman" w:hAnsi="Times New Roman" w:cs="Times New Roman"/>
                <w:i/>
                <w:color w:val="000000"/>
                <w:sz w:val="20"/>
                <w:szCs w:val="20"/>
                <w:lang w:eastAsia="ru-RU"/>
              </w:rPr>
            </w:pPr>
            <w:r w:rsidRPr="00C655A1">
              <w:rPr>
                <w:rFonts w:ascii="Times New Roman" w:eastAsia="Times New Roman" w:hAnsi="Times New Roman" w:cs="Times New Roman"/>
                <w:i/>
                <w:color w:val="000000"/>
                <w:sz w:val="20"/>
                <w:szCs w:val="20"/>
                <w:lang w:eastAsia="ru-RU"/>
              </w:rPr>
              <w:t>122,07</w:t>
            </w:r>
          </w:p>
        </w:tc>
      </w:tr>
      <w:tr w:rsidR="00827437" w:rsidRPr="00522104" w14:paraId="157E06AD" w14:textId="77777777" w:rsidTr="00E40BEE">
        <w:trPr>
          <w:trHeight w:val="765"/>
        </w:trPr>
        <w:tc>
          <w:tcPr>
            <w:tcW w:w="1702" w:type="dxa"/>
            <w:tcBorders>
              <w:top w:val="nil"/>
              <w:left w:val="single" w:sz="4" w:space="0" w:color="auto"/>
              <w:bottom w:val="single" w:sz="4" w:space="0" w:color="auto"/>
              <w:right w:val="single" w:sz="4" w:space="0" w:color="auto"/>
            </w:tcBorders>
            <w:shd w:val="clear" w:color="000000" w:fill="FFFFFF"/>
            <w:hideMark/>
          </w:tcPr>
          <w:p w14:paraId="4B81C663" w14:textId="77777777" w:rsidR="00827437" w:rsidRPr="00C655A1" w:rsidRDefault="00827437" w:rsidP="00E40BEE">
            <w:pPr>
              <w:spacing w:after="0" w:line="240" w:lineRule="auto"/>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Подпрограмма "Развитие спорта высших достижений в Приморском крае"</w:t>
            </w:r>
          </w:p>
        </w:tc>
        <w:tc>
          <w:tcPr>
            <w:tcW w:w="958" w:type="dxa"/>
            <w:tcBorders>
              <w:top w:val="nil"/>
              <w:left w:val="nil"/>
              <w:bottom w:val="single" w:sz="4" w:space="0" w:color="auto"/>
              <w:right w:val="single" w:sz="4" w:space="0" w:color="auto"/>
            </w:tcBorders>
            <w:shd w:val="clear" w:color="000000" w:fill="FFFFFF"/>
            <w:noWrap/>
            <w:vAlign w:val="bottom"/>
            <w:hideMark/>
          </w:tcPr>
          <w:p w14:paraId="4CA4A200"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723,10</w:t>
            </w:r>
          </w:p>
        </w:tc>
        <w:tc>
          <w:tcPr>
            <w:tcW w:w="866" w:type="dxa"/>
            <w:tcBorders>
              <w:top w:val="nil"/>
              <w:left w:val="nil"/>
              <w:bottom w:val="single" w:sz="4" w:space="0" w:color="auto"/>
              <w:right w:val="single" w:sz="4" w:space="0" w:color="auto"/>
            </w:tcBorders>
            <w:shd w:val="clear" w:color="000000" w:fill="FFFFFF"/>
            <w:noWrap/>
            <w:vAlign w:val="bottom"/>
            <w:hideMark/>
          </w:tcPr>
          <w:p w14:paraId="62E7B244"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669,21</w:t>
            </w:r>
          </w:p>
        </w:tc>
        <w:tc>
          <w:tcPr>
            <w:tcW w:w="933" w:type="dxa"/>
            <w:tcBorders>
              <w:top w:val="nil"/>
              <w:left w:val="nil"/>
              <w:bottom w:val="single" w:sz="4" w:space="0" w:color="auto"/>
              <w:right w:val="single" w:sz="4" w:space="0" w:color="auto"/>
            </w:tcBorders>
            <w:shd w:val="clear" w:color="000000" w:fill="FFFFFF"/>
            <w:noWrap/>
            <w:vAlign w:val="bottom"/>
            <w:hideMark/>
          </w:tcPr>
          <w:p w14:paraId="6DAEB37E"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939,97</w:t>
            </w:r>
          </w:p>
        </w:tc>
        <w:tc>
          <w:tcPr>
            <w:tcW w:w="933" w:type="dxa"/>
            <w:tcBorders>
              <w:top w:val="nil"/>
              <w:left w:val="nil"/>
              <w:bottom w:val="single" w:sz="4" w:space="0" w:color="auto"/>
              <w:right w:val="single" w:sz="4" w:space="0" w:color="auto"/>
            </w:tcBorders>
            <w:shd w:val="clear" w:color="000000" w:fill="FFFFFF"/>
            <w:noWrap/>
            <w:vAlign w:val="bottom"/>
            <w:hideMark/>
          </w:tcPr>
          <w:p w14:paraId="6228CBFA"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928,73</w:t>
            </w:r>
          </w:p>
        </w:tc>
        <w:tc>
          <w:tcPr>
            <w:tcW w:w="883" w:type="dxa"/>
            <w:tcBorders>
              <w:top w:val="nil"/>
              <w:left w:val="nil"/>
              <w:bottom w:val="single" w:sz="4" w:space="0" w:color="auto"/>
              <w:right w:val="single" w:sz="4" w:space="0" w:color="auto"/>
            </w:tcBorders>
            <w:shd w:val="clear" w:color="000000" w:fill="FFFFFF"/>
            <w:noWrap/>
            <w:vAlign w:val="bottom"/>
            <w:hideMark/>
          </w:tcPr>
          <w:p w14:paraId="5226228A"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934,20</w:t>
            </w:r>
          </w:p>
        </w:tc>
        <w:tc>
          <w:tcPr>
            <w:tcW w:w="866" w:type="dxa"/>
            <w:tcBorders>
              <w:top w:val="nil"/>
              <w:left w:val="nil"/>
              <w:bottom w:val="single" w:sz="4" w:space="0" w:color="auto"/>
              <w:right w:val="single" w:sz="4" w:space="0" w:color="auto"/>
            </w:tcBorders>
            <w:shd w:val="clear" w:color="000000" w:fill="FFFFFF"/>
            <w:noWrap/>
            <w:vAlign w:val="bottom"/>
            <w:hideMark/>
          </w:tcPr>
          <w:p w14:paraId="1C07F77B"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936,26</w:t>
            </w:r>
          </w:p>
        </w:tc>
        <w:tc>
          <w:tcPr>
            <w:tcW w:w="844" w:type="dxa"/>
            <w:tcBorders>
              <w:top w:val="nil"/>
              <w:left w:val="nil"/>
              <w:bottom w:val="single" w:sz="4" w:space="0" w:color="auto"/>
              <w:right w:val="single" w:sz="4" w:space="0" w:color="auto"/>
            </w:tcBorders>
            <w:shd w:val="clear" w:color="000000" w:fill="FFFFFF"/>
            <w:noWrap/>
            <w:vAlign w:val="bottom"/>
            <w:hideMark/>
          </w:tcPr>
          <w:p w14:paraId="78ADDA02"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259,52</w:t>
            </w:r>
          </w:p>
        </w:tc>
        <w:tc>
          <w:tcPr>
            <w:tcW w:w="786" w:type="dxa"/>
            <w:tcBorders>
              <w:top w:val="nil"/>
              <w:left w:val="nil"/>
              <w:bottom w:val="single" w:sz="4" w:space="0" w:color="auto"/>
              <w:right w:val="single" w:sz="4" w:space="0" w:color="auto"/>
            </w:tcBorders>
            <w:shd w:val="clear" w:color="000000" w:fill="FFFFFF"/>
            <w:noWrap/>
            <w:vAlign w:val="bottom"/>
            <w:hideMark/>
          </w:tcPr>
          <w:p w14:paraId="40918500"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138,78</w:t>
            </w:r>
          </w:p>
        </w:tc>
        <w:tc>
          <w:tcPr>
            <w:tcW w:w="835" w:type="dxa"/>
            <w:tcBorders>
              <w:top w:val="nil"/>
              <w:left w:val="nil"/>
              <w:bottom w:val="single" w:sz="4" w:space="0" w:color="auto"/>
              <w:right w:val="single" w:sz="4" w:space="0" w:color="auto"/>
            </w:tcBorders>
            <w:shd w:val="clear" w:color="000000" w:fill="FFFFFF"/>
            <w:noWrap/>
            <w:vAlign w:val="bottom"/>
            <w:hideMark/>
          </w:tcPr>
          <w:p w14:paraId="29A817A9"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-11,24</w:t>
            </w:r>
          </w:p>
        </w:tc>
        <w:tc>
          <w:tcPr>
            <w:tcW w:w="786" w:type="dxa"/>
            <w:tcBorders>
              <w:top w:val="nil"/>
              <w:left w:val="nil"/>
              <w:bottom w:val="single" w:sz="4" w:space="0" w:color="auto"/>
              <w:right w:val="single" w:sz="4" w:space="0" w:color="auto"/>
            </w:tcBorders>
            <w:shd w:val="clear" w:color="000000" w:fill="FFFFFF"/>
            <w:noWrap/>
            <w:vAlign w:val="bottom"/>
            <w:hideMark/>
          </w:tcPr>
          <w:p w14:paraId="30A06CE3" w14:textId="77777777" w:rsidR="00827437" w:rsidRPr="00C655A1"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C655A1">
              <w:rPr>
                <w:rFonts w:ascii="Times New Roman" w:eastAsia="Times New Roman" w:hAnsi="Times New Roman" w:cs="Times New Roman"/>
                <w:color w:val="000000"/>
                <w:sz w:val="20"/>
                <w:szCs w:val="20"/>
                <w:lang w:eastAsia="ru-RU"/>
              </w:rPr>
              <w:t>98,80</w:t>
            </w:r>
          </w:p>
        </w:tc>
      </w:tr>
    </w:tbl>
    <w:p w14:paraId="1ED2D5E5" w14:textId="77777777" w:rsidR="00827437" w:rsidRPr="00522104" w:rsidRDefault="00827437" w:rsidP="00827437">
      <w:pPr>
        <w:spacing w:after="0" w:line="240" w:lineRule="auto"/>
        <w:ind w:firstLine="709"/>
        <w:jc w:val="both"/>
        <w:rPr>
          <w:rFonts w:ascii="Times New Roman" w:eastAsia="Times New Roman" w:hAnsi="Times New Roman" w:cs="Times New Roman"/>
          <w:i/>
          <w:sz w:val="28"/>
          <w:szCs w:val="24"/>
          <w:lang w:eastAsia="ru-RU"/>
        </w:rPr>
      </w:pPr>
    </w:p>
    <w:p w14:paraId="19646AC4" w14:textId="1F52B57C"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color w:val="000000"/>
          <w:sz w:val="28"/>
          <w:szCs w:val="28"/>
          <w:lang w:eastAsia="ru-RU"/>
        </w:rPr>
        <w:t>По подпрограмме "Развитие массовой физической культуры и спорта в Приморском крае"</w:t>
      </w:r>
      <w:r w:rsidRPr="00522104">
        <w:rPr>
          <w:rFonts w:ascii="Times New Roman" w:eastAsia="Times New Roman" w:hAnsi="Times New Roman" w:cs="Times New Roman"/>
          <w:b/>
          <w:color w:val="000000"/>
          <w:sz w:val="28"/>
          <w:szCs w:val="28"/>
          <w:lang w:eastAsia="ru-RU"/>
        </w:rPr>
        <w:t xml:space="preserve"> </w:t>
      </w:r>
      <w:r w:rsidRPr="00522104">
        <w:rPr>
          <w:rFonts w:ascii="Times New Roman" w:eastAsia="Times New Roman" w:hAnsi="Times New Roman" w:cs="Times New Roman"/>
          <w:sz w:val="28"/>
          <w:szCs w:val="28"/>
          <w:lang w:eastAsia="ru-RU"/>
        </w:rPr>
        <w:t>в целом планируется увеличение расходов по сравнению с утвержденными назначениями на 767,75 млн рублей (с 2580,27</w:t>
      </w:r>
      <w:r w:rsidR="009A3B8D"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млн рублей до 3348,02 млн рублей), на 2021 год – на 431,97 млн рублей (в 2021 году – 2916,05 млн рублей). </w:t>
      </w:r>
    </w:p>
    <w:p w14:paraId="3C609A00"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законопроекте на 2022 год: </w:t>
      </w:r>
    </w:p>
    <w:p w14:paraId="6100BFB3" w14:textId="5023444B" w:rsidR="00827437" w:rsidRPr="00522104" w:rsidRDefault="00827437" w:rsidP="00827437">
      <w:pPr>
        <w:spacing w:after="0" w:line="240" w:lineRule="auto"/>
        <w:ind w:firstLine="709"/>
        <w:jc w:val="both"/>
        <w:rPr>
          <w:rFonts w:ascii="Times New Roman" w:hAnsi="Times New Roman" w:cs="Times New Roman"/>
          <w:color w:val="000000"/>
          <w:sz w:val="28"/>
          <w:szCs w:val="28"/>
          <w:lang w:eastAsia="x-none"/>
        </w:rPr>
      </w:pPr>
      <w:r w:rsidRPr="00522104">
        <w:rPr>
          <w:rFonts w:ascii="Times New Roman" w:eastAsia="Times New Roman" w:hAnsi="Times New Roman" w:cs="Times New Roman"/>
          <w:sz w:val="28"/>
          <w:szCs w:val="28"/>
          <w:lang w:eastAsia="ru-RU"/>
        </w:rPr>
        <w:t>включены расходы</w:t>
      </w:r>
      <w:r w:rsidRPr="00522104">
        <w:rPr>
          <w:rFonts w:ascii="Times New Roman" w:eastAsia="Times New Roman" w:hAnsi="Times New Roman" w:cs="Times New Roman"/>
          <w:i/>
          <w:sz w:val="28"/>
          <w:szCs w:val="28"/>
          <w:lang w:eastAsia="ru-RU"/>
        </w:rPr>
        <w:t xml:space="preserve"> </w:t>
      </w:r>
      <w:r w:rsidRPr="00522104">
        <w:rPr>
          <w:rFonts w:ascii="Times New Roman" w:hAnsi="Times New Roman" w:cs="Times New Roman"/>
          <w:color w:val="000000"/>
          <w:sz w:val="28"/>
          <w:szCs w:val="28"/>
          <w:lang w:eastAsia="x-none"/>
        </w:rPr>
        <w:t xml:space="preserve">на капитальный ремонт объектов спорта муниципальной собственности, задействованных в проведении </w:t>
      </w:r>
      <w:r w:rsidRPr="00522104">
        <w:rPr>
          <w:rFonts w:ascii="Times New Roman" w:hAnsi="Times New Roman" w:cs="Times New Roman"/>
          <w:color w:val="000000"/>
          <w:sz w:val="28"/>
          <w:szCs w:val="28"/>
          <w:lang w:val="en-US" w:eastAsia="x-none"/>
        </w:rPr>
        <w:t>VII</w:t>
      </w:r>
      <w:r w:rsidRPr="00522104">
        <w:rPr>
          <w:rFonts w:ascii="Times New Roman" w:hAnsi="Times New Roman" w:cs="Times New Roman"/>
          <w:color w:val="000000"/>
          <w:sz w:val="28"/>
          <w:szCs w:val="28"/>
          <w:lang w:eastAsia="x-none"/>
        </w:rPr>
        <w:t xml:space="preserve"> Международных спортивных игр "Дети Азии" </w:t>
      </w:r>
      <w:r w:rsidR="009A3B8D" w:rsidRPr="00522104">
        <w:rPr>
          <w:rFonts w:ascii="Times New Roman" w:hAnsi="Times New Roman" w:cs="Times New Roman"/>
          <w:color w:val="000000"/>
          <w:sz w:val="28"/>
          <w:szCs w:val="28"/>
          <w:lang w:eastAsia="x-none"/>
        </w:rPr>
        <w:t>–</w:t>
      </w:r>
      <w:r w:rsidRPr="00522104">
        <w:rPr>
          <w:rFonts w:ascii="Times New Roman" w:hAnsi="Times New Roman" w:cs="Times New Roman"/>
          <w:color w:val="000000"/>
          <w:sz w:val="28"/>
          <w:szCs w:val="28"/>
          <w:lang w:eastAsia="x-none"/>
        </w:rPr>
        <w:t xml:space="preserve"> 15,91 млн рублей;</w:t>
      </w:r>
    </w:p>
    <w:p w14:paraId="74C71DBA" w14:textId="239E339D" w:rsidR="00827437" w:rsidRPr="00522104" w:rsidRDefault="00827437" w:rsidP="00827437">
      <w:pPr>
        <w:spacing w:after="0" w:line="240" w:lineRule="auto"/>
        <w:ind w:firstLine="709"/>
        <w:jc w:val="both"/>
        <w:rPr>
          <w:rFonts w:ascii="Times New Roman" w:hAnsi="Times New Roman" w:cs="Times New Roman"/>
          <w:color w:val="000000"/>
          <w:sz w:val="28"/>
          <w:szCs w:val="28"/>
          <w:lang w:eastAsia="x-none"/>
        </w:rPr>
      </w:pPr>
      <w:r w:rsidRPr="00522104">
        <w:rPr>
          <w:rFonts w:ascii="Times New Roman" w:hAnsi="Times New Roman" w:cs="Times New Roman"/>
          <w:color w:val="000000"/>
          <w:sz w:val="28"/>
          <w:szCs w:val="28"/>
          <w:lang w:eastAsia="x-none"/>
        </w:rPr>
        <w:t>увеличены на 24,19 млн рублей по сравнению с утвержденными назначениям на 2021 год (21,32 млн рублей) и составили 45,51 млн рублей субсидии на обеспечение уставной деятельности автономной некоммерческой организации "Дирекция по проведению VII Международных спортивных игр "Дети Азии".</w:t>
      </w:r>
    </w:p>
    <w:p w14:paraId="15CC5166" w14:textId="3A43B874"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Не запланированы на 2022 год в связи с планируемым завершением в 2021 году бюджетные ассигнования на:</w:t>
      </w:r>
    </w:p>
    <w:p w14:paraId="5A5B6E06" w14:textId="6FB4EEA7" w:rsidR="00827437" w:rsidRPr="00522104" w:rsidRDefault="00827437" w:rsidP="00827437">
      <w:pPr>
        <w:widowControl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 За 9 месяцев 2021 года исполнено 12,15 млн рублей, или 99,67 % (план на 2021 год 12,19 млн рублей);</w:t>
      </w:r>
    </w:p>
    <w:p w14:paraId="0098D053" w14:textId="76CFB261" w:rsidR="00827437" w:rsidRPr="00522104" w:rsidRDefault="00827437" w:rsidP="00827437">
      <w:pPr>
        <w:widowControl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субсидии краевым государственным бюджетным и автономным учреждениям на иные цели (проведение спортивных мероприятий в рамках ВЭФ). За 9 месяцев 2021 года исполнено 1,47 млн рублей, или 20,98 %</w:t>
      </w:r>
      <w:r w:rsidR="009A3B8D"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при плане 7,00 млн рублей);</w:t>
      </w:r>
    </w:p>
    <w:p w14:paraId="017CA219" w14:textId="77777777" w:rsidR="00827437" w:rsidRPr="00522104" w:rsidRDefault="00827437" w:rsidP="00827437">
      <w:pPr>
        <w:widowControl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содержание объектов физической культуры и спорта в период передачи в эксплуатацию (утверждено Законом № 969-КЗ на 2022 год – 3,5 млн рублей, на 2021 год – 0,83 млн рублей. Исполнено за 9 месяцев 2021 – 0,81 млн рублей, или 97,37 %);</w:t>
      </w:r>
    </w:p>
    <w:p w14:paraId="2563576D" w14:textId="77777777" w:rsidR="00827437" w:rsidRPr="00522104" w:rsidRDefault="00827437" w:rsidP="00827437">
      <w:pPr>
        <w:tabs>
          <w:tab w:val="left" w:pos="5595"/>
        </w:tabs>
        <w:spacing w:after="0" w:line="240" w:lineRule="auto"/>
        <w:ind w:firstLine="709"/>
        <w:jc w:val="both"/>
        <w:rPr>
          <w:rFonts w:ascii="Times New Roman" w:hAnsi="Times New Roman" w:cs="Times New Roman"/>
          <w:color w:val="000000"/>
          <w:sz w:val="28"/>
          <w:szCs w:val="28"/>
        </w:rPr>
      </w:pPr>
      <w:r w:rsidRPr="00522104">
        <w:rPr>
          <w:rFonts w:ascii="Times New Roman" w:eastAsia="Times New Roman" w:hAnsi="Times New Roman" w:cs="Times New Roman"/>
          <w:sz w:val="28"/>
          <w:szCs w:val="28"/>
          <w:lang w:eastAsia="ru-RU"/>
        </w:rPr>
        <w:t xml:space="preserve">субсидии бюджетам муниципальных образований Приморского края </w:t>
      </w:r>
      <w:r w:rsidRPr="00522104">
        <w:rPr>
          <w:rFonts w:ascii="Times New Roman" w:hAnsi="Times New Roman" w:cs="Times New Roman"/>
          <w:color w:val="000000"/>
          <w:sz w:val="28"/>
          <w:szCs w:val="28"/>
        </w:rPr>
        <w:t xml:space="preserve">на строительство, реконструкцию объектов спортивной инфраструктуры муниципальной собственности и оснащение объектов спортивной инфраструктуры муниципальной собственности спортивно-технологическим оборудованием согласно плану социального развития центров экономического роста Приморского края. </w:t>
      </w:r>
    </w:p>
    <w:p w14:paraId="6F1DB45E" w14:textId="222407DF" w:rsidR="00827437" w:rsidRPr="00522104" w:rsidRDefault="00827437" w:rsidP="00827437">
      <w:pPr>
        <w:tabs>
          <w:tab w:val="left" w:pos="5595"/>
        </w:tabs>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hAnsi="Times New Roman" w:cs="Times New Roman"/>
          <w:color w:val="000000"/>
          <w:sz w:val="28"/>
          <w:szCs w:val="28"/>
        </w:rPr>
        <w:t xml:space="preserve">Справочно: </w:t>
      </w:r>
      <w:r w:rsidR="00B16DCF" w:rsidRPr="00522104">
        <w:rPr>
          <w:rFonts w:ascii="Times New Roman" w:hAnsi="Times New Roman" w:cs="Times New Roman"/>
          <w:i/>
          <w:color w:val="000000"/>
          <w:sz w:val="28"/>
          <w:szCs w:val="28"/>
        </w:rPr>
        <w:t>в</w:t>
      </w:r>
      <w:r w:rsidRPr="00522104">
        <w:rPr>
          <w:rFonts w:ascii="Times New Roman" w:hAnsi="Times New Roman" w:cs="Times New Roman"/>
          <w:i/>
          <w:color w:val="000000"/>
          <w:sz w:val="28"/>
          <w:szCs w:val="28"/>
        </w:rPr>
        <w:t xml:space="preserve"> 2021 году</w:t>
      </w:r>
      <w:r w:rsidRPr="00522104">
        <w:rPr>
          <w:rFonts w:ascii="Times New Roman" w:eastAsia="Times New Roman" w:hAnsi="Times New Roman" w:cs="Times New Roman"/>
          <w:i/>
          <w:sz w:val="28"/>
          <w:szCs w:val="28"/>
          <w:lang w:eastAsia="ru-RU"/>
        </w:rPr>
        <w:t xml:space="preserve"> планируются расходы за счет средств федерального и краевого бюджета в объеме 122,44 млн рублей, </w:t>
      </w:r>
      <w:r w:rsidR="00B16DCF" w:rsidRPr="00522104">
        <w:rPr>
          <w:rFonts w:ascii="Times New Roman" w:eastAsia="Times New Roman" w:hAnsi="Times New Roman" w:cs="Times New Roman"/>
          <w:i/>
          <w:sz w:val="28"/>
          <w:szCs w:val="28"/>
          <w:lang w:eastAsia="ru-RU"/>
        </w:rPr>
        <w:t xml:space="preserve">в </w:t>
      </w:r>
      <w:r w:rsidRPr="00522104">
        <w:rPr>
          <w:rFonts w:ascii="Times New Roman" w:eastAsia="Times New Roman" w:hAnsi="Times New Roman" w:cs="Times New Roman"/>
          <w:i/>
          <w:sz w:val="28"/>
          <w:szCs w:val="28"/>
          <w:lang w:eastAsia="ru-RU"/>
        </w:rPr>
        <w:t xml:space="preserve">том числе за счет средств федерального бюджета – 110,00 млн рублей, за счет краевого бюджета – 12,44 млн рублей. </w:t>
      </w:r>
    </w:p>
    <w:p w14:paraId="619D5B71" w14:textId="77777777" w:rsidR="00827437" w:rsidRPr="00522104" w:rsidRDefault="00827437" w:rsidP="00827437">
      <w:pPr>
        <w:tabs>
          <w:tab w:val="left" w:pos="5595"/>
        </w:tabs>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За 9 месяцев 2021 года исполнение:</w:t>
      </w:r>
    </w:p>
    <w:p w14:paraId="6CC9E5D3" w14:textId="7F4F6337" w:rsidR="00827437" w:rsidRPr="00522104" w:rsidRDefault="00827437" w:rsidP="00827437">
      <w:pPr>
        <w:tabs>
          <w:tab w:val="left" w:pos="5595"/>
        </w:tabs>
        <w:spacing w:after="0" w:line="240" w:lineRule="auto"/>
        <w:ind w:firstLine="709"/>
        <w:jc w:val="both"/>
        <w:rPr>
          <w:rFonts w:ascii="Times New Roman" w:eastAsia="Times New Roman" w:hAnsi="Times New Roman" w:cs="Times New Roman"/>
          <w:i/>
          <w:color w:val="000000"/>
          <w:sz w:val="28"/>
          <w:szCs w:val="28"/>
          <w:lang w:eastAsia="ru-RU"/>
        </w:rPr>
      </w:pPr>
      <w:r w:rsidRPr="00522104">
        <w:rPr>
          <w:rFonts w:ascii="Times New Roman" w:eastAsia="Times New Roman" w:hAnsi="Times New Roman" w:cs="Times New Roman"/>
          <w:i/>
          <w:sz w:val="28"/>
          <w:szCs w:val="28"/>
          <w:lang w:eastAsia="ru-RU"/>
        </w:rPr>
        <w:t xml:space="preserve">федеральных средств </w:t>
      </w:r>
      <w:r w:rsidR="00B16DCF" w:rsidRPr="00522104">
        <w:rPr>
          <w:rFonts w:ascii="Times New Roman" w:eastAsia="Times New Roman" w:hAnsi="Times New Roman" w:cs="Times New Roman"/>
          <w:i/>
          <w:sz w:val="28"/>
          <w:szCs w:val="28"/>
          <w:lang w:eastAsia="ru-RU"/>
        </w:rPr>
        <w:t>–</w:t>
      </w:r>
      <w:r w:rsidRPr="00522104">
        <w:rPr>
          <w:rFonts w:ascii="Times New Roman" w:eastAsia="Times New Roman" w:hAnsi="Times New Roman" w:cs="Times New Roman"/>
          <w:i/>
          <w:sz w:val="28"/>
          <w:szCs w:val="28"/>
          <w:lang w:eastAsia="ru-RU"/>
        </w:rPr>
        <w:t xml:space="preserve"> 9,85 млн рублей, или 8,95 % </w:t>
      </w:r>
      <w:r w:rsidR="00EB0AAB" w:rsidRPr="00522104">
        <w:rPr>
          <w:rFonts w:ascii="Times New Roman" w:eastAsia="Times New Roman" w:hAnsi="Times New Roman" w:cs="Times New Roman"/>
          <w:i/>
          <w:color w:val="000000"/>
          <w:sz w:val="28"/>
          <w:szCs w:val="28"/>
          <w:lang w:eastAsia="ru-RU"/>
        </w:rPr>
        <w:t>(план – 110,00 млн рублей)</w:t>
      </w:r>
      <w:r w:rsidR="00EB0AAB">
        <w:rPr>
          <w:rFonts w:ascii="Times New Roman" w:eastAsia="Times New Roman" w:hAnsi="Times New Roman" w:cs="Times New Roman"/>
          <w:i/>
          <w:color w:val="000000"/>
          <w:sz w:val="28"/>
          <w:szCs w:val="28"/>
          <w:lang w:eastAsia="ru-RU"/>
        </w:rPr>
        <w:t>. Б</w:t>
      </w:r>
      <w:r w:rsidRPr="00522104">
        <w:rPr>
          <w:rFonts w:ascii="Times New Roman" w:eastAsia="Times New Roman" w:hAnsi="Times New Roman" w:cs="Times New Roman"/>
          <w:i/>
          <w:sz w:val="28"/>
          <w:szCs w:val="28"/>
          <w:lang w:eastAsia="ru-RU"/>
        </w:rPr>
        <w:t xml:space="preserve">юджетные средства запланированы </w:t>
      </w:r>
      <w:r w:rsidRPr="00522104">
        <w:rPr>
          <w:rFonts w:ascii="Times New Roman" w:eastAsia="Times New Roman" w:hAnsi="Times New Roman" w:cs="Times New Roman"/>
          <w:i/>
          <w:color w:val="000000"/>
          <w:sz w:val="28"/>
          <w:szCs w:val="28"/>
          <w:lang w:eastAsia="ru-RU"/>
        </w:rPr>
        <w:t>Владивостокскому городскому округу на строительство велосипедных и беговых дорожек на о.</w:t>
      </w:r>
      <w:r w:rsidR="00B16DCF" w:rsidRPr="00522104">
        <w:rPr>
          <w:rFonts w:ascii="Times New Roman" w:eastAsia="Times New Roman" w:hAnsi="Times New Roman" w:cs="Times New Roman"/>
          <w:i/>
          <w:color w:val="000000"/>
          <w:sz w:val="28"/>
          <w:szCs w:val="28"/>
          <w:lang w:eastAsia="ru-RU"/>
        </w:rPr>
        <w:t> </w:t>
      </w:r>
      <w:r w:rsidRPr="00522104">
        <w:rPr>
          <w:rFonts w:ascii="Times New Roman" w:eastAsia="Times New Roman" w:hAnsi="Times New Roman" w:cs="Times New Roman"/>
          <w:i/>
          <w:color w:val="000000"/>
          <w:sz w:val="28"/>
          <w:szCs w:val="28"/>
          <w:lang w:eastAsia="ru-RU"/>
        </w:rPr>
        <w:t>Русский (федеральный бюджет – 60,00 млн рублей, местный бюджет – 0,61 млн рублей)</w:t>
      </w:r>
      <w:r w:rsidR="00B16DCF" w:rsidRPr="00522104">
        <w:rPr>
          <w:rFonts w:ascii="Times New Roman" w:eastAsia="Times New Roman" w:hAnsi="Times New Roman" w:cs="Times New Roman"/>
          <w:i/>
          <w:color w:val="000000"/>
          <w:sz w:val="28"/>
          <w:szCs w:val="28"/>
          <w:lang w:eastAsia="ru-RU"/>
        </w:rPr>
        <w:t>,</w:t>
      </w:r>
      <w:r w:rsidRPr="00522104">
        <w:rPr>
          <w:rFonts w:ascii="Times New Roman" w:eastAsia="Times New Roman" w:hAnsi="Times New Roman" w:cs="Times New Roman"/>
          <w:i/>
          <w:color w:val="000000"/>
          <w:sz w:val="28"/>
          <w:szCs w:val="28"/>
          <w:lang w:eastAsia="ru-RU"/>
        </w:rPr>
        <w:t xml:space="preserve"> приобретение техники и оборудования для организации лыжной трассы в г. Владивостоке (федеральный бюджет – 50, 00 млн рублей, местный бюджет – 0,50 млн рублей);</w:t>
      </w:r>
    </w:p>
    <w:p w14:paraId="1882BF73" w14:textId="167956DB" w:rsidR="00827437" w:rsidRPr="00522104" w:rsidRDefault="00827437" w:rsidP="00827437">
      <w:pPr>
        <w:widowControl w:val="0"/>
        <w:spacing w:after="0" w:line="240" w:lineRule="auto"/>
        <w:ind w:firstLine="709"/>
        <w:jc w:val="both"/>
        <w:rPr>
          <w:rFonts w:ascii="Times New Roman" w:eastAsia="Times New Roman" w:hAnsi="Times New Roman" w:cs="Times New Roman"/>
          <w:i/>
          <w:sz w:val="28"/>
          <w:szCs w:val="28"/>
          <w:lang w:eastAsia="ru-RU"/>
        </w:rPr>
      </w:pPr>
      <w:r w:rsidRPr="00522104">
        <w:rPr>
          <w:rFonts w:ascii="Times New Roman" w:hAnsi="Times New Roman" w:cs="Times New Roman"/>
          <w:i/>
          <w:color w:val="000000"/>
          <w:sz w:val="28"/>
          <w:szCs w:val="28"/>
        </w:rPr>
        <w:t xml:space="preserve">краевого бюджета – </w:t>
      </w:r>
      <w:r w:rsidR="00EB0AAB" w:rsidRPr="00522104">
        <w:rPr>
          <w:rFonts w:ascii="Times New Roman" w:hAnsi="Times New Roman" w:cs="Times New Roman"/>
          <w:i/>
          <w:color w:val="000000"/>
          <w:sz w:val="28"/>
          <w:szCs w:val="28"/>
        </w:rPr>
        <w:t>0,27 млн рублей, или 2,2 %</w:t>
      </w:r>
      <w:r w:rsidR="00EB0AAB">
        <w:rPr>
          <w:rFonts w:ascii="Times New Roman" w:hAnsi="Times New Roman" w:cs="Times New Roman"/>
          <w:i/>
          <w:color w:val="000000"/>
          <w:sz w:val="28"/>
          <w:szCs w:val="28"/>
        </w:rPr>
        <w:t xml:space="preserve"> (план - </w:t>
      </w:r>
      <w:r w:rsidRPr="00522104">
        <w:rPr>
          <w:rFonts w:ascii="Times New Roman" w:hAnsi="Times New Roman" w:cs="Times New Roman"/>
          <w:i/>
          <w:color w:val="000000"/>
          <w:sz w:val="28"/>
          <w:szCs w:val="28"/>
        </w:rPr>
        <w:t>12,44 млн рублей</w:t>
      </w:r>
      <w:r w:rsidR="00EB0AAB">
        <w:rPr>
          <w:rFonts w:ascii="Times New Roman" w:hAnsi="Times New Roman" w:cs="Times New Roman"/>
          <w:i/>
          <w:color w:val="000000"/>
          <w:sz w:val="28"/>
          <w:szCs w:val="28"/>
        </w:rPr>
        <w:t xml:space="preserve">). </w:t>
      </w:r>
      <w:r w:rsidRPr="00522104">
        <w:rPr>
          <w:rFonts w:ascii="Times New Roman" w:hAnsi="Times New Roman" w:cs="Times New Roman"/>
          <w:i/>
          <w:color w:val="000000"/>
          <w:sz w:val="28"/>
          <w:szCs w:val="28"/>
        </w:rPr>
        <w:t xml:space="preserve"> </w:t>
      </w:r>
      <w:r w:rsidR="00EB0AAB">
        <w:rPr>
          <w:rFonts w:ascii="Times New Roman" w:hAnsi="Times New Roman" w:cs="Times New Roman"/>
          <w:i/>
          <w:color w:val="000000"/>
          <w:sz w:val="28"/>
          <w:szCs w:val="28"/>
        </w:rPr>
        <w:t>С</w:t>
      </w:r>
      <w:r w:rsidRPr="00522104">
        <w:rPr>
          <w:rFonts w:ascii="Times New Roman" w:hAnsi="Times New Roman" w:cs="Times New Roman"/>
          <w:i/>
          <w:color w:val="000000"/>
          <w:sz w:val="28"/>
          <w:szCs w:val="28"/>
        </w:rPr>
        <w:t>убсидия распределена Хасанскому муниципальному району на приобретение спортивного и прочего оборудования</w:t>
      </w:r>
      <w:r w:rsidRPr="00522104">
        <w:rPr>
          <w:rFonts w:ascii="Times New Roman" w:hAnsi="Times New Roman" w:cs="Times New Roman"/>
          <w:b/>
          <w:i/>
          <w:color w:val="000000"/>
          <w:sz w:val="28"/>
          <w:szCs w:val="28"/>
        </w:rPr>
        <w:t xml:space="preserve"> </w:t>
      </w:r>
      <w:r w:rsidRPr="00522104">
        <w:rPr>
          <w:rFonts w:ascii="Times New Roman" w:hAnsi="Times New Roman" w:cs="Times New Roman"/>
          <w:i/>
          <w:color w:val="000000"/>
          <w:sz w:val="28"/>
          <w:szCs w:val="28"/>
        </w:rPr>
        <w:t>для дооснащения</w:t>
      </w:r>
      <w:r w:rsidRPr="00522104">
        <w:rPr>
          <w:rFonts w:ascii="Times New Roman" w:hAnsi="Times New Roman" w:cs="Times New Roman"/>
          <w:b/>
          <w:i/>
          <w:color w:val="000000"/>
          <w:sz w:val="28"/>
          <w:szCs w:val="28"/>
        </w:rPr>
        <w:t xml:space="preserve"> </w:t>
      </w:r>
      <w:r w:rsidRPr="00522104">
        <w:rPr>
          <w:rFonts w:ascii="Times New Roman" w:hAnsi="Times New Roman" w:cs="Times New Roman"/>
          <w:i/>
          <w:color w:val="000000"/>
          <w:sz w:val="28"/>
          <w:szCs w:val="28"/>
        </w:rPr>
        <w:t>физкультурно-спортивного комплекса в пгт</w:t>
      </w:r>
      <w:r w:rsidR="00B16DCF" w:rsidRPr="00522104">
        <w:rPr>
          <w:rFonts w:ascii="Times New Roman" w:hAnsi="Times New Roman" w:cs="Times New Roman"/>
          <w:i/>
          <w:color w:val="000000"/>
          <w:sz w:val="28"/>
          <w:szCs w:val="28"/>
        </w:rPr>
        <w:t> </w:t>
      </w:r>
      <w:r w:rsidRPr="00522104">
        <w:rPr>
          <w:rFonts w:ascii="Times New Roman" w:hAnsi="Times New Roman" w:cs="Times New Roman"/>
          <w:i/>
          <w:color w:val="000000"/>
          <w:sz w:val="28"/>
          <w:szCs w:val="28"/>
        </w:rPr>
        <w:t>Славянка, завершение строительства которого было запланировано в срок до 28.03.2021</w:t>
      </w:r>
      <w:r w:rsidRPr="00522104">
        <w:rPr>
          <w:rFonts w:ascii="Times New Roman" w:hAnsi="Times New Roman" w:cs="Times New Roman"/>
          <w:i/>
          <w:color w:val="000000"/>
          <w:sz w:val="28"/>
          <w:szCs w:val="28"/>
          <w:vertAlign w:val="superscript"/>
        </w:rPr>
        <w:footnoteReference w:id="41"/>
      </w:r>
      <w:r w:rsidRPr="00522104">
        <w:rPr>
          <w:rFonts w:ascii="Times New Roman" w:hAnsi="Times New Roman" w:cs="Times New Roman"/>
          <w:i/>
          <w:color w:val="000000"/>
          <w:sz w:val="28"/>
          <w:szCs w:val="28"/>
        </w:rPr>
        <w:t xml:space="preserve">. </w:t>
      </w:r>
      <w:r w:rsidRPr="00522104">
        <w:rPr>
          <w:rFonts w:ascii="Times New Roman" w:eastAsia="Times New Roman" w:hAnsi="Times New Roman" w:cs="Times New Roman"/>
          <w:i/>
          <w:color w:val="000000"/>
          <w:sz w:val="28"/>
          <w:szCs w:val="28"/>
          <w:lang w:eastAsia="ru-RU"/>
        </w:rPr>
        <w:t>Администрацией Хасанского муниципального района в отчетном</w:t>
      </w:r>
      <w:r w:rsidRPr="00522104">
        <w:rPr>
          <w:rFonts w:ascii="Times New Roman" w:eastAsia="Times New Roman" w:hAnsi="Times New Roman" w:cs="Times New Roman"/>
          <w:color w:val="000000"/>
          <w:sz w:val="28"/>
          <w:szCs w:val="28"/>
          <w:lang w:eastAsia="ru-RU"/>
        </w:rPr>
        <w:t xml:space="preserve"> </w:t>
      </w:r>
      <w:r w:rsidRPr="00522104">
        <w:rPr>
          <w:rFonts w:ascii="Times New Roman" w:eastAsia="Times New Roman" w:hAnsi="Times New Roman" w:cs="Times New Roman"/>
          <w:i/>
          <w:color w:val="000000"/>
          <w:sz w:val="28"/>
          <w:szCs w:val="28"/>
          <w:lang w:eastAsia="ru-RU"/>
        </w:rPr>
        <w:t xml:space="preserve">периоде заключены муниципальные контракты на поставку спортивно-технологического оборудования (манекен борцовский тренерский, ковер для борьбы, медицинские изделия, мебель, ворота гандбольные, мешки и подушки для </w:t>
      </w:r>
      <w:r w:rsidRPr="00522104">
        <w:rPr>
          <w:rFonts w:ascii="Times New Roman" w:eastAsia="Times New Roman" w:hAnsi="Times New Roman" w:cs="Times New Roman"/>
          <w:i/>
          <w:sz w:val="28"/>
          <w:szCs w:val="28"/>
          <w:lang w:eastAsia="ru-RU"/>
        </w:rPr>
        <w:t xml:space="preserve">бокса). </w:t>
      </w:r>
    </w:p>
    <w:p w14:paraId="6AF7528D" w14:textId="45FF6DA5" w:rsidR="00827437" w:rsidRPr="00522104" w:rsidRDefault="00827437" w:rsidP="00827437">
      <w:pPr>
        <w:widowControl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 рамках</w:t>
      </w:r>
      <w:r w:rsidRPr="00522104">
        <w:rPr>
          <w:rFonts w:ascii="Times New Roman" w:hAnsi="Times New Roman" w:cs="Times New Roman"/>
          <w:b/>
          <w:i/>
          <w:sz w:val="28"/>
          <w:szCs w:val="28"/>
        </w:rPr>
        <w:t xml:space="preserve"> подпрограммы "</w:t>
      </w:r>
      <w:r w:rsidRPr="00522104">
        <w:rPr>
          <w:rFonts w:ascii="Times New Roman" w:eastAsia="Times New Roman" w:hAnsi="Times New Roman" w:cs="Times New Roman"/>
          <w:b/>
          <w:i/>
          <w:sz w:val="28"/>
          <w:szCs w:val="28"/>
          <w:lang w:eastAsia="ru-RU"/>
        </w:rPr>
        <w:t>Подготовка спортивного резерва в Приморском крае"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бюджетные ассигнования</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планируются с увеличением по сравнению с утвержденными на 2022 год – на 542,14 млн рублей, или на 41,31 % (с 1312,47 млн рублей до 1854,60 млн рублей), по сравнению с 2021 годом на 474,88 млн рублей, или на 34,42 % (на 2021 год</w:t>
      </w:r>
      <w:r w:rsidR="00B16DCF"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 1379,72 млн рублей).</w:t>
      </w:r>
    </w:p>
    <w:p w14:paraId="2D26D8C5" w14:textId="77777777" w:rsidR="00827437" w:rsidRPr="00522104" w:rsidRDefault="00827437" w:rsidP="00827437">
      <w:pPr>
        <w:widowControl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Законопроектом на 2022 год по министерству физической культуры и спорта Приморского края: </w:t>
      </w:r>
    </w:p>
    <w:p w14:paraId="4656C69F" w14:textId="77777777" w:rsidR="00827437" w:rsidRPr="00522104" w:rsidRDefault="00827437" w:rsidP="00827437">
      <w:pPr>
        <w:widowControl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Cs/>
          <w:sz w:val="28"/>
          <w:szCs w:val="28"/>
          <w:lang w:eastAsia="ru-RU"/>
        </w:rPr>
        <w:t>включены расходы</w:t>
      </w:r>
      <w:r w:rsidRPr="00522104">
        <w:rPr>
          <w:rFonts w:ascii="Times New Roman" w:eastAsia="Times New Roman" w:hAnsi="Times New Roman" w:cs="Times New Roman"/>
          <w:sz w:val="28"/>
          <w:szCs w:val="28"/>
          <w:lang w:eastAsia="ru-RU"/>
        </w:rPr>
        <w:t xml:space="preserve"> на предоставление гранта в форме субсидии Приморской региональной общественно-государственной организации Всероссийского физкультурно-спортивного общества "Динамо" на капитальный ремонт и оснащение объектов спорта, задействованных в проведении VII Международных спортивных игр "Дети Азии" в сумме 35,00 млн рублей (на 2021 и 2022 годы не предусмотрено);</w:t>
      </w:r>
    </w:p>
    <w:p w14:paraId="0A0E9F6D" w14:textId="0B8A4E31" w:rsidR="00827437" w:rsidRPr="00522104" w:rsidRDefault="00827437" w:rsidP="00827437">
      <w:pPr>
        <w:tabs>
          <w:tab w:val="left" w:pos="0"/>
        </w:tabs>
        <w:spacing w:after="0" w:line="240" w:lineRule="auto"/>
        <w:ind w:firstLine="709"/>
        <w:jc w:val="both"/>
        <w:rPr>
          <w:rFonts w:ascii="Times New Roman" w:hAnsi="Times New Roman" w:cs="Times New Roman"/>
          <w:i/>
          <w:color w:val="000000"/>
          <w:spacing w:val="-4"/>
          <w:sz w:val="28"/>
          <w:szCs w:val="24"/>
        </w:rPr>
      </w:pPr>
      <w:r w:rsidRPr="00522104">
        <w:rPr>
          <w:rFonts w:ascii="Times New Roman" w:eastAsia="Times New Roman" w:hAnsi="Times New Roman" w:cs="Times New Roman"/>
          <w:iCs/>
          <w:sz w:val="28"/>
          <w:szCs w:val="28"/>
          <w:lang w:eastAsia="ru-RU"/>
        </w:rPr>
        <w:t>увеличены</w:t>
      </w:r>
      <w:r w:rsidRPr="00522104">
        <w:rPr>
          <w:rFonts w:ascii="Times New Roman" w:eastAsia="Times New Roman" w:hAnsi="Times New Roman" w:cs="Times New Roman"/>
          <w:i/>
          <w:sz w:val="28"/>
          <w:szCs w:val="28"/>
          <w:lang w:eastAsia="ru-RU"/>
        </w:rPr>
        <w:t xml:space="preserve"> </w:t>
      </w:r>
      <w:r w:rsidRPr="00522104">
        <w:rPr>
          <w:rFonts w:ascii="Times New Roman" w:eastAsia="Times New Roman" w:hAnsi="Times New Roman" w:cs="Times New Roman"/>
          <w:sz w:val="28"/>
          <w:szCs w:val="28"/>
          <w:lang w:eastAsia="ru-RU"/>
        </w:rPr>
        <w:t xml:space="preserve">на 241,20 млн рублей по сравнению с утвержденными назначениями в 2021 году и составили 244,20 млн рублей субсидии КГАУ "Центр спортивной подготовки Приморского края" (далее </w:t>
      </w:r>
      <w:r w:rsidR="00B16DC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КГАУ "ЦСП ПК") на иные цели, в том числе: на проведение капитального ремонта – 166,20 млн рублей, приобретение спортивного инвентаря, оборудования и иного имущества для организации проведения VII Международных спортивных игр "Дети Азии" – 75,00 млн рублей, приобретение автомобиля для УСЦ "Олимпиец"</w:t>
      </w:r>
      <w:r w:rsidR="00B16DC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3,00 млн рублей. </w:t>
      </w:r>
      <w:r w:rsidRPr="00522104">
        <w:rPr>
          <w:rFonts w:ascii="Times New Roman" w:eastAsia="Times New Roman" w:hAnsi="Times New Roman" w:cs="Times New Roman"/>
          <w:i/>
          <w:sz w:val="28"/>
          <w:szCs w:val="28"/>
          <w:lang w:eastAsia="ru-RU"/>
        </w:rPr>
        <w:t xml:space="preserve">Справочно: </w:t>
      </w:r>
      <w:r w:rsidR="00B16DCF" w:rsidRPr="00522104">
        <w:rPr>
          <w:rFonts w:ascii="Times New Roman" w:eastAsia="Times New Roman" w:hAnsi="Times New Roman" w:cs="Times New Roman"/>
          <w:i/>
          <w:sz w:val="28"/>
          <w:szCs w:val="28"/>
          <w:lang w:eastAsia="ru-RU"/>
        </w:rPr>
        <w:t>в</w:t>
      </w:r>
      <w:r w:rsidRPr="00522104">
        <w:rPr>
          <w:rFonts w:ascii="Times New Roman" w:eastAsia="Times New Roman" w:hAnsi="Times New Roman" w:cs="Times New Roman"/>
          <w:i/>
          <w:sz w:val="28"/>
          <w:szCs w:val="28"/>
          <w:lang w:eastAsia="ru-RU"/>
        </w:rPr>
        <w:t xml:space="preserve"> 2021 году планировались 3,00 млн рублей </w:t>
      </w:r>
      <w:r w:rsidRPr="00522104">
        <w:rPr>
          <w:rFonts w:ascii="Times New Roman" w:hAnsi="Times New Roman" w:cs="Times New Roman"/>
          <w:bCs/>
          <w:i/>
          <w:color w:val="333333"/>
          <w:sz w:val="28"/>
          <w:szCs w:val="28"/>
          <w:shd w:val="clear" w:color="auto" w:fill="FFFFFF"/>
        </w:rPr>
        <w:t>КГАУ "Краевая спортивная школа"</w:t>
      </w:r>
      <w:bookmarkStart w:id="5" w:name="__DdeLink__326_156466679"/>
      <w:r w:rsidRPr="00522104">
        <w:rPr>
          <w:rFonts w:ascii="Times New Roman" w:hAnsi="Times New Roman" w:cs="Times New Roman"/>
          <w:i/>
          <w:color w:val="000000"/>
          <w:spacing w:val="-4"/>
          <w:sz w:val="28"/>
          <w:szCs w:val="24"/>
        </w:rPr>
        <w:t xml:space="preserve"> (далее </w:t>
      </w:r>
      <w:r w:rsidR="00B16DCF" w:rsidRPr="00522104">
        <w:rPr>
          <w:rFonts w:ascii="Times New Roman" w:hAnsi="Times New Roman" w:cs="Times New Roman"/>
          <w:i/>
          <w:color w:val="000000"/>
          <w:spacing w:val="-4"/>
          <w:sz w:val="28"/>
          <w:szCs w:val="24"/>
        </w:rPr>
        <w:t>–</w:t>
      </w:r>
      <w:r w:rsidRPr="00522104">
        <w:rPr>
          <w:rFonts w:ascii="Times New Roman" w:hAnsi="Times New Roman" w:cs="Times New Roman"/>
          <w:i/>
          <w:color w:val="000000"/>
          <w:spacing w:val="-4"/>
          <w:sz w:val="28"/>
          <w:szCs w:val="24"/>
        </w:rPr>
        <w:t xml:space="preserve"> КГАУ "КСШОР</w:t>
      </w:r>
      <w:bookmarkEnd w:id="5"/>
      <w:r w:rsidRPr="00522104">
        <w:rPr>
          <w:rFonts w:ascii="Times New Roman" w:hAnsi="Times New Roman" w:cs="Times New Roman"/>
          <w:i/>
          <w:color w:val="000000"/>
          <w:spacing w:val="-4"/>
          <w:sz w:val="28"/>
          <w:szCs w:val="24"/>
        </w:rPr>
        <w:t>")</w:t>
      </w:r>
      <w:r w:rsidRPr="00522104">
        <w:rPr>
          <w:rFonts w:ascii="Times New Roman" w:eastAsia="Times New Roman" w:hAnsi="Times New Roman" w:cs="Times New Roman"/>
          <w:i/>
          <w:sz w:val="28"/>
          <w:szCs w:val="28"/>
          <w:lang w:eastAsia="ru-RU"/>
        </w:rPr>
        <w:t xml:space="preserve"> на разработку мастер-плана развития территории комплекса "Белая гора" в г.</w:t>
      </w:r>
      <w:r w:rsidR="00B16DCF" w:rsidRPr="00522104">
        <w:rPr>
          <w:rFonts w:ascii="Times New Roman" w:eastAsia="Times New Roman" w:hAnsi="Times New Roman" w:cs="Times New Roman"/>
          <w:i/>
          <w:sz w:val="28"/>
          <w:szCs w:val="28"/>
          <w:lang w:eastAsia="ru-RU"/>
        </w:rPr>
        <w:t> </w:t>
      </w:r>
      <w:r w:rsidRPr="00522104">
        <w:rPr>
          <w:rFonts w:ascii="Times New Roman" w:eastAsia="Times New Roman" w:hAnsi="Times New Roman" w:cs="Times New Roman"/>
          <w:i/>
          <w:sz w:val="28"/>
          <w:szCs w:val="28"/>
          <w:lang w:eastAsia="ru-RU"/>
        </w:rPr>
        <w:t>Арсеньев)</w:t>
      </w:r>
      <w:r w:rsidRPr="00522104">
        <w:rPr>
          <w:rFonts w:ascii="Times New Roman" w:hAnsi="Times New Roman" w:cs="Times New Roman"/>
          <w:i/>
          <w:color w:val="000000"/>
          <w:spacing w:val="-4"/>
          <w:sz w:val="28"/>
          <w:szCs w:val="24"/>
        </w:rPr>
        <w:t>. Учреждением проведены конкурсные процедуры, определен подрядчик – ООО "ЭКО-ПЛАНЕТА", с которым заключен договор на выполнение работ по реализации первого этапа (разработка мастер-плана горнолыжной инфраструктуры, градостроительной концепции). Финансирование за 9 месяцев 2021 года – 0,90 млн рублей (выплачен 30,00 % аванс за работы 1 этапа)</w:t>
      </w:r>
      <w:r w:rsidR="00B16DCF" w:rsidRPr="00522104">
        <w:rPr>
          <w:rFonts w:ascii="Times New Roman" w:hAnsi="Times New Roman" w:cs="Times New Roman"/>
          <w:i/>
          <w:color w:val="000000"/>
          <w:spacing w:val="-4"/>
          <w:sz w:val="28"/>
          <w:szCs w:val="24"/>
        </w:rPr>
        <w:t>.</w:t>
      </w:r>
    </w:p>
    <w:p w14:paraId="6E06CE05" w14:textId="77777777" w:rsidR="00827437" w:rsidRPr="00522104" w:rsidRDefault="00827437" w:rsidP="00827437">
      <w:pPr>
        <w:tabs>
          <w:tab w:val="left" w:pos="0"/>
        </w:tabs>
        <w:spacing w:after="0" w:line="240" w:lineRule="auto"/>
        <w:ind w:firstLine="709"/>
        <w:jc w:val="both"/>
        <w:rPr>
          <w:rFonts w:ascii="Times New Roman" w:hAnsi="Times New Roman" w:cs="Times New Roman"/>
          <w:color w:val="000000"/>
          <w:spacing w:val="-4"/>
          <w:sz w:val="28"/>
          <w:szCs w:val="24"/>
        </w:rPr>
      </w:pPr>
      <w:r w:rsidRPr="00522104">
        <w:rPr>
          <w:rFonts w:ascii="Times New Roman" w:hAnsi="Times New Roman" w:cs="Times New Roman"/>
          <w:color w:val="000000"/>
          <w:spacing w:val="-4"/>
          <w:sz w:val="28"/>
          <w:szCs w:val="24"/>
        </w:rPr>
        <w:t xml:space="preserve">Кроме того, в законопроекте на 2022 год планируются за счет субсидий </w:t>
      </w:r>
      <w:r w:rsidRPr="00522104">
        <w:rPr>
          <w:rFonts w:ascii="Times New Roman" w:eastAsia="Times New Roman" w:hAnsi="Times New Roman" w:cs="Times New Roman"/>
          <w:sz w:val="28"/>
          <w:szCs w:val="28"/>
          <w:lang w:eastAsia="ru-RU"/>
        </w:rPr>
        <w:t xml:space="preserve">на иные цели расходы на лицензирование образовательной деятельности в </w:t>
      </w:r>
      <w:r w:rsidRPr="00522104">
        <w:rPr>
          <w:rFonts w:ascii="Times New Roman" w:hAnsi="Times New Roman" w:cs="Times New Roman"/>
          <w:color w:val="000000"/>
          <w:spacing w:val="-4"/>
          <w:sz w:val="28"/>
          <w:szCs w:val="24"/>
        </w:rPr>
        <w:t>КГАУ "КСШОР" в сумме 15,07 млн рублей;</w:t>
      </w:r>
    </w:p>
    <w:p w14:paraId="161A8337" w14:textId="1A389C67" w:rsidR="00827437" w:rsidRPr="00522104" w:rsidRDefault="00827437" w:rsidP="00827437">
      <w:pPr>
        <w:widowControl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Cs/>
          <w:sz w:val="28"/>
          <w:szCs w:val="28"/>
          <w:lang w:eastAsia="ru-RU"/>
        </w:rPr>
        <w:t>увеличены</w:t>
      </w:r>
      <w:r w:rsidRPr="00522104">
        <w:rPr>
          <w:rFonts w:ascii="Times New Roman" w:eastAsia="Times New Roman" w:hAnsi="Times New Roman" w:cs="Times New Roman"/>
          <w:i/>
          <w:sz w:val="28"/>
          <w:szCs w:val="28"/>
          <w:lang w:eastAsia="ru-RU"/>
        </w:rPr>
        <w:t xml:space="preserve"> </w:t>
      </w:r>
      <w:r w:rsidRPr="00522104">
        <w:rPr>
          <w:rFonts w:ascii="Times New Roman" w:eastAsia="Times New Roman" w:hAnsi="Times New Roman" w:cs="Times New Roman"/>
          <w:sz w:val="28"/>
          <w:szCs w:val="28"/>
          <w:lang w:eastAsia="ru-RU"/>
        </w:rPr>
        <w:t>на 17,82 млн рублей по сравнению с утвержденными в 2021 году и составили 32,82 млн рублей субсидии некоммерческим организациям</w:t>
      </w:r>
      <w:r w:rsidR="00B16DCF"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xml:space="preserve"> аккредитованным краевым спортивным федерациям на осуществление уставной деятельности;</w:t>
      </w:r>
    </w:p>
    <w:p w14:paraId="12288FF4" w14:textId="1E667571" w:rsidR="00827437" w:rsidRPr="00522104" w:rsidRDefault="00827437" w:rsidP="00827437">
      <w:pPr>
        <w:widowControl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увеличены расходы на обеспечение деятельности (оказание услуг, выполнение работ) КГАУ "ЦСП ПК" – на 1,07 млн рублей, или на 1,30 %</w:t>
      </w:r>
      <w:r w:rsidR="00B16DC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 составят 83,03 млн рублей (утверждено </w:t>
      </w:r>
      <w:r w:rsidR="00B16DCF" w:rsidRPr="00522104">
        <w:rPr>
          <w:rFonts w:ascii="Times New Roman" w:eastAsia="Times New Roman" w:hAnsi="Times New Roman" w:cs="Times New Roman"/>
          <w:sz w:val="28"/>
          <w:szCs w:val="28"/>
          <w:lang w:eastAsia="ru-RU"/>
        </w:rPr>
        <w:t>в</w:t>
      </w:r>
      <w:r w:rsidRPr="00522104">
        <w:rPr>
          <w:rFonts w:ascii="Times New Roman" w:eastAsia="Times New Roman" w:hAnsi="Times New Roman" w:cs="Times New Roman"/>
          <w:sz w:val="28"/>
          <w:szCs w:val="28"/>
          <w:lang w:eastAsia="ru-RU"/>
        </w:rPr>
        <w:t xml:space="preserve"> 2022 году – 81,96 млн рублей, в 2021 году – 111,91 млн рублей</w:t>
      </w:r>
      <w:r w:rsidR="00B16DC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w:t>
      </w:r>
    </w:p>
    <w:p w14:paraId="3927353E" w14:textId="2A0E54D8" w:rsidR="00827437" w:rsidRPr="00522104" w:rsidRDefault="00827437" w:rsidP="00827437">
      <w:pPr>
        <w:spacing w:after="0" w:line="240" w:lineRule="auto"/>
        <w:ind w:firstLine="709"/>
        <w:contextualSpacing/>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Cs/>
          <w:sz w:val="28"/>
          <w:szCs w:val="28"/>
          <w:lang w:eastAsia="ru-RU"/>
        </w:rPr>
        <w:t xml:space="preserve">на уровне утвержденных назначений на 2022 год </w:t>
      </w:r>
      <w:r w:rsidR="00B16DCF" w:rsidRPr="00522104">
        <w:rPr>
          <w:rFonts w:ascii="Times New Roman" w:eastAsia="Times New Roman" w:hAnsi="Times New Roman" w:cs="Times New Roman"/>
          <w:iCs/>
          <w:sz w:val="28"/>
          <w:szCs w:val="28"/>
          <w:lang w:eastAsia="ru-RU"/>
        </w:rPr>
        <w:t>–</w:t>
      </w:r>
      <w:r w:rsidRPr="00522104">
        <w:rPr>
          <w:rFonts w:ascii="Times New Roman" w:eastAsia="Times New Roman" w:hAnsi="Times New Roman" w:cs="Times New Roman"/>
          <w:iCs/>
          <w:sz w:val="28"/>
          <w:szCs w:val="28"/>
          <w:lang w:eastAsia="ru-RU"/>
        </w:rPr>
        <w:t xml:space="preserve"> </w:t>
      </w:r>
      <w:r w:rsidRPr="00522104">
        <w:rPr>
          <w:rFonts w:ascii="Times New Roman" w:eastAsia="Times New Roman" w:hAnsi="Times New Roman" w:cs="Times New Roman"/>
          <w:sz w:val="28"/>
          <w:szCs w:val="28"/>
          <w:lang w:eastAsia="ru-RU"/>
        </w:rPr>
        <w:t xml:space="preserve">122,42 млн рублей на 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 </w:t>
      </w:r>
    </w:p>
    <w:p w14:paraId="30326ECE" w14:textId="74006C8D" w:rsidR="00827437" w:rsidRPr="00522104" w:rsidRDefault="00827437" w:rsidP="00827437">
      <w:pPr>
        <w:widowControl w:val="0"/>
        <w:spacing w:after="0" w:line="240" w:lineRule="auto"/>
        <w:ind w:firstLine="709"/>
        <w:jc w:val="both"/>
        <w:rPr>
          <w:i/>
          <w:sz w:val="28"/>
          <w:szCs w:val="28"/>
        </w:rPr>
      </w:pPr>
      <w:r w:rsidRPr="00522104">
        <w:rPr>
          <w:rFonts w:ascii="Times New Roman" w:eastAsia="Times New Roman" w:hAnsi="Times New Roman" w:cs="Times New Roman"/>
          <w:i/>
          <w:sz w:val="28"/>
          <w:szCs w:val="28"/>
          <w:lang w:eastAsia="ru-RU"/>
        </w:rPr>
        <w:t xml:space="preserve">Справочно: </w:t>
      </w:r>
      <w:r w:rsidR="00B16DCF" w:rsidRPr="00522104">
        <w:rPr>
          <w:rFonts w:ascii="Times New Roman" w:eastAsia="Times New Roman" w:hAnsi="Times New Roman" w:cs="Times New Roman"/>
          <w:i/>
          <w:sz w:val="28"/>
          <w:szCs w:val="28"/>
          <w:lang w:eastAsia="ru-RU"/>
        </w:rPr>
        <w:t>з</w:t>
      </w:r>
      <w:r w:rsidRPr="00522104">
        <w:rPr>
          <w:rFonts w:ascii="Times New Roman" w:eastAsia="Times New Roman" w:hAnsi="Times New Roman" w:cs="Times New Roman"/>
          <w:i/>
          <w:sz w:val="28"/>
          <w:szCs w:val="28"/>
          <w:lang w:eastAsia="ru-RU"/>
        </w:rPr>
        <w:t xml:space="preserve">а 9 месяцев 2021 года </w:t>
      </w:r>
      <w:r w:rsidRPr="00522104">
        <w:rPr>
          <w:rFonts w:ascii="Times New Roman" w:hAnsi="Times New Roman" w:cs="Times New Roman"/>
          <w:i/>
          <w:sz w:val="28"/>
          <w:szCs w:val="28"/>
        </w:rPr>
        <w:t xml:space="preserve">министерством физической культуры и спорта Приморского края подписано соглашение с Союзом "Спортивный клуб "Адмирал" о предоставлении субсидии, финансирование в отчетном периоде произведено на сумму 160,27 млн рублей, или 77,88 % (план на 2021 год – 205,78 млн рублей). </w:t>
      </w:r>
      <w:r w:rsidRPr="00522104">
        <w:rPr>
          <w:rFonts w:ascii="Times New Roman" w:eastAsia="Times New Roman" w:hAnsi="Times New Roman" w:cs="Times New Roman"/>
          <w:i/>
          <w:sz w:val="28"/>
          <w:szCs w:val="28"/>
          <w:lang w:eastAsia="ru-RU"/>
        </w:rPr>
        <w:t xml:space="preserve">По результатам спортивного сезона 2020/2021 годов ХК "Тайфун" </w:t>
      </w:r>
      <w:r w:rsidRPr="00522104">
        <w:rPr>
          <w:rFonts w:ascii="Times New Roman" w:hAnsi="Times New Roman" w:cs="Times New Roman"/>
          <w:i/>
          <w:sz w:val="28"/>
          <w:szCs w:val="28"/>
        </w:rPr>
        <w:t>в чемпионате молодёжной хоккейной лиги сезона 2021/2022 в турнирной таблице занимает 9 место, в конференции Западная – 4 место из 16 команд;</w:t>
      </w:r>
    </w:p>
    <w:p w14:paraId="19D1A22A" w14:textId="274C01EC" w:rsidR="00827437" w:rsidRPr="00522104" w:rsidRDefault="00827437" w:rsidP="00827437">
      <w:pPr>
        <w:spacing w:after="0" w:line="240" w:lineRule="auto"/>
        <w:ind w:firstLine="709"/>
        <w:contextualSpacing/>
        <w:jc w:val="both"/>
        <w:rPr>
          <w:rFonts w:ascii="Times New Roman" w:hAnsi="Times New Roman" w:cs="Times New Roman"/>
          <w:i/>
          <w:color w:val="000000"/>
          <w:sz w:val="28"/>
          <w:szCs w:val="28"/>
          <w:lang w:eastAsia="ru-RU"/>
        </w:rPr>
      </w:pPr>
      <w:r w:rsidRPr="00522104">
        <w:rPr>
          <w:rFonts w:ascii="Times New Roman" w:eastAsia="Times New Roman" w:hAnsi="Times New Roman" w:cs="Times New Roman"/>
          <w:sz w:val="28"/>
          <w:szCs w:val="28"/>
          <w:lang w:eastAsia="ru-RU"/>
        </w:rPr>
        <w:t xml:space="preserve">126,91 млн рублей </w:t>
      </w:r>
      <w:r w:rsidR="00B16DC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софинансирование капитальных вложений в объекты государственной собственности субъектов Российской Федерации на строительство ледовой арены для керлинга в г. Владивостоке, софинансируемой за счет средств федерального бюджета. </w:t>
      </w:r>
      <w:r w:rsidRPr="00522104">
        <w:rPr>
          <w:rFonts w:ascii="Times New Roman" w:eastAsia="Times New Roman" w:hAnsi="Times New Roman" w:cs="Times New Roman"/>
          <w:i/>
          <w:sz w:val="28"/>
          <w:szCs w:val="28"/>
          <w:lang w:eastAsia="ru-RU"/>
        </w:rPr>
        <w:t xml:space="preserve">Справочно: </w:t>
      </w:r>
      <w:r w:rsidR="00B16DCF" w:rsidRPr="00522104">
        <w:rPr>
          <w:rFonts w:ascii="Times New Roman" w:eastAsia="Times New Roman" w:hAnsi="Times New Roman" w:cs="Times New Roman"/>
          <w:i/>
          <w:sz w:val="28"/>
          <w:szCs w:val="28"/>
          <w:lang w:eastAsia="ru-RU"/>
        </w:rPr>
        <w:t>в</w:t>
      </w:r>
      <w:r w:rsidRPr="00522104">
        <w:rPr>
          <w:rFonts w:ascii="Times New Roman" w:eastAsia="Times New Roman" w:hAnsi="Times New Roman" w:cs="Times New Roman"/>
          <w:i/>
          <w:sz w:val="28"/>
          <w:szCs w:val="28"/>
          <w:lang w:eastAsia="ru-RU"/>
        </w:rPr>
        <w:t xml:space="preserve"> 2021 году на указанное мероприятие планировалось 205,62 млн рублей (</w:t>
      </w:r>
      <w:r w:rsidRPr="00522104">
        <w:rPr>
          <w:rFonts w:ascii="Times New Roman" w:hAnsi="Times New Roman" w:cs="Times New Roman"/>
          <w:i/>
          <w:sz w:val="28"/>
          <w:szCs w:val="28"/>
        </w:rPr>
        <w:t xml:space="preserve">в том числе 173,91 млн рублей – средства федерального бюджета, 31,71млн рублей </w:t>
      </w:r>
      <w:r w:rsidR="00B16DCF"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средства краевого бюджета), исполнение составило – 200,00 млн рублей, в том числе: федеральный бюджет – 173</w:t>
      </w:r>
      <w:r w:rsidRPr="00522104">
        <w:rPr>
          <w:rFonts w:ascii="Times New Roman" w:hAnsi="Times New Roman" w:cs="Times New Roman"/>
          <w:b/>
          <w:i/>
          <w:sz w:val="28"/>
          <w:szCs w:val="28"/>
        </w:rPr>
        <w:t>,</w:t>
      </w:r>
      <w:r w:rsidRPr="00522104">
        <w:rPr>
          <w:rFonts w:ascii="Times New Roman" w:hAnsi="Times New Roman" w:cs="Times New Roman"/>
          <w:i/>
          <w:sz w:val="28"/>
          <w:szCs w:val="28"/>
        </w:rPr>
        <w:t xml:space="preserve">91 млн рублей, краевой бюджет – 26,09 млн рублей. </w:t>
      </w:r>
      <w:r w:rsidRPr="00522104">
        <w:rPr>
          <w:rFonts w:ascii="Times New Roman" w:hAnsi="Times New Roman" w:cs="Times New Roman"/>
          <w:i/>
          <w:color w:val="000000"/>
          <w:sz w:val="28"/>
          <w:szCs w:val="28"/>
        </w:rPr>
        <w:t>Прав</w:t>
      </w:r>
      <w:r w:rsidRPr="00522104">
        <w:rPr>
          <w:rFonts w:ascii="Times New Roman" w:hAnsi="Times New Roman" w:cs="Times New Roman"/>
          <w:i/>
          <w:color w:val="000000"/>
          <w:spacing w:val="-2"/>
          <w:sz w:val="28"/>
          <w:szCs w:val="28"/>
          <w:lang w:eastAsia="ru-RU"/>
        </w:rPr>
        <w:t xml:space="preserve">ительством Приморского края подписано концессионное соглашение </w:t>
      </w:r>
      <w:r w:rsidRPr="00522104">
        <w:rPr>
          <w:rFonts w:ascii="Times New Roman" w:hAnsi="Times New Roman" w:cs="Times New Roman"/>
          <w:i/>
          <w:color w:val="000000"/>
          <w:sz w:val="28"/>
          <w:szCs w:val="28"/>
          <w:lang w:eastAsia="ru-RU"/>
        </w:rPr>
        <w:t xml:space="preserve">с ООО "Ост-Азия развитие" </w:t>
      </w:r>
      <w:r w:rsidRPr="00522104">
        <w:rPr>
          <w:rFonts w:ascii="Times New Roman" w:hAnsi="Times New Roman" w:cs="Times New Roman"/>
          <w:i/>
          <w:color w:val="000000"/>
          <w:spacing w:val="-2"/>
          <w:sz w:val="28"/>
          <w:szCs w:val="28"/>
          <w:lang w:eastAsia="ru-RU"/>
        </w:rPr>
        <w:t>о создании и последующей эксплуатации объекта спорта – ледовой арены для кёрлинга в г.</w:t>
      </w:r>
      <w:r w:rsidR="00B16DCF" w:rsidRPr="00522104">
        <w:rPr>
          <w:rFonts w:ascii="Times New Roman" w:hAnsi="Times New Roman" w:cs="Times New Roman"/>
          <w:i/>
          <w:color w:val="000000"/>
          <w:spacing w:val="-2"/>
          <w:sz w:val="28"/>
          <w:szCs w:val="28"/>
          <w:lang w:eastAsia="ru-RU"/>
        </w:rPr>
        <w:t> </w:t>
      </w:r>
      <w:r w:rsidRPr="00522104">
        <w:rPr>
          <w:rFonts w:ascii="Times New Roman" w:hAnsi="Times New Roman" w:cs="Times New Roman"/>
          <w:i/>
          <w:color w:val="000000"/>
          <w:spacing w:val="-2"/>
          <w:sz w:val="28"/>
          <w:szCs w:val="28"/>
          <w:lang w:eastAsia="ru-RU"/>
        </w:rPr>
        <w:t>Владивостоке. К</w:t>
      </w:r>
      <w:r w:rsidRPr="00522104">
        <w:rPr>
          <w:rFonts w:ascii="Times New Roman" w:hAnsi="Times New Roman" w:cs="Times New Roman"/>
          <w:i/>
          <w:color w:val="000000"/>
          <w:sz w:val="28"/>
          <w:szCs w:val="28"/>
          <w:lang w:eastAsia="ru-RU"/>
        </w:rPr>
        <w:t xml:space="preserve">онцессионером разработана рабочая документация, получено разрешение на строительство. </w:t>
      </w:r>
      <w:r w:rsidRPr="00522104">
        <w:rPr>
          <w:rFonts w:ascii="Times New Roman" w:hAnsi="Times New Roman" w:cs="Times New Roman"/>
          <w:i/>
          <w:color w:val="000000"/>
          <w:sz w:val="28"/>
          <w:szCs w:val="28"/>
        </w:rPr>
        <w:t>Во втором полугодии на объекте ведутся земляные работы;</w:t>
      </w:r>
      <w:r w:rsidRPr="00522104">
        <w:rPr>
          <w:rFonts w:ascii="Times New Roman" w:hAnsi="Times New Roman" w:cs="Times New Roman"/>
          <w:i/>
          <w:color w:val="000000"/>
          <w:sz w:val="28"/>
          <w:szCs w:val="28"/>
          <w:lang w:eastAsia="ru-RU"/>
        </w:rPr>
        <w:t xml:space="preserve"> завершение строительства объекта планируется в ноябре 2022 года.</w:t>
      </w:r>
    </w:p>
    <w:p w14:paraId="1A46EA1F" w14:textId="77777777" w:rsidR="00827437" w:rsidRPr="00522104" w:rsidRDefault="00827437" w:rsidP="00827437">
      <w:pPr>
        <w:widowControl w:val="0"/>
        <w:spacing w:after="0" w:line="240" w:lineRule="auto"/>
        <w:ind w:firstLine="709"/>
        <w:jc w:val="both"/>
        <w:rPr>
          <w:rFonts w:ascii="Times New Roman" w:hAnsi="Times New Roman"/>
          <w:i/>
          <w:sz w:val="28"/>
          <w:szCs w:val="28"/>
        </w:rPr>
      </w:pPr>
      <w:r w:rsidRPr="00522104">
        <w:rPr>
          <w:rFonts w:ascii="Times New Roman" w:eastAsia="Times New Roman" w:hAnsi="Times New Roman" w:cs="Times New Roman"/>
          <w:sz w:val="28"/>
          <w:szCs w:val="28"/>
          <w:lang w:eastAsia="ru-RU"/>
        </w:rPr>
        <w:t xml:space="preserve">Также </w:t>
      </w:r>
      <w:r w:rsidRPr="00522104">
        <w:rPr>
          <w:rFonts w:ascii="Times New Roman" w:hAnsi="Times New Roman" w:cs="Times New Roman"/>
          <w:sz w:val="28"/>
          <w:szCs w:val="28"/>
        </w:rPr>
        <w:t xml:space="preserve">на строительство ледовой арены для керлинга в г. Владивостоке, министерству строительства Приморского края на 2022 год планируются за счет средств федерального бюджета 11,80 млн рублей на уровне утвержденных назначений. </w:t>
      </w:r>
      <w:r w:rsidRPr="00522104">
        <w:rPr>
          <w:rFonts w:ascii="Times New Roman" w:hAnsi="Times New Roman" w:cs="Times New Roman"/>
          <w:i/>
          <w:sz w:val="28"/>
          <w:szCs w:val="28"/>
        </w:rPr>
        <w:t>Справочно: за 9 месяцев 2021 года исполнено</w:t>
      </w:r>
      <w:r w:rsidRPr="00522104">
        <w:rPr>
          <w:rFonts w:ascii="Times New Roman" w:hAnsi="Times New Roman"/>
          <w:i/>
          <w:sz w:val="28"/>
          <w:szCs w:val="28"/>
        </w:rPr>
        <w:t xml:space="preserve"> 15,11 млн рублей, или 83,62 % (план на 2021 год – 18,07 млн рублей). </w:t>
      </w:r>
    </w:p>
    <w:p w14:paraId="2D9057F7" w14:textId="77777777" w:rsidR="00827437" w:rsidRPr="00522104" w:rsidRDefault="00827437" w:rsidP="00827437">
      <w:pPr>
        <w:widowControl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b/>
          <w:i/>
          <w:sz w:val="28"/>
          <w:szCs w:val="28"/>
        </w:rPr>
        <w:t>По подпрограмме "</w:t>
      </w:r>
      <w:r w:rsidRPr="00522104">
        <w:rPr>
          <w:rFonts w:ascii="Times New Roman" w:eastAsia="Times New Roman" w:hAnsi="Times New Roman" w:cs="Times New Roman"/>
          <w:b/>
          <w:i/>
          <w:sz w:val="28"/>
          <w:szCs w:val="28"/>
          <w:lang w:eastAsia="ru-RU"/>
        </w:rPr>
        <w:t>Развитие спорта высших достижений в Приморском крае"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на 2022 год снижены к уровню утвержденных назначений на 11,25 млн рублей и составили 928,73 млн рублей, из них:</w:t>
      </w:r>
    </w:p>
    <w:p w14:paraId="158B7B1F" w14:textId="77777777" w:rsidR="00827437" w:rsidRPr="00522104" w:rsidRDefault="00827437" w:rsidP="00827437">
      <w:pPr>
        <w:widowControl w:val="0"/>
        <w:spacing w:after="0" w:line="240" w:lineRule="auto"/>
        <w:ind w:firstLine="709"/>
        <w:jc w:val="both"/>
        <w:rPr>
          <w:rFonts w:ascii="Times New Roman" w:eastAsia="Times New Roman" w:hAnsi="Times New Roman" w:cs="Times New Roman"/>
          <w:iCs/>
          <w:sz w:val="28"/>
          <w:szCs w:val="28"/>
          <w:lang w:eastAsia="ru-RU"/>
        </w:rPr>
      </w:pPr>
      <w:r w:rsidRPr="00522104">
        <w:rPr>
          <w:rFonts w:ascii="Times New Roman" w:eastAsia="Times New Roman" w:hAnsi="Times New Roman" w:cs="Times New Roman"/>
          <w:iCs/>
          <w:sz w:val="28"/>
          <w:szCs w:val="28"/>
          <w:lang w:eastAsia="ru-RU"/>
        </w:rPr>
        <w:t>на уровне утвержденных назначений планируются:</w:t>
      </w:r>
    </w:p>
    <w:p w14:paraId="22FF0651" w14:textId="59014B2B"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811,60 млн рублей </w:t>
      </w:r>
      <w:r w:rsidR="00B16DC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b/>
          <w:sz w:val="28"/>
          <w:szCs w:val="28"/>
          <w:lang w:eastAsia="ru-RU"/>
        </w:rPr>
        <w:t xml:space="preserve"> </w:t>
      </w:r>
      <w:r w:rsidRPr="00522104">
        <w:rPr>
          <w:rFonts w:ascii="Times New Roman" w:hAnsi="Times New Roman" w:cs="Times New Roman"/>
          <w:sz w:val="28"/>
          <w:szCs w:val="28"/>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p w14:paraId="2CA211CA" w14:textId="1DA7D45F"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2,20 млн рублей </w:t>
      </w:r>
      <w:r w:rsidR="00B16DCF" w:rsidRPr="00522104">
        <w:rPr>
          <w:rFonts w:ascii="Times New Roman" w:hAnsi="Times New Roman" w:cs="Times New Roman"/>
          <w:sz w:val="28"/>
          <w:szCs w:val="28"/>
        </w:rPr>
        <w:t>–</w:t>
      </w:r>
      <w:r w:rsidRPr="00522104">
        <w:rPr>
          <w:rFonts w:ascii="Times New Roman" w:hAnsi="Times New Roman" w:cs="Times New Roman"/>
          <w:sz w:val="28"/>
          <w:szCs w:val="28"/>
        </w:rPr>
        <w:t xml:space="preserve"> ежемесячные специальные стипендии спортсменам и ежемесячные выплаты их тренерам;</w:t>
      </w:r>
    </w:p>
    <w:p w14:paraId="60914D58" w14:textId="77777777"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10,21 млн рублей – призовые выплаты тренерам, спортсменам за высокие спортивные результаты на всероссийских и международных спортивных соревнованиях;</w:t>
      </w:r>
    </w:p>
    <w:p w14:paraId="41511670" w14:textId="058319DA"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iCs/>
          <w:sz w:val="28"/>
          <w:szCs w:val="28"/>
        </w:rPr>
        <w:t>с увеличением</w:t>
      </w:r>
      <w:r w:rsidRPr="00522104">
        <w:rPr>
          <w:rFonts w:ascii="Times New Roman" w:hAnsi="Times New Roman" w:cs="Times New Roman"/>
          <w:i/>
          <w:sz w:val="28"/>
          <w:szCs w:val="28"/>
        </w:rPr>
        <w:t xml:space="preserve"> </w:t>
      </w:r>
      <w:r w:rsidRPr="00522104">
        <w:rPr>
          <w:rFonts w:ascii="Times New Roman" w:hAnsi="Times New Roman" w:cs="Times New Roman"/>
          <w:sz w:val="28"/>
          <w:szCs w:val="28"/>
        </w:rPr>
        <w:t>на 2,27 млн рублей, или 5,38 %</w:t>
      </w:r>
      <w:r w:rsidR="00B16DCF" w:rsidRPr="00522104">
        <w:rPr>
          <w:rFonts w:ascii="Times New Roman" w:hAnsi="Times New Roman" w:cs="Times New Roman"/>
          <w:sz w:val="28"/>
          <w:szCs w:val="28"/>
        </w:rPr>
        <w:t>,</w:t>
      </w:r>
      <w:r w:rsidRPr="00522104">
        <w:rPr>
          <w:rFonts w:ascii="Times New Roman" w:hAnsi="Times New Roman" w:cs="Times New Roman"/>
          <w:sz w:val="28"/>
          <w:szCs w:val="28"/>
        </w:rPr>
        <w:t xml:space="preserve"> и составят 44,50 млн рублей (утверждено 42,22 млн рублей) расходы на обеспечение деятельности (оказание услуг, выполнение работ) КГАУ "Центр спортивной подготовки Приморского края". </w:t>
      </w:r>
    </w:p>
    <w:p w14:paraId="5ED6AEFC" w14:textId="37EBC1F3" w:rsidR="00827437" w:rsidRPr="00522104" w:rsidRDefault="00827437" w:rsidP="00827437">
      <w:pPr>
        <w:widowControl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Сокращены на 13,52 млн рублей, или на 18,33 %</w:t>
      </w:r>
      <w:r w:rsidR="00B16DCF" w:rsidRPr="00522104">
        <w:rPr>
          <w:rFonts w:ascii="Times New Roman" w:hAnsi="Times New Roman" w:cs="Times New Roman"/>
          <w:sz w:val="28"/>
          <w:szCs w:val="28"/>
        </w:rPr>
        <w:t>,</w:t>
      </w:r>
      <w:r w:rsidRPr="00522104">
        <w:rPr>
          <w:rFonts w:ascii="Times New Roman" w:hAnsi="Times New Roman" w:cs="Times New Roman"/>
          <w:sz w:val="28"/>
          <w:szCs w:val="28"/>
        </w:rPr>
        <w:t xml:space="preserve"> и составят 60,23 млн рублей (утвержденные назначения на 2022 год – 73,75 млн рублей) субсидии краевым государственным бюджетным и автономным учреждениям на иные цели, в том числе: расходы на обеспечение подготовки приморских спортсменов к Олимпиадам, Паралимпийским и Сурд</w:t>
      </w:r>
      <w:r w:rsidR="008B4FF9">
        <w:rPr>
          <w:rFonts w:ascii="Times New Roman" w:hAnsi="Times New Roman" w:cs="Times New Roman"/>
          <w:sz w:val="28"/>
          <w:szCs w:val="28"/>
        </w:rPr>
        <w:t>о</w:t>
      </w:r>
      <w:r w:rsidRPr="00522104">
        <w:rPr>
          <w:rFonts w:ascii="Times New Roman" w:hAnsi="Times New Roman" w:cs="Times New Roman"/>
          <w:sz w:val="28"/>
          <w:szCs w:val="28"/>
        </w:rPr>
        <w:t xml:space="preserve">лимпийским играм – 15,50 млн рублей, расходы на содержание и эксплуатацию концертно-спортивного комплекса "Фетисов-Арена" – 44,73 млн рублей (утверждено 58,25 млн рублей). </w:t>
      </w:r>
    </w:p>
    <w:p w14:paraId="6D03F3C1" w14:textId="77777777" w:rsidR="00827437" w:rsidRPr="00522104" w:rsidRDefault="00827437" w:rsidP="00827437">
      <w:pPr>
        <w:spacing w:after="0" w:line="240" w:lineRule="auto"/>
        <w:ind w:firstLine="709"/>
        <w:jc w:val="both"/>
        <w:rPr>
          <w:rFonts w:ascii="Times New Roman" w:hAnsi="Times New Roman" w:cs="Times New Roman"/>
          <w:sz w:val="28"/>
          <w:szCs w:val="28"/>
        </w:rPr>
      </w:pPr>
    </w:p>
    <w:p w14:paraId="43EC8AD2" w14:textId="77777777" w:rsidR="007602C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17632" behindDoc="0" locked="0" layoutInCell="1" allowOverlap="1" wp14:anchorId="2F43EB21" wp14:editId="5BA00FB4">
            <wp:simplePos x="0" y="0"/>
            <wp:positionH relativeFrom="column">
              <wp:posOffset>48003</wp:posOffset>
            </wp:positionH>
            <wp:positionV relativeFrom="paragraph">
              <wp:posOffset>66188</wp:posOffset>
            </wp:positionV>
            <wp:extent cx="1381328" cy="1247181"/>
            <wp:effectExtent l="0" t="0" r="0" b="0"/>
            <wp:wrapSquare wrapText="bothSides"/>
            <wp:docPr id="48" name="Рисунок 48" descr="C:\Users\zavzyataya_sv\Desktop\Картинки\4125744-satellite-television.jpg"/>
            <wp:cNvGraphicFramePr/>
            <a:graphic xmlns:a="http://schemas.openxmlformats.org/drawingml/2006/main">
              <a:graphicData uri="http://schemas.openxmlformats.org/drawingml/2006/picture">
                <pic:pic xmlns:pic="http://schemas.openxmlformats.org/drawingml/2006/picture">
                  <pic:nvPicPr>
                    <pic:cNvPr id="48" name="Рисунок 48" descr="C:\Users\zavzyataya_sv\Desktop\Картинки\4125744-satellite-television.jpg"/>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81328" cy="12471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 xml:space="preserve">Государственная программа </w:t>
      </w:r>
    </w:p>
    <w:p w14:paraId="4BAB16C4" w14:textId="649675B4"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"Информационное общество"</w:t>
      </w:r>
    </w:p>
    <w:p w14:paraId="7D954D84"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паспорту ГП (в редакции, действующей на момент составления заключения, и в представленном проекте) ответственным исполнителем является министерство цифрового развития и связи Приморского края</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 xml:space="preserve">соисполнителями – 10 органов исполнительной власти Приморского края. </w:t>
      </w:r>
    </w:p>
    <w:p w14:paraId="63CBCBDE" w14:textId="5B979DDD"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на реализацию мероприятий ГП на 2022 год предусмотрены бюджетные ассигнования в общем объеме 2502,68 млн рублей</w:t>
      </w:r>
      <w:r w:rsidR="00B00E69" w:rsidRPr="00522104">
        <w:rPr>
          <w:rFonts w:ascii="Times New Roman" w:eastAsia="Times New Roman" w:hAnsi="Times New Roman" w:cs="Times New Roman"/>
          <w:sz w:val="28"/>
          <w:szCs w:val="28"/>
          <w:lang w:eastAsia="ru-RU"/>
        </w:rPr>
        <w:t xml:space="preserve"> (за счет бюджетов краевого (2441,47 млн рублей) и федерального (61,21 млн рублей),</w:t>
      </w:r>
      <w:r w:rsidRPr="00522104">
        <w:rPr>
          <w:rFonts w:ascii="Times New Roman" w:eastAsia="Times New Roman" w:hAnsi="Times New Roman" w:cs="Times New Roman"/>
          <w:sz w:val="28"/>
          <w:szCs w:val="28"/>
          <w:lang w:eastAsia="ru-RU"/>
        </w:rPr>
        <w:t xml:space="preserve"> что на 612,32 млн рублей, или на 32,39 %</w:t>
      </w:r>
      <w:r w:rsidR="008E6829"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больше, чем предусмотрено утвержденными назначениям</w:t>
      </w:r>
      <w:r w:rsidR="00B00E69" w:rsidRPr="00522104">
        <w:rPr>
          <w:rFonts w:ascii="Times New Roman" w:eastAsia="Times New Roman" w:hAnsi="Times New Roman" w:cs="Times New Roman"/>
          <w:sz w:val="28"/>
          <w:szCs w:val="28"/>
          <w:lang w:eastAsia="ru-RU"/>
        </w:rPr>
        <w:t>и</w:t>
      </w:r>
      <w:r w:rsidR="00A81A14" w:rsidRPr="00522104">
        <w:rPr>
          <w:rFonts w:ascii="Times New Roman" w:eastAsia="Times New Roman" w:hAnsi="Times New Roman" w:cs="Times New Roman"/>
          <w:sz w:val="28"/>
          <w:szCs w:val="28"/>
          <w:lang w:eastAsia="ru-RU"/>
        </w:rPr>
        <w:t xml:space="preserve"> (1890,36 млн рублей)</w:t>
      </w:r>
      <w:r w:rsidRPr="00522104">
        <w:rPr>
          <w:rFonts w:ascii="Times New Roman" w:eastAsia="Times New Roman" w:hAnsi="Times New Roman" w:cs="Times New Roman"/>
          <w:sz w:val="28"/>
          <w:szCs w:val="28"/>
          <w:lang w:eastAsia="ru-RU"/>
        </w:rPr>
        <w:t>. В плановом периоде объем бюджетных ассигнований на реализацию ГП запланирован с увеличением по каждому плановому году и в абсолютном значении составляет на 2023 год в сумме 2586,40 млн рублей, на 2024 год – 3336,41 млн рублей. В сравнении с 2021 годом объем средств, предлагаемый законопроектом на 2022 год по ГП, увеличился на 472,63 млн рублей, или на 23,28 %.</w:t>
      </w:r>
    </w:p>
    <w:p w14:paraId="1C58FADD" w14:textId="3EC9630A" w:rsidR="008B4FF9"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Динамика расходов на 2021, 2022 годы и на плановый период 2023-2024 годов, предусмотренных на реализацию мероприятий ГП, представлена в таблице.</w:t>
      </w:r>
      <w:r w:rsidR="008B4FF9">
        <w:rPr>
          <w:rFonts w:ascii="Times New Roman" w:eastAsia="Times New Roman" w:hAnsi="Times New Roman" w:cs="Times New Roman"/>
          <w:sz w:val="28"/>
          <w:szCs w:val="28"/>
          <w:lang w:eastAsia="ru-RU"/>
        </w:rPr>
        <w:br w:type="page"/>
      </w:r>
    </w:p>
    <w:p w14:paraId="4EE94994"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9498" w:type="dxa"/>
        <w:tblInd w:w="-147" w:type="dxa"/>
        <w:tblLayout w:type="fixed"/>
        <w:tblLook w:val="04A0" w:firstRow="1" w:lastRow="0" w:firstColumn="1" w:lastColumn="0" w:noHBand="0" w:noVBand="1"/>
      </w:tblPr>
      <w:tblGrid>
        <w:gridCol w:w="1702"/>
        <w:gridCol w:w="1559"/>
        <w:gridCol w:w="850"/>
        <w:gridCol w:w="851"/>
        <w:gridCol w:w="850"/>
        <w:gridCol w:w="851"/>
        <w:gridCol w:w="850"/>
        <w:gridCol w:w="993"/>
        <w:gridCol w:w="992"/>
      </w:tblGrid>
      <w:tr w:rsidR="00827437" w:rsidRPr="00522104" w14:paraId="02D5410E" w14:textId="77777777" w:rsidTr="00E40BEE">
        <w:trPr>
          <w:trHeight w:val="255"/>
        </w:trPr>
        <w:tc>
          <w:tcPr>
            <w:tcW w:w="1702" w:type="dxa"/>
            <w:tcBorders>
              <w:bottom w:val="single" w:sz="4" w:space="0" w:color="auto"/>
            </w:tcBorders>
            <w:shd w:val="clear" w:color="auto" w:fill="auto"/>
            <w:vAlign w:val="center"/>
          </w:tcPr>
          <w:p w14:paraId="1C9CA364" w14:textId="77777777" w:rsidR="00827437" w:rsidRPr="00522104" w:rsidRDefault="00827437" w:rsidP="00E40BEE">
            <w:pPr>
              <w:spacing w:after="0" w:line="240" w:lineRule="auto"/>
              <w:jc w:val="center"/>
              <w:rPr>
                <w:rFonts w:ascii="Times New Roman" w:eastAsia="Times New Roman" w:hAnsi="Times New Roman" w:cs="Times New Roman"/>
                <w:sz w:val="18"/>
                <w:szCs w:val="20"/>
                <w:lang w:eastAsia="ru-RU"/>
              </w:rPr>
            </w:pPr>
          </w:p>
        </w:tc>
        <w:tc>
          <w:tcPr>
            <w:tcW w:w="3260" w:type="dxa"/>
            <w:gridSpan w:val="3"/>
            <w:tcBorders>
              <w:bottom w:val="single" w:sz="4" w:space="0" w:color="auto"/>
            </w:tcBorders>
            <w:shd w:val="clear" w:color="auto" w:fill="auto"/>
            <w:vAlign w:val="center"/>
          </w:tcPr>
          <w:p w14:paraId="4034E229"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p>
        </w:tc>
        <w:tc>
          <w:tcPr>
            <w:tcW w:w="2551" w:type="dxa"/>
            <w:gridSpan w:val="3"/>
            <w:tcBorders>
              <w:bottom w:val="single" w:sz="4" w:space="0" w:color="auto"/>
            </w:tcBorders>
            <w:shd w:val="clear" w:color="auto" w:fill="auto"/>
            <w:vAlign w:val="center"/>
          </w:tcPr>
          <w:p w14:paraId="47D50687"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p>
        </w:tc>
        <w:tc>
          <w:tcPr>
            <w:tcW w:w="1985" w:type="dxa"/>
            <w:gridSpan w:val="2"/>
            <w:tcBorders>
              <w:bottom w:val="single" w:sz="4" w:space="0" w:color="auto"/>
            </w:tcBorders>
            <w:shd w:val="clear" w:color="auto" w:fill="auto"/>
            <w:vAlign w:val="center"/>
          </w:tcPr>
          <w:p w14:paraId="52683565" w14:textId="77777777" w:rsidR="00827437" w:rsidRPr="00C655A1" w:rsidRDefault="00827437" w:rsidP="00E40BEE">
            <w:pPr>
              <w:spacing w:after="0" w:line="240" w:lineRule="auto"/>
              <w:jc w:val="right"/>
              <w:rPr>
                <w:rFonts w:ascii="Times New Roman" w:eastAsia="Times New Roman" w:hAnsi="Times New Roman" w:cs="Times New Roman"/>
                <w:sz w:val="20"/>
                <w:szCs w:val="20"/>
                <w:lang w:eastAsia="ru-RU"/>
              </w:rPr>
            </w:pPr>
            <w:r w:rsidRPr="00C655A1">
              <w:rPr>
                <w:rFonts w:ascii="Times New Roman" w:eastAsia="Times New Roman" w:hAnsi="Times New Roman" w:cs="Times New Roman"/>
                <w:sz w:val="20"/>
                <w:szCs w:val="20"/>
                <w:lang w:eastAsia="ru-RU"/>
              </w:rPr>
              <w:t>(млн рублей)</w:t>
            </w:r>
          </w:p>
        </w:tc>
      </w:tr>
      <w:tr w:rsidR="00827437" w:rsidRPr="00522104" w14:paraId="799D10F2" w14:textId="77777777" w:rsidTr="00E40BEE">
        <w:trPr>
          <w:trHeight w:val="255"/>
        </w:trPr>
        <w:tc>
          <w:tcPr>
            <w:tcW w:w="17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2D7600"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18"/>
                <w:szCs w:val="20"/>
                <w:lang w:eastAsia="ru-RU"/>
              </w:rPr>
              <w:t>Наименование</w:t>
            </w:r>
          </w:p>
        </w:tc>
        <w:tc>
          <w:tcPr>
            <w:tcW w:w="3260" w:type="dxa"/>
            <w:gridSpan w:val="3"/>
            <w:tcBorders>
              <w:top w:val="single" w:sz="4" w:space="0" w:color="auto"/>
              <w:left w:val="nil"/>
              <w:bottom w:val="single" w:sz="4" w:space="0" w:color="auto"/>
              <w:right w:val="single" w:sz="4" w:space="0" w:color="auto"/>
            </w:tcBorders>
            <w:shd w:val="clear" w:color="auto" w:fill="auto"/>
            <w:vAlign w:val="center"/>
            <w:hideMark/>
          </w:tcPr>
          <w:p w14:paraId="4D14B585"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 № 969-КЗ</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14:paraId="2E847FCA"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Законопроект</w:t>
            </w:r>
          </w:p>
        </w:tc>
        <w:tc>
          <w:tcPr>
            <w:tcW w:w="1985" w:type="dxa"/>
            <w:gridSpan w:val="2"/>
            <w:tcBorders>
              <w:top w:val="single" w:sz="4" w:space="0" w:color="auto"/>
              <w:left w:val="nil"/>
              <w:bottom w:val="single" w:sz="4" w:space="0" w:color="auto"/>
              <w:right w:val="single" w:sz="4" w:space="0" w:color="auto"/>
            </w:tcBorders>
            <w:shd w:val="clear" w:color="auto" w:fill="auto"/>
            <w:vAlign w:val="center"/>
            <w:hideMark/>
          </w:tcPr>
          <w:p w14:paraId="2C27455F" w14:textId="77777777" w:rsidR="00827437" w:rsidRPr="00522104" w:rsidRDefault="00827437" w:rsidP="00E40BEE">
            <w:pPr>
              <w:spacing w:after="0" w:line="240" w:lineRule="auto"/>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Отклонения законопроекта от утвержденных назначений</w:t>
            </w:r>
          </w:p>
        </w:tc>
      </w:tr>
      <w:tr w:rsidR="00827437" w:rsidRPr="00522104" w14:paraId="06EDD666" w14:textId="77777777" w:rsidTr="00E40BEE">
        <w:trPr>
          <w:trHeight w:val="495"/>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19A0000A" w14:textId="77777777" w:rsidR="00827437" w:rsidRPr="00522104" w:rsidRDefault="00827437" w:rsidP="00E40BEE">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single" w:sz="4" w:space="0" w:color="auto"/>
              <w:right w:val="single" w:sz="4" w:space="0" w:color="auto"/>
            </w:tcBorders>
            <w:shd w:val="clear" w:color="auto" w:fill="auto"/>
            <w:vAlign w:val="center"/>
            <w:hideMark/>
          </w:tcPr>
          <w:p w14:paraId="2A2E374E"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первоначальная редакция</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A0C839A"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8 редакция</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2183BC"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 год</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C7A680"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2023 год</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4B6939"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2024 год</w:t>
            </w:r>
          </w:p>
        </w:tc>
        <w:tc>
          <w:tcPr>
            <w:tcW w:w="993" w:type="dxa"/>
            <w:vMerge w:val="restart"/>
            <w:tcBorders>
              <w:top w:val="nil"/>
              <w:left w:val="nil"/>
              <w:right w:val="single" w:sz="4" w:space="0" w:color="auto"/>
            </w:tcBorders>
            <w:shd w:val="clear" w:color="auto" w:fill="auto"/>
            <w:noWrap/>
            <w:vAlign w:val="center"/>
            <w:hideMark/>
          </w:tcPr>
          <w:p w14:paraId="071078B1"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2022/2021</w:t>
            </w:r>
          </w:p>
        </w:tc>
        <w:tc>
          <w:tcPr>
            <w:tcW w:w="992" w:type="dxa"/>
            <w:vMerge w:val="restart"/>
            <w:tcBorders>
              <w:top w:val="nil"/>
              <w:left w:val="nil"/>
              <w:right w:val="single" w:sz="4" w:space="0" w:color="auto"/>
            </w:tcBorders>
            <w:shd w:val="clear" w:color="auto" w:fill="auto"/>
            <w:noWrap/>
            <w:vAlign w:val="center"/>
            <w:hideMark/>
          </w:tcPr>
          <w:p w14:paraId="1DF2CEA2"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2022/2022</w:t>
            </w:r>
          </w:p>
        </w:tc>
      </w:tr>
      <w:tr w:rsidR="00827437" w:rsidRPr="00522104" w14:paraId="3CF88272" w14:textId="77777777" w:rsidTr="00E40BEE">
        <w:trPr>
          <w:trHeight w:val="188"/>
        </w:trPr>
        <w:tc>
          <w:tcPr>
            <w:tcW w:w="1702" w:type="dxa"/>
            <w:vMerge/>
            <w:tcBorders>
              <w:top w:val="single" w:sz="4" w:space="0" w:color="auto"/>
              <w:left w:val="single" w:sz="4" w:space="0" w:color="auto"/>
              <w:bottom w:val="single" w:sz="4" w:space="0" w:color="auto"/>
              <w:right w:val="single" w:sz="4" w:space="0" w:color="auto"/>
            </w:tcBorders>
            <w:vAlign w:val="center"/>
            <w:hideMark/>
          </w:tcPr>
          <w:p w14:paraId="6D46CDB6" w14:textId="77777777" w:rsidR="00827437" w:rsidRPr="00522104" w:rsidRDefault="00827437" w:rsidP="00E40BEE">
            <w:pPr>
              <w:spacing w:after="0" w:line="240" w:lineRule="auto"/>
              <w:rPr>
                <w:rFonts w:ascii="Times New Roman" w:eastAsia="Times New Roman" w:hAnsi="Times New Roman" w:cs="Times New Roman"/>
                <w:sz w:val="20"/>
                <w:szCs w:val="20"/>
                <w:lang w:eastAsia="ru-RU"/>
              </w:rPr>
            </w:pPr>
          </w:p>
        </w:tc>
        <w:tc>
          <w:tcPr>
            <w:tcW w:w="1559" w:type="dxa"/>
            <w:tcBorders>
              <w:top w:val="nil"/>
              <w:left w:val="nil"/>
              <w:bottom w:val="single" w:sz="4" w:space="0" w:color="auto"/>
              <w:right w:val="single" w:sz="4" w:space="0" w:color="auto"/>
            </w:tcBorders>
            <w:shd w:val="clear" w:color="auto" w:fill="auto"/>
            <w:vAlign w:val="center"/>
            <w:hideMark/>
          </w:tcPr>
          <w:p w14:paraId="504EA3F8"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2021 год</w:t>
            </w:r>
          </w:p>
        </w:tc>
        <w:tc>
          <w:tcPr>
            <w:tcW w:w="850" w:type="dxa"/>
            <w:tcBorders>
              <w:top w:val="nil"/>
              <w:left w:val="nil"/>
              <w:bottom w:val="single" w:sz="4" w:space="0" w:color="auto"/>
              <w:right w:val="single" w:sz="4" w:space="0" w:color="auto"/>
            </w:tcBorders>
            <w:shd w:val="clear" w:color="auto" w:fill="auto"/>
            <w:noWrap/>
            <w:vAlign w:val="center"/>
            <w:hideMark/>
          </w:tcPr>
          <w:p w14:paraId="73F54DD0"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2021 год</w:t>
            </w:r>
          </w:p>
        </w:tc>
        <w:tc>
          <w:tcPr>
            <w:tcW w:w="851" w:type="dxa"/>
            <w:tcBorders>
              <w:top w:val="nil"/>
              <w:left w:val="nil"/>
              <w:bottom w:val="single" w:sz="4" w:space="0" w:color="auto"/>
              <w:right w:val="single" w:sz="4" w:space="0" w:color="auto"/>
            </w:tcBorders>
            <w:shd w:val="clear" w:color="auto" w:fill="auto"/>
            <w:noWrap/>
            <w:vAlign w:val="center"/>
            <w:hideMark/>
          </w:tcPr>
          <w:p w14:paraId="24B713E8"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 год</w:t>
            </w:r>
          </w:p>
        </w:tc>
        <w:tc>
          <w:tcPr>
            <w:tcW w:w="850" w:type="dxa"/>
            <w:vMerge/>
            <w:tcBorders>
              <w:top w:val="nil"/>
              <w:left w:val="single" w:sz="4" w:space="0" w:color="auto"/>
              <w:bottom w:val="single" w:sz="4" w:space="0" w:color="auto"/>
              <w:right w:val="single" w:sz="4" w:space="0" w:color="auto"/>
            </w:tcBorders>
            <w:vAlign w:val="center"/>
            <w:hideMark/>
          </w:tcPr>
          <w:p w14:paraId="1E838220"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3623CD1C"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14:paraId="16806997"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p>
        </w:tc>
        <w:tc>
          <w:tcPr>
            <w:tcW w:w="993" w:type="dxa"/>
            <w:vMerge/>
            <w:tcBorders>
              <w:left w:val="nil"/>
              <w:bottom w:val="single" w:sz="4" w:space="0" w:color="auto"/>
              <w:right w:val="single" w:sz="4" w:space="0" w:color="auto"/>
            </w:tcBorders>
            <w:shd w:val="clear" w:color="auto" w:fill="auto"/>
            <w:noWrap/>
            <w:vAlign w:val="center"/>
          </w:tcPr>
          <w:p w14:paraId="575F8518"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p>
        </w:tc>
        <w:tc>
          <w:tcPr>
            <w:tcW w:w="992" w:type="dxa"/>
            <w:vMerge/>
            <w:tcBorders>
              <w:left w:val="nil"/>
              <w:bottom w:val="single" w:sz="4" w:space="0" w:color="auto"/>
              <w:right w:val="single" w:sz="4" w:space="0" w:color="auto"/>
            </w:tcBorders>
            <w:shd w:val="clear" w:color="auto" w:fill="auto"/>
            <w:noWrap/>
            <w:vAlign w:val="center"/>
          </w:tcPr>
          <w:p w14:paraId="0681CF40"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p>
        </w:tc>
      </w:tr>
      <w:tr w:rsidR="00827437" w:rsidRPr="00522104" w14:paraId="7FF95182" w14:textId="77777777" w:rsidTr="00E40BEE">
        <w:trPr>
          <w:trHeight w:val="92"/>
        </w:trPr>
        <w:tc>
          <w:tcPr>
            <w:tcW w:w="1702" w:type="dxa"/>
            <w:tcBorders>
              <w:top w:val="nil"/>
              <w:left w:val="single" w:sz="4" w:space="0" w:color="auto"/>
              <w:bottom w:val="single" w:sz="4" w:space="0" w:color="auto"/>
              <w:right w:val="single" w:sz="4" w:space="0" w:color="auto"/>
            </w:tcBorders>
            <w:shd w:val="clear" w:color="DDEBF7" w:fill="FFFFFF"/>
            <w:vAlign w:val="center"/>
            <w:hideMark/>
          </w:tcPr>
          <w:p w14:paraId="24B13219"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1</w:t>
            </w:r>
          </w:p>
        </w:tc>
        <w:tc>
          <w:tcPr>
            <w:tcW w:w="1559" w:type="dxa"/>
            <w:tcBorders>
              <w:top w:val="nil"/>
              <w:left w:val="nil"/>
              <w:bottom w:val="single" w:sz="4" w:space="0" w:color="auto"/>
              <w:right w:val="single" w:sz="4" w:space="0" w:color="auto"/>
            </w:tcBorders>
            <w:shd w:val="clear" w:color="auto" w:fill="auto"/>
            <w:vAlign w:val="center"/>
            <w:hideMark/>
          </w:tcPr>
          <w:p w14:paraId="3CDBA506"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2</w:t>
            </w:r>
          </w:p>
        </w:tc>
        <w:tc>
          <w:tcPr>
            <w:tcW w:w="850" w:type="dxa"/>
            <w:tcBorders>
              <w:top w:val="nil"/>
              <w:left w:val="nil"/>
              <w:bottom w:val="single" w:sz="4" w:space="0" w:color="auto"/>
              <w:right w:val="single" w:sz="4" w:space="0" w:color="auto"/>
            </w:tcBorders>
            <w:shd w:val="clear" w:color="auto" w:fill="auto"/>
            <w:vAlign w:val="center"/>
            <w:hideMark/>
          </w:tcPr>
          <w:p w14:paraId="5156BD02"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14:paraId="079DC9CD"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14:paraId="4B53694E"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5</w:t>
            </w:r>
          </w:p>
        </w:tc>
        <w:tc>
          <w:tcPr>
            <w:tcW w:w="851" w:type="dxa"/>
            <w:tcBorders>
              <w:top w:val="nil"/>
              <w:left w:val="nil"/>
              <w:bottom w:val="single" w:sz="4" w:space="0" w:color="auto"/>
              <w:right w:val="single" w:sz="4" w:space="0" w:color="auto"/>
            </w:tcBorders>
            <w:shd w:val="clear" w:color="auto" w:fill="auto"/>
            <w:vAlign w:val="center"/>
            <w:hideMark/>
          </w:tcPr>
          <w:p w14:paraId="59FBB924"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6</w:t>
            </w:r>
          </w:p>
        </w:tc>
        <w:tc>
          <w:tcPr>
            <w:tcW w:w="850" w:type="dxa"/>
            <w:tcBorders>
              <w:top w:val="nil"/>
              <w:left w:val="nil"/>
              <w:bottom w:val="single" w:sz="4" w:space="0" w:color="auto"/>
              <w:right w:val="single" w:sz="4" w:space="0" w:color="auto"/>
            </w:tcBorders>
            <w:shd w:val="clear" w:color="auto" w:fill="auto"/>
            <w:vAlign w:val="center"/>
            <w:hideMark/>
          </w:tcPr>
          <w:p w14:paraId="28FA71D2"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7</w:t>
            </w:r>
          </w:p>
        </w:tc>
        <w:tc>
          <w:tcPr>
            <w:tcW w:w="993" w:type="dxa"/>
            <w:tcBorders>
              <w:top w:val="nil"/>
              <w:left w:val="nil"/>
              <w:bottom w:val="single" w:sz="4" w:space="0" w:color="auto"/>
              <w:right w:val="single" w:sz="4" w:space="0" w:color="auto"/>
            </w:tcBorders>
            <w:shd w:val="clear" w:color="auto" w:fill="auto"/>
            <w:vAlign w:val="center"/>
            <w:hideMark/>
          </w:tcPr>
          <w:p w14:paraId="2AED53AA"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8=5-3</w:t>
            </w:r>
          </w:p>
        </w:tc>
        <w:tc>
          <w:tcPr>
            <w:tcW w:w="992" w:type="dxa"/>
            <w:tcBorders>
              <w:top w:val="nil"/>
              <w:left w:val="nil"/>
              <w:bottom w:val="single" w:sz="4" w:space="0" w:color="auto"/>
              <w:right w:val="single" w:sz="4" w:space="0" w:color="auto"/>
            </w:tcBorders>
            <w:shd w:val="clear" w:color="auto" w:fill="auto"/>
            <w:vAlign w:val="center"/>
            <w:hideMark/>
          </w:tcPr>
          <w:p w14:paraId="6DAF7A72" w14:textId="77777777" w:rsidR="00827437" w:rsidRPr="00522104" w:rsidRDefault="00827437" w:rsidP="00E40BEE">
            <w:pPr>
              <w:spacing w:after="0" w:line="240" w:lineRule="auto"/>
              <w:jc w:val="center"/>
              <w:rPr>
                <w:rFonts w:ascii="Times New Roman" w:eastAsia="Times New Roman" w:hAnsi="Times New Roman" w:cs="Times New Roman"/>
                <w:sz w:val="16"/>
                <w:szCs w:val="16"/>
                <w:lang w:eastAsia="ru-RU"/>
              </w:rPr>
            </w:pPr>
            <w:r w:rsidRPr="00522104">
              <w:rPr>
                <w:rFonts w:ascii="Times New Roman" w:eastAsia="Times New Roman" w:hAnsi="Times New Roman" w:cs="Times New Roman"/>
                <w:sz w:val="16"/>
                <w:szCs w:val="16"/>
                <w:lang w:eastAsia="ru-RU"/>
              </w:rPr>
              <w:t>9=5-4</w:t>
            </w:r>
          </w:p>
        </w:tc>
      </w:tr>
      <w:tr w:rsidR="00827437" w:rsidRPr="00522104" w14:paraId="7B4B19A0" w14:textId="77777777" w:rsidTr="00E40BEE">
        <w:trPr>
          <w:trHeight w:val="195"/>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AB8F039"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"Информационное общество"</w:t>
            </w:r>
          </w:p>
        </w:tc>
        <w:tc>
          <w:tcPr>
            <w:tcW w:w="1559" w:type="dxa"/>
            <w:tcBorders>
              <w:top w:val="nil"/>
              <w:left w:val="nil"/>
              <w:bottom w:val="single" w:sz="4" w:space="0" w:color="auto"/>
              <w:right w:val="single" w:sz="4" w:space="0" w:color="auto"/>
            </w:tcBorders>
            <w:shd w:val="clear" w:color="auto" w:fill="auto"/>
            <w:noWrap/>
            <w:vAlign w:val="bottom"/>
            <w:hideMark/>
          </w:tcPr>
          <w:p w14:paraId="43E48842"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1917,61</w:t>
            </w:r>
          </w:p>
        </w:tc>
        <w:tc>
          <w:tcPr>
            <w:tcW w:w="850" w:type="dxa"/>
            <w:tcBorders>
              <w:top w:val="nil"/>
              <w:left w:val="nil"/>
              <w:bottom w:val="single" w:sz="4" w:space="0" w:color="auto"/>
              <w:right w:val="single" w:sz="4" w:space="0" w:color="auto"/>
            </w:tcBorders>
            <w:shd w:val="clear" w:color="auto" w:fill="auto"/>
            <w:noWrap/>
            <w:vAlign w:val="bottom"/>
            <w:hideMark/>
          </w:tcPr>
          <w:p w14:paraId="314C25BE"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2030,05</w:t>
            </w:r>
          </w:p>
        </w:tc>
        <w:tc>
          <w:tcPr>
            <w:tcW w:w="851" w:type="dxa"/>
            <w:tcBorders>
              <w:top w:val="nil"/>
              <w:left w:val="nil"/>
              <w:bottom w:val="single" w:sz="4" w:space="0" w:color="auto"/>
              <w:right w:val="single" w:sz="4" w:space="0" w:color="auto"/>
            </w:tcBorders>
            <w:shd w:val="clear" w:color="auto" w:fill="auto"/>
            <w:noWrap/>
            <w:vAlign w:val="bottom"/>
            <w:hideMark/>
          </w:tcPr>
          <w:p w14:paraId="5150B4BA"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1890,36</w:t>
            </w:r>
          </w:p>
        </w:tc>
        <w:tc>
          <w:tcPr>
            <w:tcW w:w="850" w:type="dxa"/>
            <w:tcBorders>
              <w:top w:val="nil"/>
              <w:left w:val="nil"/>
              <w:bottom w:val="single" w:sz="4" w:space="0" w:color="auto"/>
              <w:right w:val="single" w:sz="4" w:space="0" w:color="auto"/>
            </w:tcBorders>
            <w:shd w:val="clear" w:color="auto" w:fill="auto"/>
            <w:noWrap/>
            <w:vAlign w:val="bottom"/>
            <w:hideMark/>
          </w:tcPr>
          <w:p w14:paraId="20322115"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2502,68</w:t>
            </w:r>
          </w:p>
        </w:tc>
        <w:tc>
          <w:tcPr>
            <w:tcW w:w="851" w:type="dxa"/>
            <w:tcBorders>
              <w:top w:val="nil"/>
              <w:left w:val="nil"/>
              <w:bottom w:val="single" w:sz="4" w:space="0" w:color="auto"/>
              <w:right w:val="single" w:sz="4" w:space="0" w:color="auto"/>
            </w:tcBorders>
            <w:shd w:val="clear" w:color="auto" w:fill="auto"/>
            <w:noWrap/>
            <w:vAlign w:val="bottom"/>
            <w:hideMark/>
          </w:tcPr>
          <w:p w14:paraId="3E2BF07B"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2586,40</w:t>
            </w:r>
          </w:p>
        </w:tc>
        <w:tc>
          <w:tcPr>
            <w:tcW w:w="850" w:type="dxa"/>
            <w:tcBorders>
              <w:top w:val="nil"/>
              <w:left w:val="nil"/>
              <w:bottom w:val="single" w:sz="4" w:space="0" w:color="auto"/>
              <w:right w:val="single" w:sz="4" w:space="0" w:color="auto"/>
            </w:tcBorders>
            <w:shd w:val="clear" w:color="auto" w:fill="auto"/>
            <w:noWrap/>
            <w:vAlign w:val="bottom"/>
            <w:hideMark/>
          </w:tcPr>
          <w:p w14:paraId="36B56DF5"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3336,41</w:t>
            </w:r>
          </w:p>
        </w:tc>
        <w:tc>
          <w:tcPr>
            <w:tcW w:w="993" w:type="dxa"/>
            <w:tcBorders>
              <w:top w:val="nil"/>
              <w:left w:val="nil"/>
              <w:bottom w:val="single" w:sz="4" w:space="0" w:color="auto"/>
              <w:right w:val="single" w:sz="4" w:space="0" w:color="auto"/>
            </w:tcBorders>
            <w:shd w:val="clear" w:color="auto" w:fill="auto"/>
            <w:noWrap/>
            <w:vAlign w:val="bottom"/>
            <w:hideMark/>
          </w:tcPr>
          <w:p w14:paraId="69483096"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472,63</w:t>
            </w:r>
          </w:p>
        </w:tc>
        <w:tc>
          <w:tcPr>
            <w:tcW w:w="992" w:type="dxa"/>
            <w:tcBorders>
              <w:top w:val="nil"/>
              <w:left w:val="nil"/>
              <w:bottom w:val="single" w:sz="4" w:space="0" w:color="auto"/>
              <w:right w:val="single" w:sz="4" w:space="0" w:color="auto"/>
            </w:tcBorders>
            <w:shd w:val="clear" w:color="auto" w:fill="auto"/>
            <w:noWrap/>
            <w:vAlign w:val="bottom"/>
            <w:hideMark/>
          </w:tcPr>
          <w:p w14:paraId="117CC981"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612,32</w:t>
            </w:r>
          </w:p>
        </w:tc>
      </w:tr>
    </w:tbl>
    <w:p w14:paraId="0B22FF12" w14:textId="77777777" w:rsidR="00827437" w:rsidRPr="00522104" w:rsidRDefault="00827437" w:rsidP="00827437">
      <w:pPr>
        <w:spacing w:after="0" w:line="240" w:lineRule="auto"/>
        <w:ind w:firstLine="720"/>
        <w:jc w:val="both"/>
        <w:rPr>
          <w:rFonts w:ascii="Times New Roman" w:eastAsia="Calibri" w:hAnsi="Times New Roman" w:cs="Times New Roman"/>
          <w:sz w:val="28"/>
          <w:szCs w:val="28"/>
          <w:lang w:eastAsia="ru-RU"/>
        </w:rPr>
      </w:pPr>
    </w:p>
    <w:p w14:paraId="58A01766" w14:textId="6B0EBD1C" w:rsidR="00827437" w:rsidRPr="00522104" w:rsidRDefault="00827437" w:rsidP="00827437">
      <w:pPr>
        <w:spacing w:after="0" w:line="240" w:lineRule="auto"/>
        <w:ind w:firstLine="720"/>
        <w:jc w:val="both"/>
        <w:rPr>
          <w:rFonts w:ascii="Times New Roman" w:eastAsiaTheme="minorEastAsia" w:hAnsi="Times New Roman" w:cs="Times New Roman"/>
          <w:sz w:val="28"/>
          <w:szCs w:val="28"/>
          <w:lang w:eastAsia="ru-RU"/>
        </w:rPr>
      </w:pPr>
      <w:r w:rsidRPr="00522104">
        <w:rPr>
          <w:rFonts w:ascii="Times New Roman" w:eastAsia="Calibri" w:hAnsi="Times New Roman" w:cs="Times New Roman"/>
          <w:sz w:val="28"/>
          <w:szCs w:val="28"/>
          <w:lang w:eastAsia="ru-RU"/>
        </w:rPr>
        <w:t>Расходы на реализацию мероприятий в законопроекте на 2022 год в разрезе ведомств запланированы по министерству цифрового развития и связи</w:t>
      </w:r>
      <w:r w:rsidRPr="00522104">
        <w:rPr>
          <w:rFonts w:ascii="Times New Roman" w:eastAsiaTheme="minorEastAsia" w:hAnsi="Times New Roman" w:cs="Times New Roman"/>
          <w:sz w:val="28"/>
          <w:szCs w:val="28"/>
          <w:lang w:eastAsia="ru-RU"/>
        </w:rPr>
        <w:t xml:space="preserve"> Приморского края – 2049,34 млн рублей (доля 81,89 % в общем объеме расходов), департаменту информационной политики Приморского края – 352,59 млн рублей (14,09 %), департаменту по координации правоохранительной деятельности, исполнения административного законодательства и обеспечения деятельности мировы</w:t>
      </w:r>
      <w:r w:rsidR="00250F56" w:rsidRPr="00522104">
        <w:rPr>
          <w:rFonts w:ascii="Times New Roman" w:eastAsiaTheme="minorEastAsia" w:hAnsi="Times New Roman" w:cs="Times New Roman"/>
          <w:sz w:val="28"/>
          <w:szCs w:val="28"/>
          <w:lang w:eastAsia="ru-RU"/>
        </w:rPr>
        <w:t>х судей Приморского края – 62,45</w:t>
      </w:r>
      <w:r w:rsidRPr="00522104">
        <w:rPr>
          <w:rFonts w:ascii="Times New Roman" w:eastAsiaTheme="minorEastAsia" w:hAnsi="Times New Roman" w:cs="Times New Roman"/>
          <w:sz w:val="28"/>
          <w:szCs w:val="28"/>
          <w:lang w:eastAsia="ru-RU"/>
        </w:rPr>
        <w:t xml:space="preserve"> млн рублей (2,50 %), министерству труда и социального развития Приморского края – 30,55 млн рублей (1,22 %), министерству профессионального образования и занятости населения Приморского края – 7,75 млн рублей (0,31 %).</w:t>
      </w:r>
    </w:p>
    <w:p w14:paraId="10AE974C"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Показатели бюджетных ассигнований, предусмотренные законопроектом на реализацию ГП, соответствуют данным по общей сумме расходов, приведенных в проекте паспорта ГП, представленного одновременно с законопроектом.</w:t>
      </w:r>
    </w:p>
    <w:p w14:paraId="14EF0006" w14:textId="77777777" w:rsidR="00827437" w:rsidRPr="00522104" w:rsidRDefault="00827437" w:rsidP="00827437">
      <w:pPr>
        <w:spacing w:after="0" w:line="240" w:lineRule="auto"/>
        <w:ind w:firstLine="720"/>
        <w:jc w:val="both"/>
        <w:rPr>
          <w:rFonts w:ascii="Times New Roman" w:hAnsi="Times New Roman" w:cs="Times New Roman"/>
          <w:sz w:val="28"/>
          <w:szCs w:val="28"/>
        </w:rPr>
      </w:pPr>
      <w:r w:rsidRPr="00522104">
        <w:rPr>
          <w:rFonts w:ascii="Times New Roman" w:hAnsi="Times New Roman" w:cs="Times New Roman"/>
          <w:sz w:val="28"/>
          <w:szCs w:val="28"/>
        </w:rPr>
        <w:t>В рамках ГП реализуются федеральные проекты НП "Цифровая экономика", по которым законопроектом на 2022 год запланировано следующее финансовое обеспечение:</w:t>
      </w:r>
    </w:p>
    <w:p w14:paraId="2FE0AF9C" w14:textId="09426937" w:rsidR="00827437" w:rsidRPr="00522104" w:rsidRDefault="00827437" w:rsidP="00827437">
      <w:pPr>
        <w:spacing w:after="0" w:line="240" w:lineRule="auto"/>
        <w:ind w:firstLine="720"/>
        <w:jc w:val="both"/>
        <w:rPr>
          <w:rFonts w:ascii="Times New Roman" w:eastAsiaTheme="minorEastAsia" w:hAnsi="Times New Roman" w:cs="Times New Roman"/>
          <w:sz w:val="28"/>
          <w:szCs w:val="28"/>
          <w:lang w:eastAsia="ru-RU"/>
        </w:rPr>
      </w:pPr>
      <w:r w:rsidRPr="00522104">
        <w:rPr>
          <w:rFonts w:ascii="Times New Roman" w:hAnsi="Times New Roman" w:cs="Times New Roman"/>
          <w:i/>
          <w:sz w:val="28"/>
          <w:szCs w:val="28"/>
        </w:rPr>
        <w:t>ФП "Информационная инфраструктура"</w:t>
      </w:r>
      <w:r w:rsidRPr="00522104">
        <w:rPr>
          <w:rFonts w:ascii="Times New Roman" w:hAnsi="Times New Roman" w:cs="Times New Roman"/>
          <w:sz w:val="28"/>
          <w:szCs w:val="28"/>
        </w:rPr>
        <w:t xml:space="preserve"> в сумме 62,4</w:t>
      </w:r>
      <w:r w:rsidR="00250F56" w:rsidRPr="00522104">
        <w:rPr>
          <w:rFonts w:ascii="Times New Roman" w:hAnsi="Times New Roman" w:cs="Times New Roman"/>
          <w:sz w:val="28"/>
          <w:szCs w:val="28"/>
        </w:rPr>
        <w:t>5</w:t>
      </w:r>
      <w:r w:rsidRPr="00522104">
        <w:rPr>
          <w:rFonts w:ascii="Times New Roman" w:hAnsi="Times New Roman" w:cs="Times New Roman"/>
          <w:sz w:val="28"/>
          <w:szCs w:val="28"/>
        </w:rPr>
        <w:t xml:space="preserve"> млн рублей (2,50 % </w:t>
      </w:r>
      <w:r w:rsidRPr="00522104">
        <w:rPr>
          <w:rFonts w:ascii="Times New Roman" w:eastAsiaTheme="minorEastAsia" w:hAnsi="Times New Roman" w:cs="Times New Roman"/>
          <w:sz w:val="28"/>
          <w:szCs w:val="28"/>
          <w:lang w:eastAsia="ru-RU"/>
        </w:rPr>
        <w:t>в расходах ГП);</w:t>
      </w:r>
    </w:p>
    <w:p w14:paraId="59BDCDCF" w14:textId="77777777" w:rsidR="00827437" w:rsidRPr="00522104" w:rsidRDefault="00827437" w:rsidP="00827437">
      <w:pPr>
        <w:spacing w:after="0" w:line="240" w:lineRule="auto"/>
        <w:ind w:firstLine="720"/>
        <w:jc w:val="both"/>
        <w:rPr>
          <w:rFonts w:ascii="Times New Roman" w:eastAsiaTheme="minorEastAsia" w:hAnsi="Times New Roman" w:cs="Times New Roman"/>
          <w:sz w:val="28"/>
          <w:szCs w:val="28"/>
          <w:lang w:eastAsia="ru-RU"/>
        </w:rPr>
      </w:pPr>
      <w:r w:rsidRPr="00522104">
        <w:rPr>
          <w:rFonts w:ascii="Times New Roman" w:hAnsi="Times New Roman" w:cs="Times New Roman"/>
          <w:i/>
          <w:sz w:val="28"/>
          <w:szCs w:val="28"/>
        </w:rPr>
        <w:t>ФП "</w:t>
      </w:r>
      <w:r w:rsidRPr="00522104">
        <w:rPr>
          <w:rFonts w:ascii="Times New Roman" w:eastAsiaTheme="minorEastAsia" w:hAnsi="Times New Roman" w:cs="Times New Roman"/>
          <w:i/>
          <w:sz w:val="28"/>
          <w:szCs w:val="28"/>
          <w:lang w:eastAsia="ru-RU"/>
        </w:rPr>
        <w:t xml:space="preserve">Информационная безопасность" </w:t>
      </w:r>
      <w:r w:rsidRPr="00522104">
        <w:rPr>
          <w:rFonts w:ascii="Times New Roman" w:eastAsiaTheme="minorEastAsia" w:hAnsi="Times New Roman" w:cs="Times New Roman"/>
          <w:sz w:val="28"/>
          <w:szCs w:val="28"/>
          <w:lang w:eastAsia="ru-RU"/>
        </w:rPr>
        <w:t>в сумме 35,70 млн рублей (1,43 %);</w:t>
      </w:r>
    </w:p>
    <w:p w14:paraId="618D6BBE" w14:textId="77777777" w:rsidR="00827437" w:rsidRPr="00522104" w:rsidRDefault="00827437" w:rsidP="00827437">
      <w:pPr>
        <w:spacing w:after="0" w:line="240" w:lineRule="auto"/>
        <w:ind w:firstLine="720"/>
        <w:jc w:val="both"/>
        <w:rPr>
          <w:rFonts w:ascii="Times New Roman" w:hAnsi="Times New Roman" w:cs="Times New Roman"/>
          <w:sz w:val="28"/>
          <w:szCs w:val="28"/>
        </w:rPr>
      </w:pPr>
      <w:r w:rsidRPr="00522104">
        <w:rPr>
          <w:rFonts w:ascii="Times New Roman" w:eastAsiaTheme="minorEastAsia" w:hAnsi="Times New Roman" w:cs="Times New Roman"/>
          <w:i/>
          <w:sz w:val="28"/>
          <w:szCs w:val="28"/>
          <w:lang w:eastAsia="ru-RU"/>
        </w:rPr>
        <w:t>ФП "Цифровое государственное управление"</w:t>
      </w:r>
      <w:r w:rsidRPr="00522104">
        <w:rPr>
          <w:rFonts w:ascii="Times New Roman" w:eastAsiaTheme="minorEastAsia" w:hAnsi="Times New Roman" w:cs="Times New Roman"/>
          <w:sz w:val="28"/>
          <w:szCs w:val="28"/>
          <w:lang w:eastAsia="ru-RU"/>
        </w:rPr>
        <w:t xml:space="preserve"> в сумме 35,19 млн рублей (1,41 %).</w:t>
      </w:r>
      <w:r w:rsidRPr="00522104">
        <w:rPr>
          <w:rFonts w:ascii="Times New Roman" w:hAnsi="Times New Roman" w:cs="Times New Roman"/>
          <w:sz w:val="28"/>
          <w:szCs w:val="28"/>
        </w:rPr>
        <w:t xml:space="preserve"> </w:t>
      </w:r>
    </w:p>
    <w:p w14:paraId="096B474C" w14:textId="77777777" w:rsidR="00827437" w:rsidRPr="00522104" w:rsidRDefault="00827437" w:rsidP="00827437">
      <w:pPr>
        <w:spacing w:after="0" w:line="240" w:lineRule="auto"/>
        <w:ind w:firstLine="720"/>
        <w:jc w:val="both"/>
        <w:rPr>
          <w:rFonts w:ascii="Times New Roman" w:hAnsi="Times New Roman" w:cs="Times New Roman"/>
          <w:sz w:val="28"/>
          <w:szCs w:val="28"/>
        </w:rPr>
      </w:pPr>
      <w:r w:rsidRPr="00522104">
        <w:rPr>
          <w:rFonts w:ascii="Times New Roman" w:hAnsi="Times New Roman" w:cs="Times New Roman"/>
          <w:sz w:val="28"/>
          <w:szCs w:val="28"/>
        </w:rPr>
        <w:t>Распределение бюджетных ассигнований на финансовое обеспечение ГП по трем подпрограммам с указанием федеральных проектов на 2022 год представлено в таблице.</w:t>
      </w:r>
    </w:p>
    <w:p w14:paraId="739AD7F8" w14:textId="77777777" w:rsidR="00827437" w:rsidRPr="00C655A1" w:rsidRDefault="00827437" w:rsidP="00827437">
      <w:pPr>
        <w:autoSpaceDE w:val="0"/>
        <w:autoSpaceDN w:val="0"/>
        <w:adjustRightInd w:val="0"/>
        <w:spacing w:after="0" w:line="240" w:lineRule="auto"/>
        <w:ind w:firstLine="709"/>
        <w:jc w:val="right"/>
        <w:rPr>
          <w:rFonts w:ascii="Times New Roman" w:eastAsia="Calibri" w:hAnsi="Times New Roman" w:cs="Times New Roman"/>
          <w:sz w:val="20"/>
          <w:szCs w:val="20"/>
          <w:lang w:eastAsia="ru-RU"/>
        </w:rPr>
      </w:pPr>
      <w:r w:rsidRPr="00522104">
        <w:rPr>
          <w:rFonts w:ascii="Times New Roman" w:eastAsia="Times New Roman" w:hAnsi="Times New Roman" w:cs="Times New Roman"/>
          <w:sz w:val="24"/>
          <w:szCs w:val="20"/>
          <w:lang w:eastAsia="ru-RU"/>
        </w:rPr>
        <w:t xml:space="preserve"> </w:t>
      </w:r>
      <w:r w:rsidRPr="00C655A1">
        <w:rPr>
          <w:rFonts w:ascii="Times New Roman" w:eastAsia="Times New Roman" w:hAnsi="Times New Roman" w:cs="Times New Roman"/>
          <w:sz w:val="20"/>
          <w:szCs w:val="20"/>
          <w:lang w:eastAsia="ru-RU"/>
        </w:rPr>
        <w:t>(млн рублей)</w:t>
      </w:r>
    </w:p>
    <w:tbl>
      <w:tblPr>
        <w:tblW w:w="9781" w:type="dxa"/>
        <w:tblInd w:w="-289" w:type="dxa"/>
        <w:tblLayout w:type="fixed"/>
        <w:tblLook w:val="04A0" w:firstRow="1" w:lastRow="0" w:firstColumn="1" w:lastColumn="0" w:noHBand="0" w:noVBand="1"/>
      </w:tblPr>
      <w:tblGrid>
        <w:gridCol w:w="2552"/>
        <w:gridCol w:w="1010"/>
        <w:gridCol w:w="833"/>
        <w:gridCol w:w="850"/>
        <w:gridCol w:w="851"/>
        <w:gridCol w:w="850"/>
        <w:gridCol w:w="851"/>
        <w:gridCol w:w="992"/>
        <w:gridCol w:w="992"/>
      </w:tblGrid>
      <w:tr w:rsidR="00827437" w:rsidRPr="00522104" w14:paraId="381A7335" w14:textId="77777777" w:rsidTr="00C655A1">
        <w:trPr>
          <w:trHeight w:val="300"/>
          <w:tblHeader/>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5C2920"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Наименование</w:t>
            </w:r>
          </w:p>
        </w:tc>
        <w:tc>
          <w:tcPr>
            <w:tcW w:w="2693" w:type="dxa"/>
            <w:gridSpan w:val="3"/>
            <w:tcBorders>
              <w:top w:val="single" w:sz="4" w:space="0" w:color="auto"/>
              <w:left w:val="nil"/>
              <w:bottom w:val="single" w:sz="4" w:space="0" w:color="auto"/>
              <w:right w:val="single" w:sz="4" w:space="0" w:color="auto"/>
            </w:tcBorders>
            <w:shd w:val="clear" w:color="auto" w:fill="auto"/>
            <w:vAlign w:val="center"/>
            <w:hideMark/>
          </w:tcPr>
          <w:p w14:paraId="68A276FB"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Закон № 969-КЗ</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14:paraId="3BBB6A87"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Законопроект</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14:paraId="1FF293BD"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Отклонения законопроекта от утвержденных назначений</w:t>
            </w:r>
          </w:p>
        </w:tc>
      </w:tr>
      <w:tr w:rsidR="007602C4" w:rsidRPr="00522104" w14:paraId="721F1945" w14:textId="77777777" w:rsidTr="00C655A1">
        <w:trPr>
          <w:trHeight w:val="378"/>
          <w:tblHeader/>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69C27EE9" w14:textId="77777777" w:rsidR="007602C4" w:rsidRPr="00522104" w:rsidRDefault="007602C4" w:rsidP="00E40BEE">
            <w:pPr>
              <w:spacing w:after="0" w:line="240" w:lineRule="auto"/>
              <w:rPr>
                <w:rFonts w:ascii="Times New Roman" w:eastAsia="Times New Roman" w:hAnsi="Times New Roman" w:cs="Times New Roman"/>
                <w:sz w:val="18"/>
                <w:szCs w:val="18"/>
                <w:lang w:eastAsia="ru-RU"/>
              </w:rPr>
            </w:pPr>
          </w:p>
        </w:tc>
        <w:tc>
          <w:tcPr>
            <w:tcW w:w="1010" w:type="dxa"/>
            <w:vMerge w:val="restart"/>
            <w:tcBorders>
              <w:top w:val="nil"/>
              <w:left w:val="nil"/>
              <w:right w:val="single" w:sz="4" w:space="0" w:color="auto"/>
            </w:tcBorders>
            <w:shd w:val="clear" w:color="auto" w:fill="auto"/>
            <w:vAlign w:val="center"/>
            <w:hideMark/>
          </w:tcPr>
          <w:p w14:paraId="2A6D3928"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первона-чальная редакция</w:t>
            </w:r>
          </w:p>
          <w:p w14:paraId="658B957F" w14:textId="3B368B1F"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2021 год</w:t>
            </w:r>
          </w:p>
        </w:tc>
        <w:tc>
          <w:tcPr>
            <w:tcW w:w="1683"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F315B5"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8 редакция</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94A22A"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 год</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F1DDDD4"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2023 год</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D3ED2D"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2024 год</w:t>
            </w:r>
          </w:p>
        </w:tc>
        <w:tc>
          <w:tcPr>
            <w:tcW w:w="992" w:type="dxa"/>
            <w:vMerge w:val="restart"/>
            <w:tcBorders>
              <w:top w:val="nil"/>
              <w:left w:val="nil"/>
              <w:right w:val="single" w:sz="4" w:space="0" w:color="auto"/>
            </w:tcBorders>
            <w:shd w:val="clear" w:color="auto" w:fill="auto"/>
            <w:noWrap/>
            <w:vAlign w:val="center"/>
            <w:hideMark/>
          </w:tcPr>
          <w:p w14:paraId="083EA50D" w14:textId="77777777" w:rsidR="007602C4" w:rsidRPr="00522104" w:rsidRDefault="007602C4" w:rsidP="00E40BEE">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2022/2021</w:t>
            </w:r>
          </w:p>
        </w:tc>
        <w:tc>
          <w:tcPr>
            <w:tcW w:w="992" w:type="dxa"/>
            <w:vMerge w:val="restart"/>
            <w:tcBorders>
              <w:top w:val="nil"/>
              <w:left w:val="nil"/>
              <w:right w:val="single" w:sz="4" w:space="0" w:color="auto"/>
            </w:tcBorders>
            <w:shd w:val="clear" w:color="auto" w:fill="auto"/>
            <w:noWrap/>
            <w:vAlign w:val="center"/>
            <w:hideMark/>
          </w:tcPr>
          <w:p w14:paraId="664EA50F" w14:textId="77777777" w:rsidR="007602C4" w:rsidRPr="00522104" w:rsidRDefault="007602C4" w:rsidP="00E40BEE">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2022/2022</w:t>
            </w:r>
          </w:p>
        </w:tc>
      </w:tr>
      <w:tr w:rsidR="007602C4" w:rsidRPr="00522104" w14:paraId="74ECF5F4" w14:textId="77777777" w:rsidTr="00C655A1">
        <w:trPr>
          <w:trHeight w:val="300"/>
          <w:tblHeader/>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2E1970B1" w14:textId="77777777" w:rsidR="007602C4" w:rsidRPr="00522104" w:rsidRDefault="007602C4" w:rsidP="00E40BEE">
            <w:pPr>
              <w:spacing w:after="0" w:line="240" w:lineRule="auto"/>
              <w:rPr>
                <w:rFonts w:ascii="Times New Roman" w:eastAsia="Times New Roman" w:hAnsi="Times New Roman" w:cs="Times New Roman"/>
                <w:sz w:val="18"/>
                <w:szCs w:val="18"/>
                <w:lang w:eastAsia="ru-RU"/>
              </w:rPr>
            </w:pPr>
          </w:p>
        </w:tc>
        <w:tc>
          <w:tcPr>
            <w:tcW w:w="1010" w:type="dxa"/>
            <w:vMerge/>
            <w:tcBorders>
              <w:left w:val="nil"/>
              <w:bottom w:val="single" w:sz="4" w:space="0" w:color="auto"/>
              <w:right w:val="single" w:sz="4" w:space="0" w:color="auto"/>
            </w:tcBorders>
            <w:shd w:val="clear" w:color="auto" w:fill="auto"/>
            <w:vAlign w:val="center"/>
            <w:hideMark/>
          </w:tcPr>
          <w:p w14:paraId="2104FD43" w14:textId="4CA67F44"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p>
        </w:tc>
        <w:tc>
          <w:tcPr>
            <w:tcW w:w="833" w:type="dxa"/>
            <w:tcBorders>
              <w:top w:val="nil"/>
              <w:left w:val="nil"/>
              <w:bottom w:val="single" w:sz="4" w:space="0" w:color="auto"/>
              <w:right w:val="single" w:sz="4" w:space="0" w:color="auto"/>
            </w:tcBorders>
            <w:shd w:val="clear" w:color="auto" w:fill="auto"/>
            <w:noWrap/>
            <w:vAlign w:val="center"/>
            <w:hideMark/>
          </w:tcPr>
          <w:p w14:paraId="5774A757"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2021 год</w:t>
            </w:r>
          </w:p>
        </w:tc>
        <w:tc>
          <w:tcPr>
            <w:tcW w:w="850" w:type="dxa"/>
            <w:tcBorders>
              <w:top w:val="nil"/>
              <w:left w:val="nil"/>
              <w:bottom w:val="single" w:sz="4" w:space="0" w:color="auto"/>
              <w:right w:val="single" w:sz="4" w:space="0" w:color="auto"/>
            </w:tcBorders>
            <w:shd w:val="clear" w:color="auto" w:fill="auto"/>
            <w:noWrap/>
            <w:vAlign w:val="center"/>
            <w:hideMark/>
          </w:tcPr>
          <w:p w14:paraId="314490B2"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2022 год</w:t>
            </w:r>
          </w:p>
        </w:tc>
        <w:tc>
          <w:tcPr>
            <w:tcW w:w="851" w:type="dxa"/>
            <w:vMerge/>
            <w:tcBorders>
              <w:top w:val="nil"/>
              <w:left w:val="single" w:sz="4" w:space="0" w:color="auto"/>
              <w:bottom w:val="single" w:sz="4" w:space="0" w:color="auto"/>
              <w:right w:val="single" w:sz="4" w:space="0" w:color="auto"/>
            </w:tcBorders>
            <w:vAlign w:val="center"/>
            <w:hideMark/>
          </w:tcPr>
          <w:p w14:paraId="2E6FB935" w14:textId="77777777" w:rsidR="007602C4" w:rsidRPr="00522104" w:rsidRDefault="007602C4" w:rsidP="00E40BEE">
            <w:pPr>
              <w:spacing w:after="0" w:line="240" w:lineRule="auto"/>
              <w:rPr>
                <w:rFonts w:ascii="Times New Roman" w:eastAsia="Times New Roman" w:hAnsi="Times New Roman" w:cs="Times New Roman"/>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14:paraId="0F20F71B" w14:textId="77777777" w:rsidR="007602C4" w:rsidRPr="00522104" w:rsidRDefault="007602C4" w:rsidP="00E40BEE">
            <w:pPr>
              <w:spacing w:after="0" w:line="240" w:lineRule="auto"/>
              <w:rPr>
                <w:rFonts w:ascii="Times New Roman" w:eastAsia="Times New Roman" w:hAnsi="Times New Roman" w:cs="Times New Roman"/>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7EB479E8" w14:textId="77777777" w:rsidR="007602C4" w:rsidRPr="00522104" w:rsidRDefault="007602C4" w:rsidP="00E40BEE">
            <w:pPr>
              <w:spacing w:after="0" w:line="240" w:lineRule="auto"/>
              <w:rPr>
                <w:rFonts w:ascii="Times New Roman" w:eastAsia="Times New Roman" w:hAnsi="Times New Roman" w:cs="Times New Roman"/>
                <w:sz w:val="18"/>
                <w:szCs w:val="18"/>
                <w:lang w:eastAsia="ru-RU"/>
              </w:rPr>
            </w:pPr>
          </w:p>
        </w:tc>
        <w:tc>
          <w:tcPr>
            <w:tcW w:w="992" w:type="dxa"/>
            <w:vMerge/>
            <w:tcBorders>
              <w:left w:val="nil"/>
              <w:bottom w:val="single" w:sz="4" w:space="0" w:color="auto"/>
              <w:right w:val="single" w:sz="4" w:space="0" w:color="auto"/>
            </w:tcBorders>
            <w:shd w:val="clear" w:color="auto" w:fill="auto"/>
            <w:noWrap/>
            <w:vAlign w:val="center"/>
          </w:tcPr>
          <w:p w14:paraId="6CB5B4D6"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p>
        </w:tc>
        <w:tc>
          <w:tcPr>
            <w:tcW w:w="992" w:type="dxa"/>
            <w:vMerge/>
            <w:tcBorders>
              <w:left w:val="nil"/>
              <w:bottom w:val="single" w:sz="4" w:space="0" w:color="auto"/>
              <w:right w:val="single" w:sz="4" w:space="0" w:color="auto"/>
            </w:tcBorders>
            <w:shd w:val="clear" w:color="auto" w:fill="auto"/>
            <w:noWrap/>
            <w:vAlign w:val="center"/>
          </w:tcPr>
          <w:p w14:paraId="11E763D1" w14:textId="77777777" w:rsidR="007602C4" w:rsidRPr="00522104" w:rsidRDefault="007602C4" w:rsidP="00E40BEE">
            <w:pPr>
              <w:spacing w:after="0" w:line="240" w:lineRule="auto"/>
              <w:jc w:val="center"/>
              <w:rPr>
                <w:rFonts w:ascii="Times New Roman" w:eastAsia="Times New Roman" w:hAnsi="Times New Roman" w:cs="Times New Roman"/>
                <w:sz w:val="18"/>
                <w:szCs w:val="18"/>
                <w:lang w:eastAsia="ru-RU"/>
              </w:rPr>
            </w:pPr>
          </w:p>
        </w:tc>
      </w:tr>
      <w:tr w:rsidR="00827437" w:rsidRPr="00522104" w14:paraId="1A0DEBBE" w14:textId="77777777" w:rsidTr="00C655A1">
        <w:trPr>
          <w:trHeight w:val="131"/>
          <w:tblHeader/>
        </w:trPr>
        <w:tc>
          <w:tcPr>
            <w:tcW w:w="2552" w:type="dxa"/>
            <w:tcBorders>
              <w:top w:val="nil"/>
              <w:left w:val="single" w:sz="4" w:space="0" w:color="auto"/>
              <w:bottom w:val="single" w:sz="4" w:space="0" w:color="auto"/>
              <w:right w:val="single" w:sz="4" w:space="0" w:color="auto"/>
            </w:tcBorders>
            <w:shd w:val="clear" w:color="000000" w:fill="FFFFFF"/>
            <w:vAlign w:val="center"/>
            <w:hideMark/>
          </w:tcPr>
          <w:p w14:paraId="41A49836"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1</w:t>
            </w:r>
          </w:p>
        </w:tc>
        <w:tc>
          <w:tcPr>
            <w:tcW w:w="1010" w:type="dxa"/>
            <w:tcBorders>
              <w:top w:val="nil"/>
              <w:left w:val="nil"/>
              <w:bottom w:val="single" w:sz="4" w:space="0" w:color="auto"/>
              <w:right w:val="single" w:sz="4" w:space="0" w:color="auto"/>
            </w:tcBorders>
            <w:shd w:val="clear" w:color="auto" w:fill="auto"/>
            <w:vAlign w:val="center"/>
            <w:hideMark/>
          </w:tcPr>
          <w:p w14:paraId="62703225"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2</w:t>
            </w:r>
          </w:p>
        </w:tc>
        <w:tc>
          <w:tcPr>
            <w:tcW w:w="833" w:type="dxa"/>
            <w:tcBorders>
              <w:top w:val="nil"/>
              <w:left w:val="nil"/>
              <w:bottom w:val="single" w:sz="4" w:space="0" w:color="auto"/>
              <w:right w:val="single" w:sz="4" w:space="0" w:color="auto"/>
            </w:tcBorders>
            <w:shd w:val="clear" w:color="auto" w:fill="auto"/>
            <w:vAlign w:val="center"/>
            <w:hideMark/>
          </w:tcPr>
          <w:p w14:paraId="0540B02E"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3</w:t>
            </w:r>
          </w:p>
        </w:tc>
        <w:tc>
          <w:tcPr>
            <w:tcW w:w="850" w:type="dxa"/>
            <w:tcBorders>
              <w:top w:val="nil"/>
              <w:left w:val="nil"/>
              <w:bottom w:val="single" w:sz="4" w:space="0" w:color="auto"/>
              <w:right w:val="single" w:sz="4" w:space="0" w:color="auto"/>
            </w:tcBorders>
            <w:shd w:val="clear" w:color="auto" w:fill="auto"/>
            <w:vAlign w:val="center"/>
            <w:hideMark/>
          </w:tcPr>
          <w:p w14:paraId="1DB3760E"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14:paraId="08C4CA69"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14:paraId="0095D106"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6</w:t>
            </w:r>
          </w:p>
        </w:tc>
        <w:tc>
          <w:tcPr>
            <w:tcW w:w="851" w:type="dxa"/>
            <w:tcBorders>
              <w:top w:val="nil"/>
              <w:left w:val="nil"/>
              <w:bottom w:val="single" w:sz="4" w:space="0" w:color="auto"/>
              <w:right w:val="single" w:sz="4" w:space="0" w:color="auto"/>
            </w:tcBorders>
            <w:shd w:val="clear" w:color="auto" w:fill="auto"/>
            <w:vAlign w:val="center"/>
            <w:hideMark/>
          </w:tcPr>
          <w:p w14:paraId="0E809379"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14:paraId="75A63696"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8=5-3</w:t>
            </w:r>
          </w:p>
        </w:tc>
        <w:tc>
          <w:tcPr>
            <w:tcW w:w="992" w:type="dxa"/>
            <w:tcBorders>
              <w:top w:val="nil"/>
              <w:left w:val="nil"/>
              <w:bottom w:val="single" w:sz="4" w:space="0" w:color="auto"/>
              <w:right w:val="single" w:sz="4" w:space="0" w:color="auto"/>
            </w:tcBorders>
            <w:shd w:val="clear" w:color="auto" w:fill="auto"/>
            <w:vAlign w:val="center"/>
            <w:hideMark/>
          </w:tcPr>
          <w:p w14:paraId="04891597" w14:textId="77777777" w:rsidR="00827437" w:rsidRPr="00522104" w:rsidRDefault="00827437" w:rsidP="00E40BEE">
            <w:pPr>
              <w:spacing w:after="0" w:line="240" w:lineRule="auto"/>
              <w:jc w:val="center"/>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9=5-4</w:t>
            </w:r>
          </w:p>
        </w:tc>
      </w:tr>
      <w:tr w:rsidR="00827437" w:rsidRPr="00522104" w14:paraId="19443FD9" w14:textId="77777777" w:rsidTr="00C655A1">
        <w:trPr>
          <w:trHeight w:val="348"/>
        </w:trPr>
        <w:tc>
          <w:tcPr>
            <w:tcW w:w="2552" w:type="dxa"/>
            <w:tcBorders>
              <w:top w:val="nil"/>
              <w:left w:val="single" w:sz="4" w:space="0" w:color="auto"/>
              <w:bottom w:val="single" w:sz="4" w:space="0" w:color="auto"/>
              <w:right w:val="single" w:sz="4" w:space="0" w:color="auto"/>
            </w:tcBorders>
            <w:shd w:val="clear" w:color="auto" w:fill="auto"/>
            <w:hideMark/>
          </w:tcPr>
          <w:p w14:paraId="2319A01B" w14:textId="77777777" w:rsidR="00827437" w:rsidRPr="00522104" w:rsidRDefault="00827437" w:rsidP="00E40BEE">
            <w:pPr>
              <w:spacing w:after="0" w:line="240" w:lineRule="auto"/>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 xml:space="preserve">ГП "Информационное общество" </w:t>
            </w:r>
          </w:p>
        </w:tc>
        <w:tc>
          <w:tcPr>
            <w:tcW w:w="1010" w:type="dxa"/>
            <w:tcBorders>
              <w:top w:val="nil"/>
              <w:left w:val="nil"/>
              <w:bottom w:val="single" w:sz="4" w:space="0" w:color="auto"/>
              <w:right w:val="single" w:sz="4" w:space="0" w:color="auto"/>
            </w:tcBorders>
            <w:shd w:val="clear" w:color="auto" w:fill="auto"/>
            <w:noWrap/>
            <w:vAlign w:val="bottom"/>
            <w:hideMark/>
          </w:tcPr>
          <w:p w14:paraId="291FFB9C"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1917,61</w:t>
            </w:r>
          </w:p>
        </w:tc>
        <w:tc>
          <w:tcPr>
            <w:tcW w:w="833" w:type="dxa"/>
            <w:tcBorders>
              <w:top w:val="nil"/>
              <w:left w:val="nil"/>
              <w:bottom w:val="single" w:sz="4" w:space="0" w:color="auto"/>
              <w:right w:val="single" w:sz="4" w:space="0" w:color="auto"/>
            </w:tcBorders>
            <w:shd w:val="clear" w:color="auto" w:fill="auto"/>
            <w:noWrap/>
            <w:vAlign w:val="bottom"/>
            <w:hideMark/>
          </w:tcPr>
          <w:p w14:paraId="4B04544E"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2030,05</w:t>
            </w:r>
          </w:p>
        </w:tc>
        <w:tc>
          <w:tcPr>
            <w:tcW w:w="850" w:type="dxa"/>
            <w:tcBorders>
              <w:top w:val="nil"/>
              <w:left w:val="nil"/>
              <w:bottom w:val="single" w:sz="4" w:space="0" w:color="auto"/>
              <w:right w:val="single" w:sz="4" w:space="0" w:color="auto"/>
            </w:tcBorders>
            <w:shd w:val="clear" w:color="auto" w:fill="auto"/>
            <w:noWrap/>
            <w:vAlign w:val="bottom"/>
            <w:hideMark/>
          </w:tcPr>
          <w:p w14:paraId="00231CDD"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1890,36</w:t>
            </w:r>
          </w:p>
        </w:tc>
        <w:tc>
          <w:tcPr>
            <w:tcW w:w="851" w:type="dxa"/>
            <w:tcBorders>
              <w:top w:val="nil"/>
              <w:left w:val="nil"/>
              <w:bottom w:val="single" w:sz="4" w:space="0" w:color="auto"/>
              <w:right w:val="single" w:sz="4" w:space="0" w:color="auto"/>
            </w:tcBorders>
            <w:shd w:val="clear" w:color="auto" w:fill="auto"/>
            <w:noWrap/>
            <w:vAlign w:val="bottom"/>
            <w:hideMark/>
          </w:tcPr>
          <w:p w14:paraId="5E170CAC"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2502,68</w:t>
            </w:r>
          </w:p>
        </w:tc>
        <w:tc>
          <w:tcPr>
            <w:tcW w:w="850" w:type="dxa"/>
            <w:tcBorders>
              <w:top w:val="nil"/>
              <w:left w:val="nil"/>
              <w:bottom w:val="single" w:sz="4" w:space="0" w:color="auto"/>
              <w:right w:val="single" w:sz="4" w:space="0" w:color="auto"/>
            </w:tcBorders>
            <w:shd w:val="clear" w:color="auto" w:fill="auto"/>
            <w:noWrap/>
            <w:vAlign w:val="bottom"/>
            <w:hideMark/>
          </w:tcPr>
          <w:p w14:paraId="354DF9C7"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2586,40</w:t>
            </w:r>
          </w:p>
        </w:tc>
        <w:tc>
          <w:tcPr>
            <w:tcW w:w="851" w:type="dxa"/>
            <w:tcBorders>
              <w:top w:val="nil"/>
              <w:left w:val="nil"/>
              <w:bottom w:val="single" w:sz="4" w:space="0" w:color="auto"/>
              <w:right w:val="single" w:sz="4" w:space="0" w:color="auto"/>
            </w:tcBorders>
            <w:shd w:val="clear" w:color="auto" w:fill="auto"/>
            <w:noWrap/>
            <w:vAlign w:val="bottom"/>
            <w:hideMark/>
          </w:tcPr>
          <w:p w14:paraId="0B74209C"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3336,41</w:t>
            </w:r>
          </w:p>
        </w:tc>
        <w:tc>
          <w:tcPr>
            <w:tcW w:w="992" w:type="dxa"/>
            <w:tcBorders>
              <w:top w:val="nil"/>
              <w:left w:val="nil"/>
              <w:bottom w:val="single" w:sz="4" w:space="0" w:color="auto"/>
              <w:right w:val="single" w:sz="4" w:space="0" w:color="auto"/>
            </w:tcBorders>
            <w:shd w:val="clear" w:color="auto" w:fill="auto"/>
            <w:noWrap/>
            <w:vAlign w:val="bottom"/>
            <w:hideMark/>
          </w:tcPr>
          <w:p w14:paraId="0113C7EF"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472,63</w:t>
            </w:r>
          </w:p>
        </w:tc>
        <w:tc>
          <w:tcPr>
            <w:tcW w:w="992" w:type="dxa"/>
            <w:tcBorders>
              <w:top w:val="nil"/>
              <w:left w:val="nil"/>
              <w:bottom w:val="single" w:sz="4" w:space="0" w:color="auto"/>
              <w:right w:val="single" w:sz="4" w:space="0" w:color="auto"/>
            </w:tcBorders>
            <w:shd w:val="clear" w:color="auto" w:fill="auto"/>
            <w:noWrap/>
            <w:vAlign w:val="bottom"/>
            <w:hideMark/>
          </w:tcPr>
          <w:p w14:paraId="6EE9C555"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612,32</w:t>
            </w:r>
          </w:p>
        </w:tc>
      </w:tr>
      <w:tr w:rsidR="00827437" w:rsidRPr="00522104" w14:paraId="084ABF21" w14:textId="77777777" w:rsidTr="00C655A1">
        <w:trPr>
          <w:trHeight w:val="640"/>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6A52317C" w14:textId="77777777" w:rsidR="00827437" w:rsidRPr="00C655A1" w:rsidRDefault="00827437" w:rsidP="00E40BEE">
            <w:pPr>
              <w:spacing w:after="0" w:line="240" w:lineRule="auto"/>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Подпрограмма "Развитие цифровой экономики в Приморском крае"</w:t>
            </w:r>
          </w:p>
        </w:tc>
        <w:tc>
          <w:tcPr>
            <w:tcW w:w="1010" w:type="dxa"/>
            <w:tcBorders>
              <w:top w:val="nil"/>
              <w:left w:val="nil"/>
              <w:bottom w:val="single" w:sz="4" w:space="0" w:color="auto"/>
              <w:right w:val="single" w:sz="4" w:space="0" w:color="auto"/>
            </w:tcBorders>
            <w:shd w:val="clear" w:color="auto" w:fill="auto"/>
            <w:noWrap/>
            <w:vAlign w:val="bottom"/>
            <w:hideMark/>
          </w:tcPr>
          <w:p w14:paraId="6E415117"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410,20</w:t>
            </w:r>
          </w:p>
        </w:tc>
        <w:tc>
          <w:tcPr>
            <w:tcW w:w="833" w:type="dxa"/>
            <w:tcBorders>
              <w:top w:val="nil"/>
              <w:left w:val="nil"/>
              <w:bottom w:val="single" w:sz="4" w:space="0" w:color="auto"/>
              <w:right w:val="single" w:sz="4" w:space="0" w:color="auto"/>
            </w:tcBorders>
            <w:shd w:val="clear" w:color="auto" w:fill="auto"/>
            <w:noWrap/>
            <w:vAlign w:val="bottom"/>
            <w:hideMark/>
          </w:tcPr>
          <w:p w14:paraId="5AD0C089"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517,42</w:t>
            </w:r>
          </w:p>
        </w:tc>
        <w:tc>
          <w:tcPr>
            <w:tcW w:w="850" w:type="dxa"/>
            <w:tcBorders>
              <w:top w:val="nil"/>
              <w:left w:val="nil"/>
              <w:bottom w:val="single" w:sz="4" w:space="0" w:color="auto"/>
              <w:right w:val="single" w:sz="4" w:space="0" w:color="auto"/>
            </w:tcBorders>
            <w:shd w:val="clear" w:color="auto" w:fill="auto"/>
            <w:noWrap/>
            <w:vAlign w:val="bottom"/>
            <w:hideMark/>
          </w:tcPr>
          <w:p w14:paraId="1577383D"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462,22</w:t>
            </w:r>
          </w:p>
        </w:tc>
        <w:tc>
          <w:tcPr>
            <w:tcW w:w="851" w:type="dxa"/>
            <w:tcBorders>
              <w:top w:val="nil"/>
              <w:left w:val="nil"/>
              <w:bottom w:val="single" w:sz="4" w:space="0" w:color="auto"/>
              <w:right w:val="single" w:sz="4" w:space="0" w:color="auto"/>
            </w:tcBorders>
            <w:shd w:val="clear" w:color="auto" w:fill="auto"/>
            <w:noWrap/>
            <w:vAlign w:val="bottom"/>
            <w:hideMark/>
          </w:tcPr>
          <w:p w14:paraId="19B5484A"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931,73</w:t>
            </w:r>
          </w:p>
        </w:tc>
        <w:tc>
          <w:tcPr>
            <w:tcW w:w="850" w:type="dxa"/>
            <w:tcBorders>
              <w:top w:val="nil"/>
              <w:left w:val="nil"/>
              <w:bottom w:val="single" w:sz="4" w:space="0" w:color="auto"/>
              <w:right w:val="single" w:sz="4" w:space="0" w:color="auto"/>
            </w:tcBorders>
            <w:shd w:val="clear" w:color="auto" w:fill="auto"/>
            <w:noWrap/>
            <w:vAlign w:val="bottom"/>
            <w:hideMark/>
          </w:tcPr>
          <w:p w14:paraId="5AA30756"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1043,57</w:t>
            </w:r>
          </w:p>
        </w:tc>
        <w:tc>
          <w:tcPr>
            <w:tcW w:w="851" w:type="dxa"/>
            <w:tcBorders>
              <w:top w:val="nil"/>
              <w:left w:val="nil"/>
              <w:bottom w:val="single" w:sz="4" w:space="0" w:color="auto"/>
              <w:right w:val="single" w:sz="4" w:space="0" w:color="auto"/>
            </w:tcBorders>
            <w:shd w:val="clear" w:color="auto" w:fill="auto"/>
            <w:noWrap/>
            <w:vAlign w:val="bottom"/>
            <w:hideMark/>
          </w:tcPr>
          <w:p w14:paraId="3B5D60E2"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1743,76</w:t>
            </w:r>
          </w:p>
        </w:tc>
        <w:tc>
          <w:tcPr>
            <w:tcW w:w="992" w:type="dxa"/>
            <w:tcBorders>
              <w:top w:val="nil"/>
              <w:left w:val="nil"/>
              <w:bottom w:val="single" w:sz="4" w:space="0" w:color="auto"/>
              <w:right w:val="single" w:sz="4" w:space="0" w:color="auto"/>
            </w:tcBorders>
            <w:shd w:val="clear" w:color="auto" w:fill="auto"/>
            <w:noWrap/>
            <w:vAlign w:val="bottom"/>
            <w:hideMark/>
          </w:tcPr>
          <w:p w14:paraId="085A947F"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414,31</w:t>
            </w:r>
          </w:p>
        </w:tc>
        <w:tc>
          <w:tcPr>
            <w:tcW w:w="992" w:type="dxa"/>
            <w:tcBorders>
              <w:top w:val="nil"/>
              <w:left w:val="nil"/>
              <w:bottom w:val="single" w:sz="4" w:space="0" w:color="auto"/>
              <w:right w:val="single" w:sz="4" w:space="0" w:color="auto"/>
            </w:tcBorders>
            <w:shd w:val="clear" w:color="auto" w:fill="auto"/>
            <w:noWrap/>
            <w:vAlign w:val="bottom"/>
            <w:hideMark/>
          </w:tcPr>
          <w:p w14:paraId="15FF902D"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469,51</w:t>
            </w:r>
          </w:p>
        </w:tc>
      </w:tr>
      <w:tr w:rsidR="00827437" w:rsidRPr="00522104" w14:paraId="2D993DE6" w14:textId="77777777" w:rsidTr="00C655A1">
        <w:trPr>
          <w:trHeight w:val="144"/>
        </w:trPr>
        <w:tc>
          <w:tcPr>
            <w:tcW w:w="2552" w:type="dxa"/>
            <w:tcBorders>
              <w:top w:val="nil"/>
              <w:left w:val="single" w:sz="4" w:space="0" w:color="auto"/>
              <w:bottom w:val="single" w:sz="4" w:space="0" w:color="auto"/>
              <w:right w:val="single" w:sz="4" w:space="0" w:color="auto"/>
            </w:tcBorders>
            <w:shd w:val="clear" w:color="auto" w:fill="auto"/>
            <w:vAlign w:val="bottom"/>
          </w:tcPr>
          <w:p w14:paraId="369311FB"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i/>
                <w:sz w:val="18"/>
                <w:szCs w:val="18"/>
                <w:lang w:eastAsia="ru-RU"/>
              </w:rPr>
              <w:t>из них:</w:t>
            </w:r>
          </w:p>
        </w:tc>
        <w:tc>
          <w:tcPr>
            <w:tcW w:w="1010" w:type="dxa"/>
            <w:tcBorders>
              <w:top w:val="nil"/>
              <w:left w:val="nil"/>
              <w:bottom w:val="single" w:sz="4" w:space="0" w:color="auto"/>
              <w:right w:val="single" w:sz="4" w:space="0" w:color="auto"/>
            </w:tcBorders>
            <w:shd w:val="clear" w:color="auto" w:fill="auto"/>
            <w:noWrap/>
            <w:vAlign w:val="bottom"/>
          </w:tcPr>
          <w:p w14:paraId="43259E7A"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c>
          <w:tcPr>
            <w:tcW w:w="833" w:type="dxa"/>
            <w:tcBorders>
              <w:top w:val="nil"/>
              <w:left w:val="nil"/>
              <w:bottom w:val="single" w:sz="4" w:space="0" w:color="auto"/>
              <w:right w:val="single" w:sz="4" w:space="0" w:color="auto"/>
            </w:tcBorders>
            <w:shd w:val="clear" w:color="auto" w:fill="auto"/>
            <w:noWrap/>
            <w:vAlign w:val="bottom"/>
          </w:tcPr>
          <w:p w14:paraId="153D956D"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c>
          <w:tcPr>
            <w:tcW w:w="850" w:type="dxa"/>
            <w:tcBorders>
              <w:top w:val="nil"/>
              <w:left w:val="nil"/>
              <w:bottom w:val="single" w:sz="4" w:space="0" w:color="auto"/>
              <w:right w:val="single" w:sz="4" w:space="0" w:color="auto"/>
            </w:tcBorders>
            <w:shd w:val="clear" w:color="auto" w:fill="auto"/>
            <w:noWrap/>
            <w:vAlign w:val="bottom"/>
          </w:tcPr>
          <w:p w14:paraId="769A27AC"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c>
          <w:tcPr>
            <w:tcW w:w="851" w:type="dxa"/>
            <w:tcBorders>
              <w:top w:val="nil"/>
              <w:left w:val="nil"/>
              <w:bottom w:val="single" w:sz="4" w:space="0" w:color="auto"/>
              <w:right w:val="single" w:sz="4" w:space="0" w:color="auto"/>
            </w:tcBorders>
            <w:shd w:val="clear" w:color="auto" w:fill="auto"/>
            <w:noWrap/>
            <w:vAlign w:val="bottom"/>
          </w:tcPr>
          <w:p w14:paraId="12F0F0B7"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c>
          <w:tcPr>
            <w:tcW w:w="850" w:type="dxa"/>
            <w:tcBorders>
              <w:top w:val="nil"/>
              <w:left w:val="nil"/>
              <w:bottom w:val="single" w:sz="4" w:space="0" w:color="auto"/>
              <w:right w:val="single" w:sz="4" w:space="0" w:color="auto"/>
            </w:tcBorders>
            <w:shd w:val="clear" w:color="auto" w:fill="auto"/>
            <w:noWrap/>
            <w:vAlign w:val="bottom"/>
          </w:tcPr>
          <w:p w14:paraId="404F6071"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c>
          <w:tcPr>
            <w:tcW w:w="851" w:type="dxa"/>
            <w:tcBorders>
              <w:top w:val="nil"/>
              <w:left w:val="nil"/>
              <w:bottom w:val="single" w:sz="4" w:space="0" w:color="auto"/>
              <w:right w:val="single" w:sz="4" w:space="0" w:color="auto"/>
            </w:tcBorders>
            <w:shd w:val="clear" w:color="auto" w:fill="auto"/>
            <w:noWrap/>
            <w:vAlign w:val="bottom"/>
          </w:tcPr>
          <w:p w14:paraId="40339F39"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c>
          <w:tcPr>
            <w:tcW w:w="992" w:type="dxa"/>
            <w:tcBorders>
              <w:top w:val="nil"/>
              <w:left w:val="nil"/>
              <w:bottom w:val="single" w:sz="4" w:space="0" w:color="auto"/>
              <w:right w:val="single" w:sz="4" w:space="0" w:color="auto"/>
            </w:tcBorders>
            <w:shd w:val="clear" w:color="auto" w:fill="auto"/>
            <w:noWrap/>
            <w:vAlign w:val="bottom"/>
          </w:tcPr>
          <w:p w14:paraId="17703530"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c>
          <w:tcPr>
            <w:tcW w:w="992" w:type="dxa"/>
            <w:tcBorders>
              <w:top w:val="nil"/>
              <w:left w:val="nil"/>
              <w:bottom w:val="single" w:sz="4" w:space="0" w:color="auto"/>
              <w:right w:val="single" w:sz="4" w:space="0" w:color="auto"/>
            </w:tcBorders>
            <w:shd w:val="clear" w:color="auto" w:fill="auto"/>
            <w:noWrap/>
            <w:vAlign w:val="bottom"/>
          </w:tcPr>
          <w:p w14:paraId="46B51FFE"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p>
        </w:tc>
      </w:tr>
      <w:tr w:rsidR="00827437" w:rsidRPr="00522104" w14:paraId="0D93A130" w14:textId="77777777" w:rsidTr="00C655A1">
        <w:trPr>
          <w:trHeight w:val="37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6AE8663C" w14:textId="77777777" w:rsidR="00827437" w:rsidRPr="00522104" w:rsidRDefault="00827437" w:rsidP="00E40BEE">
            <w:pPr>
              <w:spacing w:after="0" w:line="240" w:lineRule="auto"/>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ФП "Информационная инфраструктура"</w:t>
            </w:r>
          </w:p>
        </w:tc>
        <w:tc>
          <w:tcPr>
            <w:tcW w:w="1010" w:type="dxa"/>
            <w:tcBorders>
              <w:top w:val="nil"/>
              <w:left w:val="nil"/>
              <w:bottom w:val="single" w:sz="4" w:space="0" w:color="auto"/>
              <w:right w:val="single" w:sz="4" w:space="0" w:color="auto"/>
            </w:tcBorders>
            <w:shd w:val="clear" w:color="auto" w:fill="auto"/>
            <w:noWrap/>
            <w:vAlign w:val="bottom"/>
            <w:hideMark/>
          </w:tcPr>
          <w:p w14:paraId="70A70926"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0,70</w:t>
            </w:r>
          </w:p>
        </w:tc>
        <w:tc>
          <w:tcPr>
            <w:tcW w:w="833" w:type="dxa"/>
            <w:tcBorders>
              <w:top w:val="nil"/>
              <w:left w:val="nil"/>
              <w:bottom w:val="single" w:sz="4" w:space="0" w:color="auto"/>
              <w:right w:val="single" w:sz="4" w:space="0" w:color="auto"/>
            </w:tcBorders>
            <w:shd w:val="clear" w:color="auto" w:fill="auto"/>
            <w:noWrap/>
            <w:vAlign w:val="bottom"/>
            <w:hideMark/>
          </w:tcPr>
          <w:p w14:paraId="5316F2A9"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0,91</w:t>
            </w:r>
          </w:p>
        </w:tc>
        <w:tc>
          <w:tcPr>
            <w:tcW w:w="850" w:type="dxa"/>
            <w:tcBorders>
              <w:top w:val="nil"/>
              <w:left w:val="nil"/>
              <w:bottom w:val="single" w:sz="4" w:space="0" w:color="auto"/>
              <w:right w:val="single" w:sz="4" w:space="0" w:color="auto"/>
            </w:tcBorders>
            <w:shd w:val="clear" w:color="auto" w:fill="auto"/>
            <w:noWrap/>
            <w:vAlign w:val="bottom"/>
            <w:hideMark/>
          </w:tcPr>
          <w:p w14:paraId="326820FA"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68,46</w:t>
            </w:r>
          </w:p>
        </w:tc>
        <w:tc>
          <w:tcPr>
            <w:tcW w:w="851" w:type="dxa"/>
            <w:tcBorders>
              <w:top w:val="nil"/>
              <w:left w:val="nil"/>
              <w:bottom w:val="single" w:sz="4" w:space="0" w:color="auto"/>
              <w:right w:val="single" w:sz="4" w:space="0" w:color="auto"/>
            </w:tcBorders>
            <w:shd w:val="clear" w:color="auto" w:fill="auto"/>
            <w:noWrap/>
            <w:vAlign w:val="bottom"/>
            <w:hideMark/>
          </w:tcPr>
          <w:p w14:paraId="5FC5D9A8" w14:textId="2FBF2879" w:rsidR="00827437" w:rsidRPr="00522104" w:rsidRDefault="00250F56"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62,45</w:t>
            </w:r>
          </w:p>
        </w:tc>
        <w:tc>
          <w:tcPr>
            <w:tcW w:w="850" w:type="dxa"/>
            <w:tcBorders>
              <w:top w:val="nil"/>
              <w:left w:val="nil"/>
              <w:bottom w:val="single" w:sz="4" w:space="0" w:color="auto"/>
              <w:right w:val="single" w:sz="4" w:space="0" w:color="auto"/>
            </w:tcBorders>
            <w:shd w:val="clear" w:color="auto" w:fill="auto"/>
            <w:noWrap/>
            <w:vAlign w:val="bottom"/>
            <w:hideMark/>
          </w:tcPr>
          <w:p w14:paraId="443BDCC5"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89,38</w:t>
            </w:r>
          </w:p>
        </w:tc>
        <w:tc>
          <w:tcPr>
            <w:tcW w:w="851" w:type="dxa"/>
            <w:tcBorders>
              <w:top w:val="nil"/>
              <w:left w:val="nil"/>
              <w:bottom w:val="single" w:sz="4" w:space="0" w:color="auto"/>
              <w:right w:val="single" w:sz="4" w:space="0" w:color="auto"/>
            </w:tcBorders>
            <w:shd w:val="clear" w:color="auto" w:fill="auto"/>
            <w:noWrap/>
            <w:vAlign w:val="bottom"/>
            <w:hideMark/>
          </w:tcPr>
          <w:p w14:paraId="47914A22"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398,14</w:t>
            </w:r>
          </w:p>
        </w:tc>
        <w:tc>
          <w:tcPr>
            <w:tcW w:w="992" w:type="dxa"/>
            <w:tcBorders>
              <w:top w:val="nil"/>
              <w:left w:val="nil"/>
              <w:bottom w:val="single" w:sz="4" w:space="0" w:color="auto"/>
              <w:right w:val="single" w:sz="4" w:space="0" w:color="auto"/>
            </w:tcBorders>
            <w:shd w:val="clear" w:color="auto" w:fill="auto"/>
            <w:noWrap/>
            <w:vAlign w:val="bottom"/>
            <w:hideMark/>
          </w:tcPr>
          <w:p w14:paraId="2BD5C8A7"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61,55</w:t>
            </w:r>
          </w:p>
        </w:tc>
        <w:tc>
          <w:tcPr>
            <w:tcW w:w="992" w:type="dxa"/>
            <w:tcBorders>
              <w:top w:val="nil"/>
              <w:left w:val="nil"/>
              <w:bottom w:val="single" w:sz="4" w:space="0" w:color="auto"/>
              <w:right w:val="single" w:sz="4" w:space="0" w:color="auto"/>
            </w:tcBorders>
            <w:shd w:val="clear" w:color="auto" w:fill="auto"/>
            <w:noWrap/>
            <w:vAlign w:val="bottom"/>
            <w:hideMark/>
          </w:tcPr>
          <w:p w14:paraId="437F8164"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-6,01</w:t>
            </w:r>
          </w:p>
        </w:tc>
      </w:tr>
      <w:tr w:rsidR="00827437" w:rsidRPr="00522104" w14:paraId="2DEB7F39" w14:textId="77777777" w:rsidTr="00C655A1">
        <w:trPr>
          <w:trHeight w:val="40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39B6954" w14:textId="77777777" w:rsidR="00827437" w:rsidRPr="00522104" w:rsidRDefault="00827437" w:rsidP="00E40BEE">
            <w:pPr>
              <w:spacing w:after="0" w:line="240" w:lineRule="auto"/>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ФП "Информационная безопасность"</w:t>
            </w:r>
          </w:p>
        </w:tc>
        <w:tc>
          <w:tcPr>
            <w:tcW w:w="1010" w:type="dxa"/>
            <w:tcBorders>
              <w:top w:val="nil"/>
              <w:left w:val="nil"/>
              <w:bottom w:val="single" w:sz="4" w:space="0" w:color="auto"/>
              <w:right w:val="single" w:sz="4" w:space="0" w:color="auto"/>
            </w:tcBorders>
            <w:shd w:val="clear" w:color="auto" w:fill="auto"/>
            <w:noWrap/>
            <w:vAlign w:val="bottom"/>
            <w:hideMark/>
          </w:tcPr>
          <w:p w14:paraId="2C24B2E1"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31,43</w:t>
            </w:r>
          </w:p>
        </w:tc>
        <w:tc>
          <w:tcPr>
            <w:tcW w:w="833" w:type="dxa"/>
            <w:tcBorders>
              <w:top w:val="nil"/>
              <w:left w:val="nil"/>
              <w:bottom w:val="single" w:sz="4" w:space="0" w:color="auto"/>
              <w:right w:val="single" w:sz="4" w:space="0" w:color="auto"/>
            </w:tcBorders>
            <w:shd w:val="clear" w:color="auto" w:fill="auto"/>
            <w:noWrap/>
            <w:vAlign w:val="bottom"/>
            <w:hideMark/>
          </w:tcPr>
          <w:p w14:paraId="16EF22DB"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31,43</w:t>
            </w:r>
          </w:p>
        </w:tc>
        <w:tc>
          <w:tcPr>
            <w:tcW w:w="850" w:type="dxa"/>
            <w:tcBorders>
              <w:top w:val="nil"/>
              <w:left w:val="nil"/>
              <w:bottom w:val="single" w:sz="4" w:space="0" w:color="auto"/>
              <w:right w:val="single" w:sz="4" w:space="0" w:color="auto"/>
            </w:tcBorders>
            <w:shd w:val="clear" w:color="auto" w:fill="auto"/>
            <w:noWrap/>
            <w:vAlign w:val="bottom"/>
            <w:hideMark/>
          </w:tcPr>
          <w:p w14:paraId="6F18D91D"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56,73</w:t>
            </w:r>
          </w:p>
        </w:tc>
        <w:tc>
          <w:tcPr>
            <w:tcW w:w="851" w:type="dxa"/>
            <w:tcBorders>
              <w:top w:val="nil"/>
              <w:left w:val="nil"/>
              <w:bottom w:val="single" w:sz="4" w:space="0" w:color="auto"/>
              <w:right w:val="single" w:sz="4" w:space="0" w:color="auto"/>
            </w:tcBorders>
            <w:shd w:val="clear" w:color="auto" w:fill="auto"/>
            <w:noWrap/>
            <w:vAlign w:val="bottom"/>
            <w:hideMark/>
          </w:tcPr>
          <w:p w14:paraId="274E1829"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35,70</w:t>
            </w:r>
          </w:p>
        </w:tc>
        <w:tc>
          <w:tcPr>
            <w:tcW w:w="850" w:type="dxa"/>
            <w:tcBorders>
              <w:top w:val="nil"/>
              <w:left w:val="nil"/>
              <w:bottom w:val="single" w:sz="4" w:space="0" w:color="auto"/>
              <w:right w:val="single" w:sz="4" w:space="0" w:color="auto"/>
            </w:tcBorders>
            <w:shd w:val="clear" w:color="auto" w:fill="auto"/>
            <w:noWrap/>
            <w:vAlign w:val="bottom"/>
            <w:hideMark/>
          </w:tcPr>
          <w:p w14:paraId="7A01A2A6"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56,73</w:t>
            </w:r>
          </w:p>
        </w:tc>
        <w:tc>
          <w:tcPr>
            <w:tcW w:w="851" w:type="dxa"/>
            <w:tcBorders>
              <w:top w:val="nil"/>
              <w:left w:val="nil"/>
              <w:bottom w:val="single" w:sz="4" w:space="0" w:color="auto"/>
              <w:right w:val="single" w:sz="4" w:space="0" w:color="auto"/>
            </w:tcBorders>
            <w:shd w:val="clear" w:color="auto" w:fill="auto"/>
            <w:noWrap/>
            <w:vAlign w:val="bottom"/>
            <w:hideMark/>
          </w:tcPr>
          <w:p w14:paraId="2BC9BEA1"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56,73</w:t>
            </w:r>
          </w:p>
        </w:tc>
        <w:tc>
          <w:tcPr>
            <w:tcW w:w="992" w:type="dxa"/>
            <w:tcBorders>
              <w:top w:val="nil"/>
              <w:left w:val="nil"/>
              <w:bottom w:val="single" w:sz="4" w:space="0" w:color="auto"/>
              <w:right w:val="single" w:sz="4" w:space="0" w:color="auto"/>
            </w:tcBorders>
            <w:shd w:val="clear" w:color="auto" w:fill="auto"/>
            <w:noWrap/>
            <w:vAlign w:val="bottom"/>
            <w:hideMark/>
          </w:tcPr>
          <w:p w14:paraId="75A2F7EF"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4,27</w:t>
            </w:r>
          </w:p>
        </w:tc>
        <w:tc>
          <w:tcPr>
            <w:tcW w:w="992" w:type="dxa"/>
            <w:tcBorders>
              <w:top w:val="nil"/>
              <w:left w:val="nil"/>
              <w:bottom w:val="single" w:sz="4" w:space="0" w:color="auto"/>
              <w:right w:val="single" w:sz="4" w:space="0" w:color="auto"/>
            </w:tcBorders>
            <w:shd w:val="clear" w:color="auto" w:fill="auto"/>
            <w:noWrap/>
            <w:vAlign w:val="bottom"/>
            <w:hideMark/>
          </w:tcPr>
          <w:p w14:paraId="080E76AD"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-21,03</w:t>
            </w:r>
          </w:p>
        </w:tc>
      </w:tr>
      <w:tr w:rsidR="00827437" w:rsidRPr="00522104" w14:paraId="67D30FF3" w14:textId="77777777" w:rsidTr="00C655A1">
        <w:trPr>
          <w:trHeight w:val="267"/>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3E7C8646" w14:textId="77777777" w:rsidR="00827437" w:rsidRPr="00522104" w:rsidRDefault="00827437" w:rsidP="00E40BEE">
            <w:pPr>
              <w:spacing w:after="0" w:line="240" w:lineRule="auto"/>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ФП "Цифровые технологии"</w:t>
            </w:r>
          </w:p>
        </w:tc>
        <w:tc>
          <w:tcPr>
            <w:tcW w:w="1010" w:type="dxa"/>
            <w:tcBorders>
              <w:top w:val="nil"/>
              <w:left w:val="nil"/>
              <w:bottom w:val="single" w:sz="4" w:space="0" w:color="auto"/>
              <w:right w:val="single" w:sz="4" w:space="0" w:color="auto"/>
            </w:tcBorders>
            <w:shd w:val="clear" w:color="auto" w:fill="auto"/>
            <w:noWrap/>
            <w:vAlign w:val="bottom"/>
            <w:hideMark/>
          </w:tcPr>
          <w:p w14:paraId="4A37F9BB"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0,30</w:t>
            </w:r>
          </w:p>
        </w:tc>
        <w:tc>
          <w:tcPr>
            <w:tcW w:w="833" w:type="dxa"/>
            <w:tcBorders>
              <w:top w:val="nil"/>
              <w:left w:val="nil"/>
              <w:bottom w:val="single" w:sz="4" w:space="0" w:color="auto"/>
              <w:right w:val="single" w:sz="4" w:space="0" w:color="auto"/>
            </w:tcBorders>
            <w:shd w:val="clear" w:color="auto" w:fill="auto"/>
            <w:noWrap/>
            <w:vAlign w:val="bottom"/>
            <w:hideMark/>
          </w:tcPr>
          <w:p w14:paraId="60744DA7"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0,30</w:t>
            </w:r>
          </w:p>
        </w:tc>
        <w:tc>
          <w:tcPr>
            <w:tcW w:w="850" w:type="dxa"/>
            <w:tcBorders>
              <w:top w:val="nil"/>
              <w:left w:val="nil"/>
              <w:bottom w:val="single" w:sz="4" w:space="0" w:color="auto"/>
              <w:right w:val="single" w:sz="4" w:space="0" w:color="auto"/>
            </w:tcBorders>
            <w:shd w:val="clear" w:color="auto" w:fill="auto"/>
            <w:noWrap/>
            <w:vAlign w:val="bottom"/>
            <w:hideMark/>
          </w:tcPr>
          <w:p w14:paraId="68D3EDE3"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0,30</w:t>
            </w:r>
          </w:p>
        </w:tc>
        <w:tc>
          <w:tcPr>
            <w:tcW w:w="851" w:type="dxa"/>
            <w:tcBorders>
              <w:top w:val="nil"/>
              <w:left w:val="nil"/>
              <w:bottom w:val="single" w:sz="4" w:space="0" w:color="auto"/>
              <w:right w:val="single" w:sz="4" w:space="0" w:color="auto"/>
            </w:tcBorders>
            <w:shd w:val="clear" w:color="auto" w:fill="auto"/>
            <w:noWrap/>
            <w:vAlign w:val="bottom"/>
            <w:hideMark/>
          </w:tcPr>
          <w:p w14:paraId="2559FEB9"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088DD035"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0,30</w:t>
            </w:r>
          </w:p>
        </w:tc>
        <w:tc>
          <w:tcPr>
            <w:tcW w:w="851" w:type="dxa"/>
            <w:tcBorders>
              <w:top w:val="nil"/>
              <w:left w:val="nil"/>
              <w:bottom w:val="single" w:sz="4" w:space="0" w:color="auto"/>
              <w:right w:val="single" w:sz="4" w:space="0" w:color="auto"/>
            </w:tcBorders>
            <w:shd w:val="clear" w:color="auto" w:fill="auto"/>
            <w:noWrap/>
            <w:vAlign w:val="bottom"/>
            <w:hideMark/>
          </w:tcPr>
          <w:p w14:paraId="4379424B"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0,30</w:t>
            </w:r>
          </w:p>
        </w:tc>
        <w:tc>
          <w:tcPr>
            <w:tcW w:w="992" w:type="dxa"/>
            <w:tcBorders>
              <w:top w:val="nil"/>
              <w:left w:val="nil"/>
              <w:bottom w:val="single" w:sz="4" w:space="0" w:color="auto"/>
              <w:right w:val="single" w:sz="4" w:space="0" w:color="auto"/>
            </w:tcBorders>
            <w:shd w:val="clear" w:color="auto" w:fill="auto"/>
            <w:noWrap/>
            <w:vAlign w:val="bottom"/>
            <w:hideMark/>
          </w:tcPr>
          <w:p w14:paraId="1DF10433"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-0,30</w:t>
            </w:r>
          </w:p>
        </w:tc>
        <w:tc>
          <w:tcPr>
            <w:tcW w:w="992" w:type="dxa"/>
            <w:tcBorders>
              <w:top w:val="nil"/>
              <w:left w:val="nil"/>
              <w:bottom w:val="single" w:sz="4" w:space="0" w:color="auto"/>
              <w:right w:val="single" w:sz="4" w:space="0" w:color="auto"/>
            </w:tcBorders>
            <w:shd w:val="clear" w:color="auto" w:fill="auto"/>
            <w:noWrap/>
            <w:vAlign w:val="bottom"/>
            <w:hideMark/>
          </w:tcPr>
          <w:p w14:paraId="423AE0E9"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-0,30</w:t>
            </w:r>
          </w:p>
        </w:tc>
      </w:tr>
      <w:tr w:rsidR="00827437" w:rsidRPr="00522104" w14:paraId="3689B204" w14:textId="77777777" w:rsidTr="00C655A1">
        <w:trPr>
          <w:trHeight w:val="495"/>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2717DE28" w14:textId="77777777" w:rsidR="00827437" w:rsidRPr="00522104" w:rsidRDefault="00827437" w:rsidP="00E40BEE">
            <w:pPr>
              <w:spacing w:after="0" w:line="240" w:lineRule="auto"/>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ФП "Цифровое государственное управление"</w:t>
            </w:r>
          </w:p>
        </w:tc>
        <w:tc>
          <w:tcPr>
            <w:tcW w:w="1010" w:type="dxa"/>
            <w:tcBorders>
              <w:top w:val="nil"/>
              <w:left w:val="nil"/>
              <w:bottom w:val="single" w:sz="4" w:space="0" w:color="auto"/>
              <w:right w:val="single" w:sz="4" w:space="0" w:color="auto"/>
            </w:tcBorders>
            <w:shd w:val="clear" w:color="auto" w:fill="auto"/>
            <w:noWrap/>
            <w:vAlign w:val="bottom"/>
            <w:hideMark/>
          </w:tcPr>
          <w:p w14:paraId="59B26831"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59,23</w:t>
            </w:r>
          </w:p>
        </w:tc>
        <w:tc>
          <w:tcPr>
            <w:tcW w:w="833" w:type="dxa"/>
            <w:tcBorders>
              <w:top w:val="nil"/>
              <w:left w:val="nil"/>
              <w:bottom w:val="single" w:sz="4" w:space="0" w:color="auto"/>
              <w:right w:val="single" w:sz="4" w:space="0" w:color="auto"/>
            </w:tcBorders>
            <w:shd w:val="clear" w:color="auto" w:fill="auto"/>
            <w:noWrap/>
            <w:vAlign w:val="bottom"/>
            <w:hideMark/>
          </w:tcPr>
          <w:p w14:paraId="2C53FA77"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73,57</w:t>
            </w:r>
          </w:p>
        </w:tc>
        <w:tc>
          <w:tcPr>
            <w:tcW w:w="850" w:type="dxa"/>
            <w:tcBorders>
              <w:top w:val="nil"/>
              <w:left w:val="nil"/>
              <w:bottom w:val="single" w:sz="4" w:space="0" w:color="auto"/>
              <w:right w:val="single" w:sz="4" w:space="0" w:color="auto"/>
            </w:tcBorders>
            <w:shd w:val="clear" w:color="auto" w:fill="auto"/>
            <w:noWrap/>
            <w:vAlign w:val="bottom"/>
            <w:hideMark/>
          </w:tcPr>
          <w:p w14:paraId="2CBC78D4"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41,11</w:t>
            </w:r>
          </w:p>
        </w:tc>
        <w:tc>
          <w:tcPr>
            <w:tcW w:w="851" w:type="dxa"/>
            <w:tcBorders>
              <w:top w:val="nil"/>
              <w:left w:val="nil"/>
              <w:bottom w:val="single" w:sz="4" w:space="0" w:color="auto"/>
              <w:right w:val="single" w:sz="4" w:space="0" w:color="auto"/>
            </w:tcBorders>
            <w:shd w:val="clear" w:color="auto" w:fill="auto"/>
            <w:noWrap/>
            <w:vAlign w:val="bottom"/>
            <w:hideMark/>
          </w:tcPr>
          <w:p w14:paraId="55742F70"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35,19</w:t>
            </w:r>
          </w:p>
        </w:tc>
        <w:tc>
          <w:tcPr>
            <w:tcW w:w="850" w:type="dxa"/>
            <w:tcBorders>
              <w:top w:val="nil"/>
              <w:left w:val="nil"/>
              <w:bottom w:val="single" w:sz="4" w:space="0" w:color="auto"/>
              <w:right w:val="single" w:sz="4" w:space="0" w:color="auto"/>
            </w:tcBorders>
            <w:shd w:val="clear" w:color="auto" w:fill="auto"/>
            <w:noWrap/>
            <w:vAlign w:val="bottom"/>
            <w:hideMark/>
          </w:tcPr>
          <w:p w14:paraId="654CAE08"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41,11</w:t>
            </w:r>
          </w:p>
        </w:tc>
        <w:tc>
          <w:tcPr>
            <w:tcW w:w="851" w:type="dxa"/>
            <w:tcBorders>
              <w:top w:val="nil"/>
              <w:left w:val="nil"/>
              <w:bottom w:val="single" w:sz="4" w:space="0" w:color="auto"/>
              <w:right w:val="single" w:sz="4" w:space="0" w:color="auto"/>
            </w:tcBorders>
            <w:shd w:val="clear" w:color="auto" w:fill="auto"/>
            <w:noWrap/>
            <w:vAlign w:val="bottom"/>
            <w:hideMark/>
          </w:tcPr>
          <w:p w14:paraId="49BD5AA6"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41,11</w:t>
            </w:r>
          </w:p>
        </w:tc>
        <w:tc>
          <w:tcPr>
            <w:tcW w:w="992" w:type="dxa"/>
            <w:tcBorders>
              <w:top w:val="nil"/>
              <w:left w:val="nil"/>
              <w:bottom w:val="single" w:sz="4" w:space="0" w:color="auto"/>
              <w:right w:val="single" w:sz="4" w:space="0" w:color="auto"/>
            </w:tcBorders>
            <w:shd w:val="clear" w:color="auto" w:fill="auto"/>
            <w:noWrap/>
            <w:vAlign w:val="bottom"/>
            <w:hideMark/>
          </w:tcPr>
          <w:p w14:paraId="004B61CF"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-38,37</w:t>
            </w:r>
          </w:p>
        </w:tc>
        <w:tc>
          <w:tcPr>
            <w:tcW w:w="992" w:type="dxa"/>
            <w:tcBorders>
              <w:top w:val="nil"/>
              <w:left w:val="nil"/>
              <w:bottom w:val="single" w:sz="4" w:space="0" w:color="auto"/>
              <w:right w:val="single" w:sz="4" w:space="0" w:color="auto"/>
            </w:tcBorders>
            <w:shd w:val="clear" w:color="auto" w:fill="auto"/>
            <w:noWrap/>
            <w:vAlign w:val="bottom"/>
            <w:hideMark/>
          </w:tcPr>
          <w:p w14:paraId="66F3EAF5" w14:textId="77777777" w:rsidR="00827437" w:rsidRPr="00522104" w:rsidRDefault="00827437" w:rsidP="00E40BEE">
            <w:pPr>
              <w:spacing w:after="0" w:line="240" w:lineRule="auto"/>
              <w:jc w:val="right"/>
              <w:rPr>
                <w:rFonts w:ascii="Times New Roman" w:eastAsia="Times New Roman" w:hAnsi="Times New Roman" w:cs="Times New Roman"/>
                <w:bCs/>
                <w:i/>
                <w:iCs/>
                <w:sz w:val="18"/>
                <w:szCs w:val="18"/>
                <w:lang w:eastAsia="ru-RU"/>
              </w:rPr>
            </w:pPr>
            <w:r w:rsidRPr="00522104">
              <w:rPr>
                <w:rFonts w:ascii="Times New Roman" w:eastAsia="Times New Roman" w:hAnsi="Times New Roman" w:cs="Times New Roman"/>
                <w:bCs/>
                <w:i/>
                <w:iCs/>
                <w:sz w:val="18"/>
                <w:szCs w:val="18"/>
                <w:lang w:eastAsia="ru-RU"/>
              </w:rPr>
              <w:t>-5,91</w:t>
            </w:r>
          </w:p>
        </w:tc>
      </w:tr>
      <w:tr w:rsidR="00827437" w:rsidRPr="00522104" w14:paraId="01FD8B45" w14:textId="77777777" w:rsidTr="00C655A1">
        <w:trPr>
          <w:trHeight w:val="273"/>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5B7F12BA" w14:textId="77777777" w:rsidR="00827437" w:rsidRPr="00C655A1" w:rsidRDefault="00827437" w:rsidP="00E40BEE">
            <w:pPr>
              <w:spacing w:after="0" w:line="240" w:lineRule="auto"/>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Подпрограмма "Развитие инфраструктуры общего пользования для повышения доступности и качества предоставления государственных и муниципальных услуг"</w:t>
            </w:r>
          </w:p>
        </w:tc>
        <w:tc>
          <w:tcPr>
            <w:tcW w:w="1010" w:type="dxa"/>
            <w:tcBorders>
              <w:top w:val="nil"/>
              <w:left w:val="nil"/>
              <w:bottom w:val="single" w:sz="4" w:space="0" w:color="auto"/>
              <w:right w:val="single" w:sz="4" w:space="0" w:color="auto"/>
            </w:tcBorders>
            <w:shd w:val="clear" w:color="auto" w:fill="auto"/>
            <w:noWrap/>
            <w:vAlign w:val="bottom"/>
            <w:hideMark/>
          </w:tcPr>
          <w:p w14:paraId="34FE4A27"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1161,94</w:t>
            </w:r>
          </w:p>
        </w:tc>
        <w:tc>
          <w:tcPr>
            <w:tcW w:w="833" w:type="dxa"/>
            <w:tcBorders>
              <w:top w:val="nil"/>
              <w:left w:val="nil"/>
              <w:bottom w:val="single" w:sz="4" w:space="0" w:color="auto"/>
              <w:right w:val="single" w:sz="4" w:space="0" w:color="auto"/>
            </w:tcBorders>
            <w:shd w:val="clear" w:color="auto" w:fill="auto"/>
            <w:noWrap/>
            <w:vAlign w:val="bottom"/>
            <w:hideMark/>
          </w:tcPr>
          <w:p w14:paraId="1A6F992E"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1161,21</w:t>
            </w:r>
          </w:p>
        </w:tc>
        <w:tc>
          <w:tcPr>
            <w:tcW w:w="850" w:type="dxa"/>
            <w:tcBorders>
              <w:top w:val="nil"/>
              <w:left w:val="nil"/>
              <w:bottom w:val="single" w:sz="4" w:space="0" w:color="auto"/>
              <w:right w:val="single" w:sz="4" w:space="0" w:color="auto"/>
            </w:tcBorders>
            <w:shd w:val="clear" w:color="auto" w:fill="auto"/>
            <w:noWrap/>
            <w:vAlign w:val="bottom"/>
            <w:hideMark/>
          </w:tcPr>
          <w:p w14:paraId="4654397A"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1082,51</w:t>
            </w:r>
          </w:p>
        </w:tc>
        <w:tc>
          <w:tcPr>
            <w:tcW w:w="851" w:type="dxa"/>
            <w:tcBorders>
              <w:top w:val="nil"/>
              <w:left w:val="nil"/>
              <w:bottom w:val="single" w:sz="4" w:space="0" w:color="auto"/>
              <w:right w:val="single" w:sz="4" w:space="0" w:color="auto"/>
            </w:tcBorders>
            <w:shd w:val="clear" w:color="auto" w:fill="auto"/>
            <w:noWrap/>
            <w:vAlign w:val="bottom"/>
            <w:hideMark/>
          </w:tcPr>
          <w:p w14:paraId="282DC6E7"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1218,36</w:t>
            </w:r>
          </w:p>
        </w:tc>
        <w:tc>
          <w:tcPr>
            <w:tcW w:w="850" w:type="dxa"/>
            <w:tcBorders>
              <w:top w:val="nil"/>
              <w:left w:val="nil"/>
              <w:bottom w:val="single" w:sz="4" w:space="0" w:color="auto"/>
              <w:right w:val="single" w:sz="4" w:space="0" w:color="auto"/>
            </w:tcBorders>
            <w:shd w:val="clear" w:color="auto" w:fill="auto"/>
            <w:noWrap/>
            <w:vAlign w:val="bottom"/>
            <w:hideMark/>
          </w:tcPr>
          <w:p w14:paraId="7F344DA0"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1183,50</w:t>
            </w:r>
          </w:p>
        </w:tc>
        <w:tc>
          <w:tcPr>
            <w:tcW w:w="851" w:type="dxa"/>
            <w:tcBorders>
              <w:top w:val="nil"/>
              <w:left w:val="nil"/>
              <w:bottom w:val="single" w:sz="4" w:space="0" w:color="auto"/>
              <w:right w:val="single" w:sz="4" w:space="0" w:color="auto"/>
            </w:tcBorders>
            <w:shd w:val="clear" w:color="auto" w:fill="auto"/>
            <w:noWrap/>
            <w:vAlign w:val="bottom"/>
            <w:hideMark/>
          </w:tcPr>
          <w:p w14:paraId="1492FECB"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1225,57</w:t>
            </w:r>
          </w:p>
        </w:tc>
        <w:tc>
          <w:tcPr>
            <w:tcW w:w="992" w:type="dxa"/>
            <w:tcBorders>
              <w:top w:val="nil"/>
              <w:left w:val="nil"/>
              <w:bottom w:val="single" w:sz="4" w:space="0" w:color="auto"/>
              <w:right w:val="single" w:sz="4" w:space="0" w:color="auto"/>
            </w:tcBorders>
            <w:shd w:val="clear" w:color="auto" w:fill="auto"/>
            <w:noWrap/>
            <w:vAlign w:val="bottom"/>
            <w:hideMark/>
          </w:tcPr>
          <w:p w14:paraId="66457B66"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57,15</w:t>
            </w:r>
          </w:p>
        </w:tc>
        <w:tc>
          <w:tcPr>
            <w:tcW w:w="992" w:type="dxa"/>
            <w:tcBorders>
              <w:top w:val="nil"/>
              <w:left w:val="nil"/>
              <w:bottom w:val="single" w:sz="4" w:space="0" w:color="auto"/>
              <w:right w:val="single" w:sz="4" w:space="0" w:color="auto"/>
            </w:tcBorders>
            <w:shd w:val="clear" w:color="auto" w:fill="auto"/>
            <w:noWrap/>
            <w:vAlign w:val="bottom"/>
            <w:hideMark/>
          </w:tcPr>
          <w:p w14:paraId="129BE71A"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135,85</w:t>
            </w:r>
          </w:p>
        </w:tc>
      </w:tr>
      <w:tr w:rsidR="00827437" w:rsidRPr="00522104" w14:paraId="66047D08" w14:textId="77777777" w:rsidTr="00C655A1">
        <w:trPr>
          <w:trHeight w:val="495"/>
        </w:trPr>
        <w:tc>
          <w:tcPr>
            <w:tcW w:w="2552" w:type="dxa"/>
            <w:tcBorders>
              <w:top w:val="nil"/>
              <w:left w:val="single" w:sz="4" w:space="0" w:color="auto"/>
              <w:bottom w:val="single" w:sz="4" w:space="0" w:color="auto"/>
              <w:right w:val="single" w:sz="4" w:space="0" w:color="auto"/>
            </w:tcBorders>
            <w:shd w:val="clear" w:color="auto" w:fill="auto"/>
            <w:vAlign w:val="bottom"/>
            <w:hideMark/>
          </w:tcPr>
          <w:p w14:paraId="76D479BB" w14:textId="77777777" w:rsidR="00827437" w:rsidRPr="00C655A1" w:rsidRDefault="00827437" w:rsidP="00E40BEE">
            <w:pPr>
              <w:spacing w:after="0" w:line="240" w:lineRule="auto"/>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Подпрограмма "Информационная среда"</w:t>
            </w:r>
          </w:p>
        </w:tc>
        <w:tc>
          <w:tcPr>
            <w:tcW w:w="1010" w:type="dxa"/>
            <w:tcBorders>
              <w:top w:val="nil"/>
              <w:left w:val="nil"/>
              <w:bottom w:val="single" w:sz="4" w:space="0" w:color="auto"/>
              <w:right w:val="single" w:sz="4" w:space="0" w:color="auto"/>
            </w:tcBorders>
            <w:shd w:val="clear" w:color="auto" w:fill="auto"/>
            <w:noWrap/>
            <w:vAlign w:val="bottom"/>
            <w:hideMark/>
          </w:tcPr>
          <w:p w14:paraId="504EE675"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345,46</w:t>
            </w:r>
          </w:p>
        </w:tc>
        <w:tc>
          <w:tcPr>
            <w:tcW w:w="833" w:type="dxa"/>
            <w:tcBorders>
              <w:top w:val="nil"/>
              <w:left w:val="nil"/>
              <w:bottom w:val="single" w:sz="4" w:space="0" w:color="auto"/>
              <w:right w:val="single" w:sz="4" w:space="0" w:color="auto"/>
            </w:tcBorders>
            <w:shd w:val="clear" w:color="auto" w:fill="auto"/>
            <w:noWrap/>
            <w:vAlign w:val="bottom"/>
            <w:hideMark/>
          </w:tcPr>
          <w:p w14:paraId="7DEBFA15"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351,41</w:t>
            </w:r>
          </w:p>
        </w:tc>
        <w:tc>
          <w:tcPr>
            <w:tcW w:w="850" w:type="dxa"/>
            <w:tcBorders>
              <w:top w:val="nil"/>
              <w:left w:val="nil"/>
              <w:bottom w:val="single" w:sz="4" w:space="0" w:color="auto"/>
              <w:right w:val="single" w:sz="4" w:space="0" w:color="auto"/>
            </w:tcBorders>
            <w:shd w:val="clear" w:color="auto" w:fill="auto"/>
            <w:noWrap/>
            <w:vAlign w:val="bottom"/>
            <w:hideMark/>
          </w:tcPr>
          <w:p w14:paraId="60E5E0D4"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345,64</w:t>
            </w:r>
          </w:p>
        </w:tc>
        <w:tc>
          <w:tcPr>
            <w:tcW w:w="851" w:type="dxa"/>
            <w:tcBorders>
              <w:top w:val="nil"/>
              <w:left w:val="nil"/>
              <w:bottom w:val="single" w:sz="4" w:space="0" w:color="auto"/>
              <w:right w:val="single" w:sz="4" w:space="0" w:color="auto"/>
            </w:tcBorders>
            <w:shd w:val="clear" w:color="auto" w:fill="auto"/>
            <w:noWrap/>
            <w:vAlign w:val="bottom"/>
            <w:hideMark/>
          </w:tcPr>
          <w:p w14:paraId="6DEEFFC0"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352,59</w:t>
            </w:r>
          </w:p>
        </w:tc>
        <w:tc>
          <w:tcPr>
            <w:tcW w:w="850" w:type="dxa"/>
            <w:tcBorders>
              <w:top w:val="nil"/>
              <w:left w:val="nil"/>
              <w:bottom w:val="single" w:sz="4" w:space="0" w:color="auto"/>
              <w:right w:val="single" w:sz="4" w:space="0" w:color="auto"/>
            </w:tcBorders>
            <w:shd w:val="clear" w:color="auto" w:fill="auto"/>
            <w:noWrap/>
            <w:vAlign w:val="bottom"/>
            <w:hideMark/>
          </w:tcPr>
          <w:p w14:paraId="04D667AF"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359,33</w:t>
            </w:r>
          </w:p>
        </w:tc>
        <w:tc>
          <w:tcPr>
            <w:tcW w:w="851" w:type="dxa"/>
            <w:tcBorders>
              <w:top w:val="nil"/>
              <w:left w:val="nil"/>
              <w:bottom w:val="single" w:sz="4" w:space="0" w:color="auto"/>
              <w:right w:val="single" w:sz="4" w:space="0" w:color="auto"/>
            </w:tcBorders>
            <w:shd w:val="clear" w:color="auto" w:fill="auto"/>
            <w:noWrap/>
            <w:vAlign w:val="bottom"/>
            <w:hideMark/>
          </w:tcPr>
          <w:p w14:paraId="30544CAA"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367,09</w:t>
            </w:r>
          </w:p>
        </w:tc>
        <w:tc>
          <w:tcPr>
            <w:tcW w:w="992" w:type="dxa"/>
            <w:tcBorders>
              <w:top w:val="nil"/>
              <w:left w:val="nil"/>
              <w:bottom w:val="single" w:sz="4" w:space="0" w:color="auto"/>
              <w:right w:val="single" w:sz="4" w:space="0" w:color="auto"/>
            </w:tcBorders>
            <w:shd w:val="clear" w:color="auto" w:fill="auto"/>
            <w:noWrap/>
            <w:vAlign w:val="bottom"/>
            <w:hideMark/>
          </w:tcPr>
          <w:p w14:paraId="2D0DD00E"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1,18</w:t>
            </w:r>
          </w:p>
        </w:tc>
        <w:tc>
          <w:tcPr>
            <w:tcW w:w="992" w:type="dxa"/>
            <w:tcBorders>
              <w:top w:val="nil"/>
              <w:left w:val="nil"/>
              <w:bottom w:val="single" w:sz="4" w:space="0" w:color="auto"/>
              <w:right w:val="single" w:sz="4" w:space="0" w:color="auto"/>
            </w:tcBorders>
            <w:shd w:val="clear" w:color="auto" w:fill="auto"/>
            <w:noWrap/>
            <w:vAlign w:val="bottom"/>
            <w:hideMark/>
          </w:tcPr>
          <w:p w14:paraId="05F368B4" w14:textId="77777777" w:rsidR="00827437" w:rsidRPr="00C655A1" w:rsidRDefault="00827437" w:rsidP="00E40BEE">
            <w:pPr>
              <w:spacing w:after="0" w:line="240" w:lineRule="auto"/>
              <w:jc w:val="right"/>
              <w:rPr>
                <w:rFonts w:ascii="Times New Roman" w:eastAsia="Times New Roman" w:hAnsi="Times New Roman" w:cs="Times New Roman"/>
                <w:sz w:val="18"/>
                <w:szCs w:val="18"/>
                <w:lang w:eastAsia="ru-RU"/>
              </w:rPr>
            </w:pPr>
            <w:r w:rsidRPr="00C655A1">
              <w:rPr>
                <w:rFonts w:ascii="Times New Roman" w:eastAsia="Times New Roman" w:hAnsi="Times New Roman" w:cs="Times New Roman"/>
                <w:sz w:val="18"/>
                <w:szCs w:val="18"/>
                <w:lang w:eastAsia="ru-RU"/>
              </w:rPr>
              <w:t>6,95</w:t>
            </w:r>
          </w:p>
        </w:tc>
      </w:tr>
    </w:tbl>
    <w:p w14:paraId="553D8C39" w14:textId="77777777" w:rsidR="00827437" w:rsidRPr="00522104" w:rsidRDefault="00827437" w:rsidP="00827437">
      <w:pPr>
        <w:tabs>
          <w:tab w:val="left" w:pos="1125"/>
        </w:tabs>
        <w:spacing w:after="0" w:line="240" w:lineRule="auto"/>
        <w:ind w:firstLine="708"/>
        <w:jc w:val="both"/>
        <w:outlineLvl w:val="4"/>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ab/>
      </w:r>
    </w:p>
    <w:p w14:paraId="35394B43"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b/>
          <w:i/>
          <w:sz w:val="28"/>
          <w:szCs w:val="28"/>
        </w:rPr>
        <w:t>По подпрограмме "</w:t>
      </w:r>
      <w:r w:rsidRPr="00522104">
        <w:rPr>
          <w:rFonts w:ascii="Times New Roman" w:eastAsia="Times New Roman" w:hAnsi="Times New Roman" w:cs="Times New Roman"/>
          <w:b/>
          <w:i/>
          <w:sz w:val="28"/>
          <w:szCs w:val="28"/>
          <w:lang w:eastAsia="ru-RU"/>
        </w:rPr>
        <w:t>Развитие цифровой экономики в Приморском крае"</w:t>
      </w:r>
      <w:r w:rsidRPr="00522104">
        <w:rPr>
          <w:rFonts w:ascii="Times New Roman" w:eastAsia="Times New Roman" w:hAnsi="Times New Roman" w:cs="Times New Roman"/>
          <w:sz w:val="28"/>
          <w:szCs w:val="28"/>
          <w:lang w:eastAsia="ru-RU"/>
        </w:rPr>
        <w:t xml:space="preserve"> законопроектом на 2022 год запланированы расходы в сумме 931,73 млн рублей, что больше на 469,51 млн рублей, или в 2 раза, чем законодательно утверждено (462,22 млн рублей). </w:t>
      </w:r>
    </w:p>
    <w:p w14:paraId="72091A09"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Подпрограммой предусмотрены расходы в рамках трех ФП, в том числе:</w:t>
      </w:r>
    </w:p>
    <w:p w14:paraId="6238BD29" w14:textId="4183CFE0"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ФП "Информационная безопасность"</w:t>
      </w:r>
      <w:r w:rsidRPr="00522104">
        <w:rPr>
          <w:rFonts w:ascii="Times New Roman" w:eastAsia="Times New Roman" w:hAnsi="Times New Roman" w:cs="Times New Roman"/>
          <w:sz w:val="28"/>
          <w:szCs w:val="28"/>
          <w:lang w:eastAsia="ru-RU"/>
        </w:rPr>
        <w:t xml:space="preserve"> с уменьшением расходов в общей сумме на 21,03 млн рублей (законопроект – 35,70 млн рублей, утверждено Законом 969-КЗ – 56,73 млн ру</w:t>
      </w:r>
      <w:r w:rsidR="00583BE6" w:rsidRPr="00522104">
        <w:rPr>
          <w:rFonts w:ascii="Times New Roman" w:eastAsia="Times New Roman" w:hAnsi="Times New Roman" w:cs="Times New Roman"/>
          <w:sz w:val="28"/>
          <w:szCs w:val="28"/>
          <w:lang w:eastAsia="ru-RU"/>
        </w:rPr>
        <w:t>блей). В сравнении с 2021 годом</w:t>
      </w:r>
      <w:r w:rsidRPr="00522104">
        <w:rPr>
          <w:rFonts w:ascii="Times New Roman" w:eastAsia="Times New Roman" w:hAnsi="Times New Roman" w:cs="Times New Roman"/>
          <w:sz w:val="28"/>
          <w:szCs w:val="28"/>
          <w:lang w:eastAsia="ru-RU"/>
        </w:rPr>
        <w:t xml:space="preserve"> расходы по ФП увеличились на 4,27 млн рублей, или на 13,59 %;</w:t>
      </w:r>
    </w:p>
    <w:p w14:paraId="35BDAB55" w14:textId="6B0B299A"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ФП "Информационная инфраструктура"</w:t>
      </w:r>
      <w:r w:rsidRPr="00522104">
        <w:rPr>
          <w:rFonts w:ascii="Times New Roman" w:eastAsia="Times New Roman" w:hAnsi="Times New Roman" w:cs="Times New Roman"/>
          <w:sz w:val="28"/>
          <w:szCs w:val="28"/>
          <w:lang w:eastAsia="ru-RU"/>
        </w:rPr>
        <w:t xml:space="preserve"> с уменьшением расходов</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на 6,0</w:t>
      </w:r>
      <w:r w:rsidR="00250F56" w:rsidRPr="00522104">
        <w:rPr>
          <w:rFonts w:ascii="Times New Roman" w:eastAsia="Times New Roman" w:hAnsi="Times New Roman" w:cs="Times New Roman"/>
          <w:sz w:val="28"/>
          <w:szCs w:val="28"/>
          <w:lang w:eastAsia="ru-RU"/>
        </w:rPr>
        <w:t>1 млн рублей (законопроект 62,45</w:t>
      </w:r>
      <w:r w:rsidRPr="00522104">
        <w:rPr>
          <w:rFonts w:ascii="Times New Roman" w:eastAsia="Times New Roman" w:hAnsi="Times New Roman" w:cs="Times New Roman"/>
          <w:sz w:val="28"/>
          <w:szCs w:val="28"/>
          <w:lang w:eastAsia="ru-RU"/>
        </w:rPr>
        <w:t xml:space="preserve"> млн рублей, утверждено – 68,46 млн рублей). По сравнению с 2021 годом расходы по указанному ФП возросли на 61,55 млн рублей (в 2021 году – 0,91 млн рублей);</w:t>
      </w:r>
    </w:p>
    <w:p w14:paraId="4862A2C3" w14:textId="7195132D"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
          <w:sz w:val="28"/>
          <w:szCs w:val="28"/>
          <w:lang w:eastAsia="ru-RU"/>
        </w:rPr>
        <w:t>ФП "Цифровое государственное управление"</w:t>
      </w:r>
      <w:r w:rsidRPr="00522104">
        <w:rPr>
          <w:rFonts w:ascii="Times New Roman" w:eastAsia="Times New Roman" w:hAnsi="Times New Roman" w:cs="Times New Roman"/>
          <w:sz w:val="28"/>
          <w:szCs w:val="28"/>
          <w:lang w:eastAsia="ru-RU"/>
        </w:rPr>
        <w:t xml:space="preserve"> с уменьшением расходов в общей сумме</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на 5,91 млн рублей (законопроект – 35,19 млн рублей</w:t>
      </w:r>
      <w:r w:rsidR="00583BE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утверждено – 41,11 млн рублей). По сравнению с 2021 годом расходы по данному ФП сократились на 38,37 млн рублей</w:t>
      </w:r>
      <w:r w:rsidR="00583BE6"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или на 52,16 %.</w:t>
      </w:r>
    </w:p>
    <w:p w14:paraId="0B0AE63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Законопроектом на 2022 год реализация мероприятий </w:t>
      </w:r>
      <w:r w:rsidRPr="00522104">
        <w:rPr>
          <w:rFonts w:ascii="Times New Roman" w:eastAsia="Times New Roman" w:hAnsi="Times New Roman" w:cs="Times New Roman"/>
          <w:i/>
          <w:sz w:val="28"/>
          <w:szCs w:val="28"/>
          <w:lang w:eastAsia="ru-RU"/>
        </w:rPr>
        <w:t xml:space="preserve">ФП "Цифровые технологии" </w:t>
      </w:r>
      <w:r w:rsidRPr="00522104">
        <w:rPr>
          <w:rFonts w:ascii="Times New Roman" w:eastAsia="Times New Roman" w:hAnsi="Times New Roman" w:cs="Times New Roman"/>
          <w:sz w:val="28"/>
          <w:szCs w:val="28"/>
          <w:lang w:eastAsia="ru-RU"/>
        </w:rPr>
        <w:t>не запланирована. На плановый период 2023-2024 годов предусмотрено по 0,30 млн рублей ежегодно.</w:t>
      </w:r>
    </w:p>
    <w:p w14:paraId="3C2F6C01"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Контрольно-счетной палатой проведен анализ финансового обеспечения, указанных в РП и в законопроекте, в результате выявлено несоответствие:</w:t>
      </w:r>
    </w:p>
    <w:p w14:paraId="024F44E6"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2022 год: во всех РП отражены суммы, утвержденные Законом № 969-КЗ, а не законопроектом;</w:t>
      </w:r>
    </w:p>
    <w:p w14:paraId="3612D990" w14:textId="33EBAFF3" w:rsidR="00827437" w:rsidRPr="00522104" w:rsidRDefault="004A7E08"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w:t>
      </w:r>
      <w:r w:rsidR="00583BE6" w:rsidRPr="00522104">
        <w:rPr>
          <w:rFonts w:ascii="Times New Roman" w:eastAsia="Times New Roman" w:hAnsi="Times New Roman" w:cs="Times New Roman"/>
          <w:sz w:val="28"/>
          <w:szCs w:val="28"/>
          <w:lang w:eastAsia="ru-RU"/>
        </w:rPr>
        <w:t xml:space="preserve"> </w:t>
      </w:r>
      <w:r w:rsidR="00827437" w:rsidRPr="00522104">
        <w:rPr>
          <w:rFonts w:ascii="Times New Roman" w:eastAsia="Times New Roman" w:hAnsi="Times New Roman" w:cs="Times New Roman"/>
          <w:sz w:val="28"/>
          <w:szCs w:val="28"/>
          <w:lang w:eastAsia="ru-RU"/>
        </w:rPr>
        <w:t>2023 год: согласно РП "Информационная инфраструктура" – 13,23 млн рублей, по законопроекту – 89,38 млн рублей;</w:t>
      </w:r>
    </w:p>
    <w:p w14:paraId="0C313106"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2024 год: по всем РП финансовое обеспечение не предусмотрено, тогда как в законопроекте данный период запланирован. </w:t>
      </w:r>
    </w:p>
    <w:p w14:paraId="56327723"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Исходя из изложенного, рекомендуем Правительству Приморского края привести в соответствие финансовое обеспечение в РП.</w:t>
      </w:r>
    </w:p>
    <w:p w14:paraId="69117040"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Кроме реализации ФП, в рамках данной подпрограммы предусмотрены расходы на обеспечение деятельности учреждений, подведомственных </w:t>
      </w:r>
      <w:r w:rsidRPr="00522104">
        <w:rPr>
          <w:rFonts w:ascii="Times New Roman" w:hAnsi="Times New Roman" w:cs="Times New Roman"/>
          <w:sz w:val="28"/>
          <w:szCs w:val="28"/>
        </w:rPr>
        <w:t>министерству цифрового развития и связи Приморского края:</w:t>
      </w:r>
    </w:p>
    <w:p w14:paraId="5D0C2EB9"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 увеличением на 2022 год к утвержденным назначениям:</w:t>
      </w:r>
    </w:p>
    <w:p w14:paraId="3769697E"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182,00 млн рублей, или на 85,41 % – на обеспечение деятельности КГКУ "Информационно-технологический центр Приморского края" (утверждено – 213,08 млн рублей, законопроект – 395,08 млн рублей);</w:t>
      </w:r>
    </w:p>
    <w:p w14:paraId="6200CB08" w14:textId="1E26AFEA"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1,30 млн рублей, или на 3,34 % </w:t>
      </w:r>
      <w:r w:rsidR="004A7E08"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на обеспечение деятельности КГКУ "Цифровая лаборатория Правительства Приморского края" (утверждено – 38,87 млн рублей, законопроект – 40,17 млн рублей).</w:t>
      </w:r>
    </w:p>
    <w:p w14:paraId="5379DDF4"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на 2022 год министерству цифрового развития и связи Приморского края предусмотрены новые целевые статьи:</w:t>
      </w:r>
    </w:p>
    <w:p w14:paraId="0544B0A3" w14:textId="6026B614"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субсидия юридическим лицам на реализацию мероприятий по созданию условий для обеспечения стабильной мобильной связи и доступа в Интернет </w:t>
      </w:r>
      <w:r w:rsidR="004A7E08"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6,00 млн рублей. Согласно информации, представленной министерством, субсидия предоставляется операторам связи для компенсации части затрат на реализацию мероприятий по обеспечению мобильной телефонной связи и доступом в Интернет автомобильных дорог Международных коридоров "Приморье-1", "Приморье-2" (целевая статья 1110762300);</w:t>
      </w:r>
    </w:p>
    <w:p w14:paraId="37390C45" w14:textId="28A30346"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плата концедента в рамках заключенных концессионных соглашений </w:t>
      </w:r>
      <w:r w:rsidR="004A7E08"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311,80 млн рублей. В 2021 году заключено концессионное соглашение в целях создания единой региональной цифровой платформы "Цифровое Приморье" и технологически связанных с ней информационных систем и технических средств обеспечения функционирования объектов информационных технологий на территории Приморского края, плата концедента по которому начинается с 2022 года (целевая статья 1110862290).</w:t>
      </w:r>
    </w:p>
    <w:p w14:paraId="22988F9B" w14:textId="64128861" w:rsidR="00827437" w:rsidRPr="00522104" w:rsidRDefault="00827437" w:rsidP="00827437">
      <w:pPr>
        <w:spacing w:after="0" w:line="240" w:lineRule="auto"/>
        <w:ind w:firstLine="709"/>
        <w:jc w:val="both"/>
        <w:rPr>
          <w:rFonts w:ascii="Times New Roman" w:eastAsia="Times New Roman" w:hAnsi="Times New Roman" w:cs="Times New Roman"/>
          <w:b/>
          <w:i/>
          <w:sz w:val="28"/>
          <w:szCs w:val="28"/>
          <w:lang w:eastAsia="ru-RU"/>
        </w:rPr>
      </w:pPr>
      <w:r w:rsidRPr="00522104">
        <w:rPr>
          <w:rFonts w:ascii="Times New Roman" w:eastAsia="Times New Roman" w:hAnsi="Times New Roman" w:cs="Times New Roman"/>
          <w:sz w:val="28"/>
          <w:szCs w:val="28"/>
          <w:lang w:eastAsia="ru-RU"/>
        </w:rPr>
        <w:t>Объем расходов</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на реализацию мероприятий</w:t>
      </w:r>
      <w:r w:rsidRPr="00522104">
        <w:rPr>
          <w:rFonts w:ascii="Times New Roman" w:eastAsia="Times New Roman" w:hAnsi="Times New Roman" w:cs="Times New Roman"/>
          <w:b/>
          <w:i/>
          <w:sz w:val="28"/>
          <w:szCs w:val="28"/>
          <w:lang w:eastAsia="ru-RU"/>
        </w:rPr>
        <w:t xml:space="preserve"> подпрограммы "Развитие инфраструктуры общего пользования для повышения доступности и качества предоставления государственных и муниципальных услуг" </w:t>
      </w:r>
      <w:r w:rsidRPr="00522104">
        <w:rPr>
          <w:rFonts w:ascii="Times New Roman" w:eastAsia="Times New Roman" w:hAnsi="Times New Roman" w:cs="Times New Roman"/>
          <w:sz w:val="28"/>
          <w:szCs w:val="28"/>
          <w:lang w:eastAsia="ru-RU"/>
        </w:rPr>
        <w:t>на 2022 год запланирован</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с увеличением на 135,85 млн рублей</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(утверждено законом на 2022 год – 1082,51 млн рублей, законопроект на 2022 год – 1218,36</w:t>
      </w:r>
      <w:r w:rsidR="004A7E08"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рублей).</w:t>
      </w:r>
    </w:p>
    <w:p w14:paraId="51C9ED4C" w14:textId="01CDB16B"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КГАУ "</w:t>
      </w:r>
      <w:r w:rsidRPr="00522104">
        <w:rPr>
          <w:rFonts w:ascii="Times New Roman" w:hAnsi="Times New Roman" w:cs="Times New Roman"/>
          <w:sz w:val="28"/>
          <w:szCs w:val="28"/>
        </w:rPr>
        <w:t>МФЦ Приморского края", подведомственного министерству цифрового развития и связи Приморского края, п</w:t>
      </w:r>
      <w:r w:rsidRPr="00522104">
        <w:rPr>
          <w:rFonts w:ascii="Times New Roman" w:eastAsia="Times New Roman" w:hAnsi="Times New Roman" w:cs="Times New Roman"/>
          <w:sz w:val="28"/>
          <w:szCs w:val="28"/>
          <w:lang w:eastAsia="ru-RU"/>
        </w:rPr>
        <w:t xml:space="preserve">одпрограммой предусмотрено </w:t>
      </w:r>
      <w:r w:rsidR="00105190" w:rsidRPr="00522104">
        <w:rPr>
          <w:rFonts w:ascii="Times New Roman" w:hAnsi="Times New Roman" w:cs="Times New Roman"/>
          <w:sz w:val="28"/>
          <w:szCs w:val="28"/>
        </w:rPr>
        <w:t>на финансовое обеспечение выполнения государственного задания 1137,77 млн рублей,</w:t>
      </w:r>
      <w:r w:rsidR="00105190" w:rsidRPr="00522104">
        <w:rPr>
          <w:rFonts w:ascii="Times New Roman" w:eastAsia="Times New Roman" w:hAnsi="Times New Roman" w:cs="Times New Roman"/>
          <w:sz w:val="28"/>
          <w:szCs w:val="28"/>
          <w:lang w:eastAsia="ru-RU"/>
        </w:rPr>
        <w:t xml:space="preserve"> </w:t>
      </w:r>
      <w:r w:rsidRPr="00522104">
        <w:rPr>
          <w:rFonts w:ascii="Times New Roman" w:hAnsi="Times New Roman" w:cs="Times New Roman"/>
          <w:sz w:val="28"/>
          <w:szCs w:val="28"/>
        </w:rPr>
        <w:t xml:space="preserve">что </w:t>
      </w:r>
      <w:r w:rsidR="00105190" w:rsidRPr="00522104">
        <w:rPr>
          <w:rFonts w:ascii="Times New Roman" w:hAnsi="Times New Roman" w:cs="Times New Roman"/>
          <w:sz w:val="28"/>
          <w:szCs w:val="28"/>
        </w:rPr>
        <w:t xml:space="preserve">больше </w:t>
      </w:r>
      <w:r w:rsidRPr="00522104">
        <w:rPr>
          <w:rFonts w:ascii="Times New Roman" w:hAnsi="Times New Roman" w:cs="Times New Roman"/>
          <w:sz w:val="28"/>
          <w:szCs w:val="28"/>
        </w:rPr>
        <w:t>на 80,96 млн рублей, или на 7,66 %</w:t>
      </w:r>
      <w:r w:rsidR="004A7E08" w:rsidRPr="00522104">
        <w:rPr>
          <w:rFonts w:ascii="Times New Roman" w:hAnsi="Times New Roman" w:cs="Times New Roman"/>
          <w:sz w:val="28"/>
          <w:szCs w:val="28"/>
        </w:rPr>
        <w:t>,</w:t>
      </w:r>
      <w:r w:rsidRPr="00522104">
        <w:rPr>
          <w:rFonts w:ascii="Times New Roman" w:hAnsi="Times New Roman" w:cs="Times New Roman"/>
          <w:sz w:val="28"/>
          <w:szCs w:val="28"/>
        </w:rPr>
        <w:t xml:space="preserve"> утвержденны</w:t>
      </w:r>
      <w:r w:rsidR="00425A84" w:rsidRPr="00522104">
        <w:rPr>
          <w:rFonts w:ascii="Times New Roman" w:hAnsi="Times New Roman" w:cs="Times New Roman"/>
          <w:sz w:val="28"/>
          <w:szCs w:val="28"/>
        </w:rPr>
        <w:t>х</w:t>
      </w:r>
      <w:r w:rsidRPr="00522104">
        <w:rPr>
          <w:rFonts w:ascii="Times New Roman" w:hAnsi="Times New Roman" w:cs="Times New Roman"/>
          <w:sz w:val="28"/>
          <w:szCs w:val="28"/>
        </w:rPr>
        <w:t xml:space="preserve"> назначени</w:t>
      </w:r>
      <w:r w:rsidR="00425A84" w:rsidRPr="00522104">
        <w:rPr>
          <w:rFonts w:ascii="Times New Roman" w:hAnsi="Times New Roman" w:cs="Times New Roman"/>
          <w:sz w:val="28"/>
          <w:szCs w:val="28"/>
        </w:rPr>
        <w:t>й</w:t>
      </w:r>
      <w:r w:rsidRPr="00522104">
        <w:rPr>
          <w:rFonts w:ascii="Times New Roman" w:hAnsi="Times New Roman" w:cs="Times New Roman"/>
          <w:sz w:val="28"/>
          <w:szCs w:val="28"/>
        </w:rPr>
        <w:t xml:space="preserve"> (1056,82 млн рублей).</w:t>
      </w:r>
      <w:r w:rsidR="00105190" w:rsidRPr="00522104">
        <w:rPr>
          <w:rFonts w:ascii="Times New Roman" w:eastAsia="Times New Roman" w:hAnsi="Times New Roman" w:cs="Times New Roman"/>
          <w:sz w:val="28"/>
          <w:szCs w:val="28"/>
          <w:lang w:eastAsia="ru-RU"/>
        </w:rPr>
        <w:t xml:space="preserve"> </w:t>
      </w:r>
    </w:p>
    <w:p w14:paraId="4AA15B18"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Также законопроектом запланированы для КГАУ "МФЦ Приморского края" субсидии на иные цели в сумме 42,29 млн рублей (утверждено Законом № 969-КЗ – 1,40 млн рублей), в том числе на:</w:t>
      </w:r>
    </w:p>
    <w:p w14:paraId="2B30836F" w14:textId="2E6E333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проведение капитального ремонта в общей сумме 23,00 млн рублей по объектам: отделение КГАУ "МФЦ Приморского края" в г. Владивостоке (ул.</w:t>
      </w:r>
      <w:r w:rsidR="004A7E08" w:rsidRPr="00522104">
        <w:rPr>
          <w:rFonts w:ascii="Times New Roman" w:hAnsi="Times New Roman" w:cs="Times New Roman"/>
          <w:sz w:val="28"/>
          <w:szCs w:val="28"/>
        </w:rPr>
        <w:t> </w:t>
      </w:r>
      <w:r w:rsidRPr="00522104">
        <w:rPr>
          <w:rFonts w:ascii="Times New Roman" w:hAnsi="Times New Roman" w:cs="Times New Roman"/>
          <w:sz w:val="28"/>
          <w:szCs w:val="28"/>
        </w:rPr>
        <w:t>Борисенко, 102) – 17,00 млн рублей, отделение КГАУ "МФЦ Приморского края" в с. Яковлевка (ул. Советская, д. 59) – 6,00 млн рублей;</w:t>
      </w:r>
    </w:p>
    <w:p w14:paraId="7F2EF962" w14:textId="77777777" w:rsidR="00827437" w:rsidRPr="00522104" w:rsidRDefault="00827437" w:rsidP="00827437">
      <w:pPr>
        <w:spacing w:after="0" w:line="240" w:lineRule="auto"/>
        <w:jc w:val="both"/>
        <w:rPr>
          <w:rFonts w:ascii="Times New Roman" w:hAnsi="Times New Roman" w:cs="Times New Roman"/>
          <w:sz w:val="28"/>
          <w:szCs w:val="28"/>
        </w:rPr>
      </w:pPr>
      <w:r w:rsidRPr="00522104">
        <w:rPr>
          <w:rFonts w:ascii="Times New Roman" w:hAnsi="Times New Roman" w:cs="Times New Roman"/>
          <w:sz w:val="28"/>
          <w:szCs w:val="28"/>
        </w:rPr>
        <w:tab/>
        <w:t>приобретение основных средств (кроме недвижимого имущества), приобретение программного обеспечения, его технической поддержки и средств защиты информации на сумму 14,29 млн рублей;</w:t>
      </w:r>
    </w:p>
    <w:p w14:paraId="4822306B" w14:textId="38DF4B12" w:rsidR="00827437" w:rsidRPr="00522104" w:rsidRDefault="00827437" w:rsidP="00827437">
      <w:pPr>
        <w:spacing w:after="0" w:line="240" w:lineRule="auto"/>
        <w:jc w:val="both"/>
        <w:rPr>
          <w:rFonts w:ascii="Times New Roman" w:hAnsi="Times New Roman" w:cs="Times New Roman"/>
          <w:sz w:val="28"/>
          <w:szCs w:val="28"/>
        </w:rPr>
      </w:pPr>
      <w:r w:rsidRPr="00522104">
        <w:rPr>
          <w:rFonts w:ascii="Times New Roman" w:hAnsi="Times New Roman" w:cs="Times New Roman"/>
          <w:sz w:val="28"/>
          <w:szCs w:val="28"/>
        </w:rPr>
        <w:tab/>
        <w:t>реализацию мероприятий по внедрению технологий бережливого производства в Правительстве Приморского края в сумме 5,00 млн рублей, из них: 4,45 млн рублей на ежемесячные расходы на заработную плату операторов, 0</w:t>
      </w:r>
      <w:r w:rsidR="004A7E08" w:rsidRPr="00522104">
        <w:rPr>
          <w:rFonts w:ascii="Times New Roman" w:hAnsi="Times New Roman" w:cs="Times New Roman"/>
          <w:sz w:val="28"/>
          <w:szCs w:val="28"/>
        </w:rPr>
        <w:t>,55 – расходы на оборудование 5</w:t>
      </w:r>
      <w:r w:rsidRPr="00522104">
        <w:rPr>
          <w:rFonts w:ascii="Times New Roman" w:hAnsi="Times New Roman" w:cs="Times New Roman"/>
          <w:sz w:val="28"/>
          <w:szCs w:val="28"/>
        </w:rPr>
        <w:t xml:space="preserve"> рабочих мест.</w:t>
      </w:r>
    </w:p>
    <w:p w14:paraId="62A8509C" w14:textId="694FB306" w:rsidR="00827437" w:rsidRPr="00522104" w:rsidRDefault="00827437" w:rsidP="00827437">
      <w:pPr>
        <w:spacing w:after="0" w:line="240" w:lineRule="auto"/>
        <w:ind w:firstLine="708"/>
        <w:jc w:val="both"/>
        <w:rPr>
          <w:rFonts w:ascii="Times New Roman" w:hAnsi="Times New Roman" w:cs="Times New Roman"/>
          <w:i/>
          <w:sz w:val="28"/>
          <w:szCs w:val="28"/>
        </w:rPr>
      </w:pPr>
      <w:r w:rsidRPr="00522104">
        <w:rPr>
          <w:rFonts w:ascii="Times New Roman" w:hAnsi="Times New Roman" w:cs="Times New Roman"/>
          <w:i/>
          <w:sz w:val="28"/>
          <w:szCs w:val="28"/>
        </w:rPr>
        <w:t>Справочно: исполнение субсидии на иные цели за 9 месяцев 2021 года составило 34,98 % (утверждено – 53,17 млн рублей, исполнено – 18,60 млн рублей). По информации министерства цифрового развития и связи Приморского края</w:t>
      </w:r>
      <w:r w:rsidR="004A7E08"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низкое исполнение связано с длительностью проведения конкурсных процедур по приобретению основных средств, проведению капитального ремонта (уточнение сметы расходов). Оплата предполагается в 4 квартале 2021 года по факту выполненных работ по капитальному ремонту помещений МФЦ, поставленных товаров (основных средств).</w:t>
      </w:r>
    </w:p>
    <w:p w14:paraId="6E29656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планируется увеличение расходов, предусмотренных по министерству труда и социальной политики Приморского края на реализацию социального информационного общества на 14,00 млн рублей, или в 2,6 раза (утверждено – 8,75 млн рублей, законопроект – 22,75 млн рублей).</w:t>
      </w:r>
    </w:p>
    <w:p w14:paraId="452446D5" w14:textId="38B12A99"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уровне утвержденных </w:t>
      </w:r>
      <w:r w:rsidRPr="00522104">
        <w:rPr>
          <w:rFonts w:ascii="Times New Roman" w:hAnsi="Times New Roman" w:cs="Times New Roman"/>
          <w:sz w:val="28"/>
          <w:szCs w:val="28"/>
        </w:rPr>
        <w:t xml:space="preserve">Законом № 969-КЗ </w:t>
      </w:r>
      <w:r w:rsidRPr="00522104">
        <w:rPr>
          <w:rFonts w:ascii="Times New Roman" w:eastAsia="Times New Roman" w:hAnsi="Times New Roman" w:cs="Times New Roman"/>
          <w:sz w:val="28"/>
          <w:szCs w:val="28"/>
          <w:lang w:eastAsia="ru-RU"/>
        </w:rPr>
        <w:t>запланированы расходы на обеспечение деятельности (оказание услуг, выполнение работ) краевых государственных учреждений, подведомственных министерству труда и социальной политики Приморского края и министерству профессионального образования и занятости населения Приморского края</w:t>
      </w:r>
      <w:r w:rsidR="004A7E08"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в сумме 15,55 млн рублей.</w:t>
      </w:r>
    </w:p>
    <w:p w14:paraId="1BBE438E"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"Информационная среда"</w:t>
      </w:r>
      <w:r w:rsidRPr="00522104">
        <w:rPr>
          <w:rFonts w:ascii="Times New Roman" w:eastAsia="Times New Roman" w:hAnsi="Times New Roman" w:cs="Times New Roman"/>
          <w:sz w:val="28"/>
          <w:szCs w:val="28"/>
          <w:lang w:eastAsia="ru-RU"/>
        </w:rPr>
        <w:t xml:space="preserve"> законопроектом на 2022 год запланированы расходы в сумме 352,59 млн рублей, что больше на 6,95 млн рублей, или на 2,01 %, утвержденных назначений (345,64 млн рублей).</w:t>
      </w:r>
    </w:p>
    <w:p w14:paraId="6D3260D2"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 увеличением на 2020 год запланированы расходы:</w:t>
      </w:r>
    </w:p>
    <w:p w14:paraId="40B94802"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1,31 млн рублей по департаменту информационной политики Приморского края на руководство и управление в сфере установленных функций. Увеличение расходов связано с индексацией фонда оплаты труда с 01.10.2021 (утверждено – 36,30 млн рублей, законопроект – 37,61 млн рублей);</w:t>
      </w:r>
    </w:p>
    <w:p w14:paraId="1F0C47F9"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1,33 млн рублей на обеспечение деятельности (оказание услуг, выполнение работ) КГКУ Приморского края "Приморский краевой центр производства социально значимой информации", подведомственного департаменту информационной политики Приморского края (утверждено на 2022 год – 40,60 млн рублей, законопроект – 41,93 млн рублей);</w:t>
      </w:r>
    </w:p>
    <w:p w14:paraId="3531EDB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4,31 млн рублей на обеспечение деятельности (оказание услуг, выполнение работ) КГБУ "Общественное телевидение Приморья", подведомственного департаменту информационной политики Приморского края (утверждено – 192,02 млн рублей, законопроект – 196,33 млн рублей).</w:t>
      </w:r>
    </w:p>
    <w:p w14:paraId="5779E358"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На уровне утвержденных </w:t>
      </w:r>
      <w:r w:rsidRPr="00522104">
        <w:rPr>
          <w:rFonts w:ascii="Times New Roman" w:hAnsi="Times New Roman" w:cs="Times New Roman"/>
          <w:sz w:val="28"/>
          <w:szCs w:val="28"/>
        </w:rPr>
        <w:t xml:space="preserve">Законом № 969-КЗ </w:t>
      </w:r>
      <w:r w:rsidRPr="00522104">
        <w:rPr>
          <w:rFonts w:ascii="Times New Roman" w:hAnsi="Times New Roman" w:cs="Times New Roman"/>
          <w:sz w:val="28"/>
          <w:szCs w:val="24"/>
        </w:rPr>
        <w:t>на 2022 год</w:t>
      </w:r>
      <w:r w:rsidRPr="00522104">
        <w:rPr>
          <w:rFonts w:ascii="Times New Roman" w:hAnsi="Times New Roman" w:cs="Times New Roman"/>
          <w:sz w:val="24"/>
        </w:rPr>
        <w:t xml:space="preserve"> </w:t>
      </w:r>
      <w:r w:rsidRPr="00522104">
        <w:rPr>
          <w:rFonts w:ascii="Times New Roman" w:eastAsia="Times New Roman" w:hAnsi="Times New Roman" w:cs="Times New Roman"/>
          <w:sz w:val="28"/>
          <w:szCs w:val="24"/>
          <w:lang w:eastAsia="ru-RU"/>
        </w:rPr>
        <w:t>запланированы следующие расходы на:</w:t>
      </w:r>
    </w:p>
    <w:p w14:paraId="7A137A96"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размещение социальной рекламы на объектах наружной рекламы, расположенных на территории Приморского края в сумме 3,00 млн рублей;</w:t>
      </w:r>
    </w:p>
    <w:p w14:paraId="5852C19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информирование населения о реализации государственных программ Приморского края в средствах массовой информации – 45,87 млн рублей;</w:t>
      </w:r>
    </w:p>
    <w:p w14:paraId="79DA2D8C"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предоставление 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 в сумме 25,91 млн рублей;</w:t>
      </w:r>
    </w:p>
    <w:p w14:paraId="421256AF"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 – 1,95 млн рублей.</w:t>
      </w:r>
    </w:p>
    <w:p w14:paraId="5494571B" w14:textId="77777777" w:rsidR="00827437" w:rsidRPr="00522104" w:rsidRDefault="00827437" w:rsidP="00827437">
      <w:pPr>
        <w:spacing w:after="0" w:line="240" w:lineRule="auto"/>
        <w:ind w:firstLine="720"/>
        <w:jc w:val="both"/>
        <w:rPr>
          <w:rFonts w:ascii="Times New Roman" w:eastAsia="Times New Roman" w:hAnsi="Times New Roman" w:cs="Times New Roman"/>
          <w:bCs/>
          <w:sz w:val="28"/>
          <w:szCs w:val="28"/>
          <w:lang w:eastAsia="ru-RU"/>
        </w:rPr>
      </w:pPr>
    </w:p>
    <w:p w14:paraId="59DE975A"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18656" behindDoc="0" locked="0" layoutInCell="1" allowOverlap="1" wp14:anchorId="26874781" wp14:editId="2ECEF4E9">
            <wp:simplePos x="0" y="0"/>
            <wp:positionH relativeFrom="column">
              <wp:posOffset>-635</wp:posOffset>
            </wp:positionH>
            <wp:positionV relativeFrom="paragraph">
              <wp:posOffset>117246</wp:posOffset>
            </wp:positionV>
            <wp:extent cx="1565910" cy="1466850"/>
            <wp:effectExtent l="0" t="0" r="0" b="0"/>
            <wp:wrapSquare wrapText="bothSides"/>
            <wp:docPr id="41" name="Рисунок 41" descr="C:\Users\zavzyataya_sv\Desktop\Картинки\isometric-road-junction_146998-2677.jpg"/>
            <wp:cNvGraphicFramePr/>
            <a:graphic xmlns:a="http://schemas.openxmlformats.org/drawingml/2006/main">
              <a:graphicData uri="http://schemas.openxmlformats.org/drawingml/2006/picture">
                <pic:pic xmlns:pic="http://schemas.openxmlformats.org/drawingml/2006/picture">
                  <pic:nvPicPr>
                    <pic:cNvPr id="41" name="Рисунок 41" descr="C:\Users\zavzyataya_sv\Desktop\Картинки\isometric-road-junction_146998-2677.jpg"/>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6591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"Развитие транспортного комплекса в Приморском крае"</w:t>
      </w:r>
    </w:p>
    <w:p w14:paraId="4B612ACA" w14:textId="77777777" w:rsidR="00827437" w:rsidRPr="00522104" w:rsidRDefault="00827437" w:rsidP="00827437">
      <w:pPr>
        <w:spacing w:after="0" w:line="240" w:lineRule="auto"/>
        <w:ind w:firstLine="709"/>
        <w:jc w:val="both"/>
        <w:rPr>
          <w:rFonts w:ascii="Times New Roman" w:hAnsi="Times New Roman" w:cs="Times New Roman"/>
          <w:strike/>
          <w:sz w:val="28"/>
          <w:szCs w:val="28"/>
        </w:rPr>
      </w:pPr>
      <w:r w:rsidRPr="00522104">
        <w:rPr>
          <w:rFonts w:ascii="Times New Roman" w:hAnsi="Times New Roman" w:cs="Times New Roman"/>
          <w:sz w:val="28"/>
          <w:szCs w:val="28"/>
        </w:rPr>
        <w:t xml:space="preserve">Согласно проекту паспорта ГП, представленному в материалах к законопроекту, ответственным исполнителем ГП является министерство транспорта и дорожного хозяйства Приморского края, соисполнителем – министерство цифрового развития и связи Приморского края. </w:t>
      </w:r>
    </w:p>
    <w:p w14:paraId="69B37214"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реализацию мероприятий ГП на 2022 год предусмотрены бюджетные ассигнования в объеме 17 253,99 млн рублей, что составляет 10,8 % от общих расходов краевого бюджета, в том числе за счет средств федерального бюджета 120,00 млн рублей, за счет средств краевого бюджета 17 133,99 млн рублей. Объемы финансового обеспечения реализации ГП в законопроекте и проекте паспорта ГП соответствуют и составляют в 2022 году 17 253,99 млн рублей, в 2023 году – 14 850,72 млн рублей, в 2024 году – 14 826,59 млн рублей.</w:t>
      </w:r>
    </w:p>
    <w:p w14:paraId="242C5C48"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Планируемый объем расходов в законопроекте на 2022 год:</w:t>
      </w:r>
    </w:p>
    <w:p w14:paraId="54DD0907" w14:textId="77777777" w:rsidR="00827437" w:rsidRPr="00522104" w:rsidRDefault="00827437" w:rsidP="00827437">
      <w:pPr>
        <w:tabs>
          <w:tab w:val="left" w:pos="2977"/>
        </w:tabs>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выше уровня 2022 года, утвержденного Законом № 969-КЗ на 3 386,77 млн рублей, или на 24,4 %;</w:t>
      </w:r>
    </w:p>
    <w:p w14:paraId="3EB0275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ниже уровня 2021 года на 5 854,57 млн рублей (23 108,56 млн рублей).</w:t>
      </w:r>
    </w:p>
    <w:p w14:paraId="06E1E743" w14:textId="56218932"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проекте паспорта ГП на 2020</w:t>
      </w:r>
      <w:r w:rsidR="007602C4">
        <w:rPr>
          <w:rFonts w:ascii="Times New Roman" w:hAnsi="Times New Roman" w:cs="Times New Roman"/>
          <w:sz w:val="28"/>
          <w:szCs w:val="28"/>
        </w:rPr>
        <w:t>-</w:t>
      </w:r>
      <w:r w:rsidRPr="00522104">
        <w:rPr>
          <w:rFonts w:ascii="Times New Roman" w:hAnsi="Times New Roman" w:cs="Times New Roman"/>
          <w:sz w:val="28"/>
          <w:szCs w:val="28"/>
        </w:rPr>
        <w:t>2027 годы объемы финансирования не увязаны с конкретными значениями показателей, поэтому проанализировать их соотношение в динамике в 2022</w:t>
      </w:r>
      <w:r w:rsidR="007602C4">
        <w:rPr>
          <w:rFonts w:ascii="Times New Roman" w:hAnsi="Times New Roman" w:cs="Times New Roman"/>
          <w:sz w:val="28"/>
          <w:szCs w:val="28"/>
        </w:rPr>
        <w:t>-</w:t>
      </w:r>
      <w:r w:rsidRPr="00522104">
        <w:rPr>
          <w:rFonts w:ascii="Times New Roman" w:hAnsi="Times New Roman" w:cs="Times New Roman"/>
          <w:sz w:val="28"/>
          <w:szCs w:val="28"/>
        </w:rPr>
        <w:t>2024 годах не представляется возможным.</w:t>
      </w:r>
    </w:p>
    <w:p w14:paraId="2371A0BA"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Структура ГП сформирована в разрезе четырех подпрограмм, в состав которых входит два федеральных проекта.</w:t>
      </w:r>
    </w:p>
    <w:p w14:paraId="592FB99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Анализ структуры и динамики финансового обеспечения ГП в 2021 – 2024 годах представлен в следующей таблице.</w:t>
      </w:r>
    </w:p>
    <w:tbl>
      <w:tblPr>
        <w:tblStyle w:val="821"/>
        <w:tblW w:w="9924" w:type="dxa"/>
        <w:tblInd w:w="-426" w:type="dxa"/>
        <w:tblLayout w:type="fixed"/>
        <w:tblLook w:val="04A0" w:firstRow="1" w:lastRow="0" w:firstColumn="1" w:lastColumn="0" w:noHBand="0" w:noVBand="1"/>
      </w:tblPr>
      <w:tblGrid>
        <w:gridCol w:w="2694"/>
        <w:gridCol w:w="958"/>
        <w:gridCol w:w="885"/>
        <w:gridCol w:w="851"/>
        <w:gridCol w:w="850"/>
        <w:gridCol w:w="992"/>
        <w:gridCol w:w="993"/>
        <w:gridCol w:w="851"/>
        <w:gridCol w:w="850"/>
      </w:tblGrid>
      <w:tr w:rsidR="00827437" w:rsidRPr="00074B2C" w14:paraId="4EEA43F9" w14:textId="77777777" w:rsidTr="00DC38E1">
        <w:trPr>
          <w:tblHeader/>
        </w:trPr>
        <w:tc>
          <w:tcPr>
            <w:tcW w:w="2694" w:type="dxa"/>
            <w:tcBorders>
              <w:top w:val="nil"/>
              <w:left w:val="nil"/>
              <w:bottom w:val="single" w:sz="4" w:space="0" w:color="auto"/>
              <w:right w:val="nil"/>
            </w:tcBorders>
            <w:vAlign w:val="center"/>
          </w:tcPr>
          <w:p w14:paraId="16EEB9C8" w14:textId="77777777" w:rsidR="00827437" w:rsidRPr="00522104" w:rsidRDefault="00827437" w:rsidP="00E40BEE">
            <w:pPr>
              <w:jc w:val="center"/>
              <w:rPr>
                <w:rFonts w:ascii="Times New Roman" w:hAnsi="Times New Roman" w:cs="Times New Roman"/>
                <w:sz w:val="20"/>
                <w:szCs w:val="20"/>
              </w:rPr>
            </w:pPr>
          </w:p>
        </w:tc>
        <w:tc>
          <w:tcPr>
            <w:tcW w:w="2694" w:type="dxa"/>
            <w:gridSpan w:val="3"/>
            <w:tcBorders>
              <w:top w:val="nil"/>
              <w:left w:val="nil"/>
              <w:bottom w:val="single" w:sz="4" w:space="0" w:color="auto"/>
              <w:right w:val="nil"/>
            </w:tcBorders>
            <w:vAlign w:val="center"/>
          </w:tcPr>
          <w:p w14:paraId="5F59F9C8" w14:textId="77777777" w:rsidR="00827437" w:rsidRPr="00522104" w:rsidRDefault="00827437" w:rsidP="00E40BEE">
            <w:pPr>
              <w:jc w:val="center"/>
              <w:rPr>
                <w:rFonts w:ascii="Times New Roman" w:hAnsi="Times New Roman" w:cs="Times New Roman"/>
                <w:sz w:val="20"/>
                <w:szCs w:val="20"/>
              </w:rPr>
            </w:pPr>
          </w:p>
        </w:tc>
        <w:tc>
          <w:tcPr>
            <w:tcW w:w="2835" w:type="dxa"/>
            <w:gridSpan w:val="3"/>
            <w:tcBorders>
              <w:top w:val="nil"/>
              <w:left w:val="nil"/>
              <w:bottom w:val="single" w:sz="4" w:space="0" w:color="auto"/>
              <w:right w:val="nil"/>
            </w:tcBorders>
            <w:vAlign w:val="center"/>
          </w:tcPr>
          <w:p w14:paraId="19D05C7A" w14:textId="77777777" w:rsidR="00827437" w:rsidRPr="00522104" w:rsidRDefault="00827437" w:rsidP="00E40BEE">
            <w:pPr>
              <w:jc w:val="center"/>
              <w:rPr>
                <w:rFonts w:ascii="Times New Roman" w:hAnsi="Times New Roman" w:cs="Times New Roman"/>
                <w:sz w:val="20"/>
                <w:szCs w:val="20"/>
              </w:rPr>
            </w:pPr>
          </w:p>
        </w:tc>
        <w:tc>
          <w:tcPr>
            <w:tcW w:w="1701" w:type="dxa"/>
            <w:gridSpan w:val="2"/>
            <w:tcBorders>
              <w:top w:val="nil"/>
              <w:left w:val="nil"/>
              <w:bottom w:val="single" w:sz="4" w:space="0" w:color="auto"/>
              <w:right w:val="nil"/>
            </w:tcBorders>
            <w:vAlign w:val="center"/>
          </w:tcPr>
          <w:p w14:paraId="69788098" w14:textId="1D84526D" w:rsidR="00827437" w:rsidRPr="00074B2C" w:rsidRDefault="003C52E7" w:rsidP="00E40BEE">
            <w:pPr>
              <w:jc w:val="right"/>
              <w:rPr>
                <w:rFonts w:ascii="Times New Roman" w:hAnsi="Times New Roman" w:cs="Times New Roman"/>
                <w:sz w:val="20"/>
                <w:szCs w:val="20"/>
              </w:rPr>
            </w:pPr>
            <w:r w:rsidRPr="00074B2C">
              <w:rPr>
                <w:rFonts w:ascii="Times New Roman" w:hAnsi="Times New Roman" w:cs="Times New Roman"/>
                <w:sz w:val="20"/>
                <w:szCs w:val="20"/>
              </w:rPr>
              <w:t>(</w:t>
            </w:r>
            <w:r w:rsidR="00827437" w:rsidRPr="00074B2C">
              <w:rPr>
                <w:rFonts w:ascii="Times New Roman" w:hAnsi="Times New Roman" w:cs="Times New Roman"/>
                <w:sz w:val="20"/>
                <w:szCs w:val="20"/>
              </w:rPr>
              <w:t>млн рублей</w:t>
            </w:r>
            <w:r w:rsidRPr="00074B2C">
              <w:rPr>
                <w:rFonts w:ascii="Times New Roman" w:hAnsi="Times New Roman" w:cs="Times New Roman"/>
                <w:sz w:val="20"/>
                <w:szCs w:val="20"/>
              </w:rPr>
              <w:t>)</w:t>
            </w:r>
          </w:p>
        </w:tc>
      </w:tr>
      <w:tr w:rsidR="00827437" w:rsidRPr="00522104" w14:paraId="6DBB5E4A" w14:textId="77777777" w:rsidTr="00DC38E1">
        <w:trPr>
          <w:tblHeader/>
        </w:trPr>
        <w:tc>
          <w:tcPr>
            <w:tcW w:w="2694" w:type="dxa"/>
            <w:vMerge w:val="restart"/>
            <w:tcBorders>
              <w:top w:val="single" w:sz="4" w:space="0" w:color="auto"/>
            </w:tcBorders>
            <w:vAlign w:val="center"/>
          </w:tcPr>
          <w:p w14:paraId="0C3E91DC"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Наименование</w:t>
            </w:r>
          </w:p>
        </w:tc>
        <w:tc>
          <w:tcPr>
            <w:tcW w:w="2694" w:type="dxa"/>
            <w:gridSpan w:val="3"/>
            <w:tcBorders>
              <w:top w:val="single" w:sz="4" w:space="0" w:color="auto"/>
            </w:tcBorders>
            <w:vAlign w:val="center"/>
          </w:tcPr>
          <w:p w14:paraId="576E55B3"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Закон № 969-КЗ</w:t>
            </w:r>
          </w:p>
        </w:tc>
        <w:tc>
          <w:tcPr>
            <w:tcW w:w="2835" w:type="dxa"/>
            <w:gridSpan w:val="3"/>
            <w:tcBorders>
              <w:top w:val="single" w:sz="4" w:space="0" w:color="auto"/>
            </w:tcBorders>
            <w:vAlign w:val="center"/>
          </w:tcPr>
          <w:p w14:paraId="3EDA9762"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Законопроект</w:t>
            </w:r>
          </w:p>
        </w:tc>
        <w:tc>
          <w:tcPr>
            <w:tcW w:w="1701" w:type="dxa"/>
            <w:gridSpan w:val="2"/>
            <w:tcBorders>
              <w:top w:val="single" w:sz="4" w:space="0" w:color="auto"/>
            </w:tcBorders>
            <w:vAlign w:val="center"/>
          </w:tcPr>
          <w:p w14:paraId="62EE5EE5"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Отклонение законопроекта от утвержденных назначений</w:t>
            </w:r>
          </w:p>
        </w:tc>
      </w:tr>
      <w:tr w:rsidR="007602C4" w:rsidRPr="00522104" w14:paraId="1A11B2A8" w14:textId="77777777" w:rsidTr="00DC38E1">
        <w:trPr>
          <w:trHeight w:val="361"/>
          <w:tblHeader/>
        </w:trPr>
        <w:tc>
          <w:tcPr>
            <w:tcW w:w="2694" w:type="dxa"/>
            <w:vMerge/>
          </w:tcPr>
          <w:p w14:paraId="481D3AB0" w14:textId="77777777" w:rsidR="007602C4" w:rsidRPr="00522104" w:rsidRDefault="007602C4" w:rsidP="00E40BEE">
            <w:pPr>
              <w:rPr>
                <w:rFonts w:ascii="Times New Roman" w:hAnsi="Times New Roman" w:cs="Times New Roman"/>
                <w:sz w:val="20"/>
                <w:szCs w:val="20"/>
              </w:rPr>
            </w:pPr>
          </w:p>
        </w:tc>
        <w:tc>
          <w:tcPr>
            <w:tcW w:w="958" w:type="dxa"/>
            <w:vMerge w:val="restart"/>
          </w:tcPr>
          <w:p w14:paraId="5BB858E6" w14:textId="21235190" w:rsidR="007602C4" w:rsidRPr="00522104" w:rsidRDefault="007602C4" w:rsidP="00DC38E1">
            <w:pPr>
              <w:ind w:left="-107"/>
              <w:jc w:val="center"/>
              <w:rPr>
                <w:rFonts w:ascii="Times New Roman" w:hAnsi="Times New Roman" w:cs="Times New Roman"/>
                <w:sz w:val="20"/>
                <w:szCs w:val="20"/>
              </w:rPr>
            </w:pPr>
            <w:r w:rsidRPr="00522104">
              <w:rPr>
                <w:rFonts w:ascii="Times New Roman" w:hAnsi="Times New Roman" w:cs="Times New Roman"/>
                <w:sz w:val="20"/>
                <w:szCs w:val="20"/>
              </w:rPr>
              <w:t>Первона</w:t>
            </w:r>
            <w:r w:rsidR="00DC38E1">
              <w:rPr>
                <w:rFonts w:ascii="Times New Roman" w:hAnsi="Times New Roman" w:cs="Times New Roman"/>
                <w:sz w:val="20"/>
                <w:szCs w:val="20"/>
              </w:rPr>
              <w:t>-ч</w:t>
            </w:r>
            <w:r w:rsidRPr="00522104">
              <w:rPr>
                <w:rFonts w:ascii="Times New Roman" w:hAnsi="Times New Roman" w:cs="Times New Roman"/>
                <w:sz w:val="20"/>
                <w:szCs w:val="20"/>
              </w:rPr>
              <w:t>альная редакция</w:t>
            </w:r>
          </w:p>
          <w:p w14:paraId="24614AE1" w14:textId="4A3759CD" w:rsidR="007602C4" w:rsidRPr="00522104" w:rsidRDefault="007602C4" w:rsidP="00DC38E1">
            <w:pPr>
              <w:ind w:left="-107"/>
              <w:jc w:val="center"/>
              <w:rPr>
                <w:rFonts w:ascii="Times New Roman" w:hAnsi="Times New Roman" w:cs="Times New Roman"/>
                <w:sz w:val="20"/>
                <w:szCs w:val="20"/>
              </w:rPr>
            </w:pPr>
            <w:r w:rsidRPr="00522104">
              <w:rPr>
                <w:rFonts w:ascii="Times New Roman" w:hAnsi="Times New Roman" w:cs="Times New Roman"/>
                <w:sz w:val="20"/>
                <w:szCs w:val="20"/>
              </w:rPr>
              <w:t>2021 год</w:t>
            </w:r>
          </w:p>
        </w:tc>
        <w:tc>
          <w:tcPr>
            <w:tcW w:w="1736" w:type="dxa"/>
            <w:gridSpan w:val="2"/>
            <w:vAlign w:val="center"/>
          </w:tcPr>
          <w:p w14:paraId="43826484" w14:textId="77777777" w:rsidR="007602C4" w:rsidRPr="00522104" w:rsidRDefault="007602C4" w:rsidP="00E40BEE">
            <w:pPr>
              <w:jc w:val="center"/>
              <w:rPr>
                <w:rFonts w:ascii="Times New Roman" w:hAnsi="Times New Roman" w:cs="Times New Roman"/>
                <w:sz w:val="20"/>
                <w:szCs w:val="20"/>
              </w:rPr>
            </w:pPr>
            <w:r w:rsidRPr="00522104">
              <w:rPr>
                <w:rFonts w:ascii="Times New Roman" w:hAnsi="Times New Roman" w:cs="Times New Roman"/>
                <w:sz w:val="20"/>
                <w:szCs w:val="20"/>
              </w:rPr>
              <w:t>8 редакция</w:t>
            </w:r>
          </w:p>
        </w:tc>
        <w:tc>
          <w:tcPr>
            <w:tcW w:w="850" w:type="dxa"/>
            <w:vMerge w:val="restart"/>
            <w:vAlign w:val="center"/>
          </w:tcPr>
          <w:p w14:paraId="7C57006E" w14:textId="77777777" w:rsidR="007602C4" w:rsidRPr="00522104" w:rsidRDefault="007602C4" w:rsidP="00E40BEE">
            <w:pPr>
              <w:jc w:val="center"/>
              <w:rPr>
                <w:rFonts w:ascii="Times New Roman" w:hAnsi="Times New Roman" w:cs="Times New Roman"/>
                <w:sz w:val="20"/>
                <w:szCs w:val="20"/>
              </w:rPr>
            </w:pPr>
            <w:r w:rsidRPr="00522104">
              <w:rPr>
                <w:rFonts w:ascii="Times New Roman" w:hAnsi="Times New Roman" w:cs="Times New Roman"/>
                <w:sz w:val="20"/>
                <w:szCs w:val="20"/>
              </w:rPr>
              <w:t>2022 год</w:t>
            </w:r>
          </w:p>
        </w:tc>
        <w:tc>
          <w:tcPr>
            <w:tcW w:w="992" w:type="dxa"/>
            <w:vMerge w:val="restart"/>
            <w:vAlign w:val="center"/>
          </w:tcPr>
          <w:p w14:paraId="30B86C0E" w14:textId="77777777" w:rsidR="007602C4" w:rsidRPr="00522104" w:rsidRDefault="007602C4" w:rsidP="00E40BEE">
            <w:pPr>
              <w:jc w:val="center"/>
              <w:rPr>
                <w:rFonts w:ascii="Times New Roman" w:hAnsi="Times New Roman" w:cs="Times New Roman"/>
                <w:sz w:val="20"/>
                <w:szCs w:val="20"/>
              </w:rPr>
            </w:pPr>
            <w:r w:rsidRPr="00522104">
              <w:rPr>
                <w:rFonts w:ascii="Times New Roman" w:hAnsi="Times New Roman" w:cs="Times New Roman"/>
                <w:sz w:val="20"/>
                <w:szCs w:val="20"/>
              </w:rPr>
              <w:t>2023 год</w:t>
            </w:r>
          </w:p>
        </w:tc>
        <w:tc>
          <w:tcPr>
            <w:tcW w:w="993" w:type="dxa"/>
            <w:vMerge w:val="restart"/>
            <w:vAlign w:val="center"/>
          </w:tcPr>
          <w:p w14:paraId="2E1624BC" w14:textId="77777777" w:rsidR="007602C4" w:rsidRPr="00522104" w:rsidRDefault="007602C4" w:rsidP="00E40BEE">
            <w:pPr>
              <w:jc w:val="center"/>
              <w:rPr>
                <w:rFonts w:ascii="Times New Roman" w:hAnsi="Times New Roman" w:cs="Times New Roman"/>
                <w:sz w:val="20"/>
                <w:szCs w:val="20"/>
              </w:rPr>
            </w:pPr>
            <w:r w:rsidRPr="00522104">
              <w:rPr>
                <w:rFonts w:ascii="Times New Roman" w:hAnsi="Times New Roman" w:cs="Times New Roman"/>
                <w:sz w:val="20"/>
                <w:szCs w:val="20"/>
              </w:rPr>
              <w:t>2024 год</w:t>
            </w:r>
          </w:p>
        </w:tc>
        <w:tc>
          <w:tcPr>
            <w:tcW w:w="851" w:type="dxa"/>
            <w:vMerge w:val="restart"/>
            <w:vAlign w:val="center"/>
          </w:tcPr>
          <w:p w14:paraId="5FA992C5" w14:textId="77777777" w:rsidR="00DC38E1" w:rsidRDefault="007602C4" w:rsidP="00E40BEE">
            <w:pPr>
              <w:ind w:left="-108" w:right="-108"/>
              <w:jc w:val="center"/>
              <w:rPr>
                <w:rFonts w:ascii="Times New Roman" w:hAnsi="Times New Roman" w:cs="Times New Roman"/>
                <w:sz w:val="20"/>
                <w:szCs w:val="20"/>
              </w:rPr>
            </w:pPr>
            <w:r w:rsidRPr="00522104">
              <w:rPr>
                <w:rFonts w:ascii="Times New Roman" w:hAnsi="Times New Roman" w:cs="Times New Roman"/>
                <w:sz w:val="20"/>
                <w:szCs w:val="20"/>
              </w:rPr>
              <w:t>2022/</w:t>
            </w:r>
          </w:p>
          <w:p w14:paraId="228C1D5C" w14:textId="07708548" w:rsidR="007602C4" w:rsidRPr="00522104" w:rsidRDefault="007602C4" w:rsidP="00E40BEE">
            <w:pPr>
              <w:ind w:left="-108" w:right="-108"/>
              <w:jc w:val="center"/>
              <w:rPr>
                <w:rFonts w:ascii="Times New Roman" w:hAnsi="Times New Roman" w:cs="Times New Roman"/>
                <w:sz w:val="20"/>
                <w:szCs w:val="20"/>
              </w:rPr>
            </w:pPr>
            <w:r w:rsidRPr="00522104">
              <w:rPr>
                <w:rFonts w:ascii="Times New Roman" w:hAnsi="Times New Roman" w:cs="Times New Roman"/>
                <w:sz w:val="20"/>
                <w:szCs w:val="20"/>
              </w:rPr>
              <w:t>2021</w:t>
            </w:r>
          </w:p>
        </w:tc>
        <w:tc>
          <w:tcPr>
            <w:tcW w:w="850" w:type="dxa"/>
            <w:vMerge w:val="restart"/>
            <w:vAlign w:val="center"/>
          </w:tcPr>
          <w:p w14:paraId="02B5DC59" w14:textId="77777777" w:rsidR="00DC38E1" w:rsidRDefault="007602C4" w:rsidP="00E40BEE">
            <w:pPr>
              <w:ind w:left="-108" w:right="-108"/>
              <w:jc w:val="center"/>
              <w:rPr>
                <w:rFonts w:ascii="Times New Roman" w:hAnsi="Times New Roman" w:cs="Times New Roman"/>
                <w:sz w:val="20"/>
                <w:szCs w:val="20"/>
              </w:rPr>
            </w:pPr>
            <w:r w:rsidRPr="00522104">
              <w:rPr>
                <w:rFonts w:ascii="Times New Roman" w:hAnsi="Times New Roman" w:cs="Times New Roman"/>
                <w:sz w:val="20"/>
                <w:szCs w:val="20"/>
              </w:rPr>
              <w:t>2022/</w:t>
            </w:r>
          </w:p>
          <w:p w14:paraId="744F1CD3" w14:textId="15D2F6DC" w:rsidR="007602C4" w:rsidRPr="00522104" w:rsidRDefault="007602C4" w:rsidP="00E40BEE">
            <w:pPr>
              <w:ind w:left="-108" w:right="-108"/>
              <w:jc w:val="center"/>
              <w:rPr>
                <w:rFonts w:ascii="Times New Roman" w:hAnsi="Times New Roman" w:cs="Times New Roman"/>
                <w:sz w:val="20"/>
                <w:szCs w:val="20"/>
              </w:rPr>
            </w:pPr>
            <w:r w:rsidRPr="00522104">
              <w:rPr>
                <w:rFonts w:ascii="Times New Roman" w:hAnsi="Times New Roman" w:cs="Times New Roman"/>
                <w:sz w:val="20"/>
                <w:szCs w:val="20"/>
              </w:rPr>
              <w:t>2022</w:t>
            </w:r>
          </w:p>
        </w:tc>
      </w:tr>
      <w:tr w:rsidR="007602C4" w:rsidRPr="00522104" w14:paraId="75D0D2D4" w14:textId="77777777" w:rsidTr="00DC38E1">
        <w:trPr>
          <w:tblHeader/>
        </w:trPr>
        <w:tc>
          <w:tcPr>
            <w:tcW w:w="2694" w:type="dxa"/>
            <w:vMerge/>
          </w:tcPr>
          <w:p w14:paraId="33FF8F01" w14:textId="77777777" w:rsidR="007602C4" w:rsidRPr="00522104" w:rsidRDefault="007602C4" w:rsidP="00E40BEE">
            <w:pPr>
              <w:rPr>
                <w:rFonts w:ascii="Times New Roman" w:hAnsi="Times New Roman" w:cs="Times New Roman"/>
                <w:sz w:val="20"/>
                <w:szCs w:val="20"/>
                <w:lang w:eastAsia="ru-RU"/>
              </w:rPr>
            </w:pPr>
          </w:p>
        </w:tc>
        <w:tc>
          <w:tcPr>
            <w:tcW w:w="958" w:type="dxa"/>
            <w:vMerge/>
          </w:tcPr>
          <w:p w14:paraId="6E1DE723" w14:textId="07BC3E8D" w:rsidR="007602C4" w:rsidRPr="00522104" w:rsidRDefault="007602C4" w:rsidP="00E40BEE">
            <w:pPr>
              <w:jc w:val="center"/>
              <w:rPr>
                <w:rFonts w:ascii="Times New Roman" w:hAnsi="Times New Roman" w:cs="Times New Roman"/>
                <w:sz w:val="20"/>
                <w:szCs w:val="20"/>
              </w:rPr>
            </w:pPr>
          </w:p>
        </w:tc>
        <w:tc>
          <w:tcPr>
            <w:tcW w:w="885" w:type="dxa"/>
            <w:vAlign w:val="center"/>
          </w:tcPr>
          <w:p w14:paraId="0C391863" w14:textId="77777777" w:rsidR="007602C4" w:rsidRPr="00522104" w:rsidRDefault="007602C4" w:rsidP="00E40BEE">
            <w:pPr>
              <w:jc w:val="center"/>
              <w:rPr>
                <w:rFonts w:ascii="Times New Roman" w:hAnsi="Times New Roman" w:cs="Times New Roman"/>
                <w:sz w:val="20"/>
                <w:szCs w:val="20"/>
              </w:rPr>
            </w:pPr>
            <w:r w:rsidRPr="00522104">
              <w:rPr>
                <w:rFonts w:ascii="Times New Roman" w:hAnsi="Times New Roman" w:cs="Times New Roman"/>
                <w:sz w:val="20"/>
                <w:szCs w:val="20"/>
              </w:rPr>
              <w:t>2021 год</w:t>
            </w:r>
          </w:p>
        </w:tc>
        <w:tc>
          <w:tcPr>
            <w:tcW w:w="851" w:type="dxa"/>
            <w:vAlign w:val="center"/>
          </w:tcPr>
          <w:p w14:paraId="05694C62" w14:textId="77777777" w:rsidR="007602C4" w:rsidRPr="00522104" w:rsidRDefault="007602C4" w:rsidP="00E40BEE">
            <w:pPr>
              <w:jc w:val="center"/>
              <w:rPr>
                <w:rFonts w:ascii="Times New Roman" w:hAnsi="Times New Roman" w:cs="Times New Roman"/>
                <w:sz w:val="20"/>
                <w:szCs w:val="20"/>
              </w:rPr>
            </w:pPr>
            <w:r w:rsidRPr="00522104">
              <w:rPr>
                <w:rFonts w:ascii="Times New Roman" w:hAnsi="Times New Roman" w:cs="Times New Roman"/>
                <w:sz w:val="20"/>
                <w:szCs w:val="20"/>
              </w:rPr>
              <w:t>2022 год</w:t>
            </w:r>
          </w:p>
        </w:tc>
        <w:tc>
          <w:tcPr>
            <w:tcW w:w="850" w:type="dxa"/>
            <w:vMerge/>
            <w:vAlign w:val="center"/>
          </w:tcPr>
          <w:p w14:paraId="33A40AD8" w14:textId="77777777" w:rsidR="007602C4" w:rsidRPr="00522104" w:rsidRDefault="007602C4" w:rsidP="00E40BEE">
            <w:pPr>
              <w:jc w:val="center"/>
              <w:rPr>
                <w:rFonts w:ascii="Times New Roman" w:hAnsi="Times New Roman" w:cs="Times New Roman"/>
                <w:sz w:val="20"/>
                <w:szCs w:val="20"/>
              </w:rPr>
            </w:pPr>
          </w:p>
        </w:tc>
        <w:tc>
          <w:tcPr>
            <w:tcW w:w="992" w:type="dxa"/>
            <w:vMerge/>
            <w:vAlign w:val="center"/>
          </w:tcPr>
          <w:p w14:paraId="3740BFA2" w14:textId="77777777" w:rsidR="007602C4" w:rsidRPr="00522104" w:rsidRDefault="007602C4" w:rsidP="00E40BEE">
            <w:pPr>
              <w:jc w:val="center"/>
              <w:rPr>
                <w:rFonts w:ascii="Times New Roman" w:hAnsi="Times New Roman" w:cs="Times New Roman"/>
                <w:sz w:val="20"/>
                <w:szCs w:val="20"/>
              </w:rPr>
            </w:pPr>
          </w:p>
        </w:tc>
        <w:tc>
          <w:tcPr>
            <w:tcW w:w="993" w:type="dxa"/>
            <w:vMerge/>
            <w:vAlign w:val="center"/>
          </w:tcPr>
          <w:p w14:paraId="4A048869" w14:textId="77777777" w:rsidR="007602C4" w:rsidRPr="00522104" w:rsidRDefault="007602C4" w:rsidP="00E40BEE">
            <w:pPr>
              <w:jc w:val="center"/>
              <w:rPr>
                <w:rFonts w:ascii="Times New Roman" w:hAnsi="Times New Roman" w:cs="Times New Roman"/>
                <w:sz w:val="20"/>
                <w:szCs w:val="20"/>
              </w:rPr>
            </w:pPr>
          </w:p>
        </w:tc>
        <w:tc>
          <w:tcPr>
            <w:tcW w:w="851" w:type="dxa"/>
            <w:vMerge/>
          </w:tcPr>
          <w:p w14:paraId="2AF206D4" w14:textId="77777777" w:rsidR="007602C4" w:rsidRPr="00522104" w:rsidRDefault="007602C4" w:rsidP="00E40BEE">
            <w:pPr>
              <w:jc w:val="center"/>
              <w:rPr>
                <w:rFonts w:ascii="Times New Roman" w:hAnsi="Times New Roman" w:cs="Times New Roman"/>
                <w:sz w:val="20"/>
                <w:szCs w:val="20"/>
              </w:rPr>
            </w:pPr>
          </w:p>
        </w:tc>
        <w:tc>
          <w:tcPr>
            <w:tcW w:w="850" w:type="dxa"/>
            <w:vMerge/>
          </w:tcPr>
          <w:p w14:paraId="21FCAEF6" w14:textId="77777777" w:rsidR="007602C4" w:rsidRPr="00522104" w:rsidRDefault="007602C4" w:rsidP="00E40BEE">
            <w:pPr>
              <w:jc w:val="center"/>
              <w:rPr>
                <w:rFonts w:ascii="Times New Roman" w:hAnsi="Times New Roman" w:cs="Times New Roman"/>
                <w:sz w:val="20"/>
                <w:szCs w:val="20"/>
              </w:rPr>
            </w:pPr>
          </w:p>
        </w:tc>
      </w:tr>
      <w:tr w:rsidR="00827437" w:rsidRPr="00522104" w14:paraId="7B41AE2F" w14:textId="77777777" w:rsidTr="00DC38E1">
        <w:trPr>
          <w:tblHeader/>
        </w:trPr>
        <w:tc>
          <w:tcPr>
            <w:tcW w:w="2694" w:type="dxa"/>
          </w:tcPr>
          <w:p w14:paraId="67350972" w14:textId="77777777" w:rsidR="00827437" w:rsidRPr="00522104" w:rsidRDefault="00827437" w:rsidP="00E40BEE">
            <w:pPr>
              <w:jc w:val="center"/>
              <w:rPr>
                <w:rFonts w:ascii="Times New Roman" w:hAnsi="Times New Roman" w:cs="Times New Roman"/>
                <w:sz w:val="20"/>
                <w:szCs w:val="20"/>
                <w:lang w:eastAsia="ru-RU"/>
              </w:rPr>
            </w:pPr>
            <w:r w:rsidRPr="00522104">
              <w:rPr>
                <w:rFonts w:ascii="Times New Roman" w:hAnsi="Times New Roman" w:cs="Times New Roman"/>
                <w:sz w:val="20"/>
                <w:szCs w:val="20"/>
                <w:lang w:eastAsia="ru-RU"/>
              </w:rPr>
              <w:t>1</w:t>
            </w:r>
          </w:p>
        </w:tc>
        <w:tc>
          <w:tcPr>
            <w:tcW w:w="958" w:type="dxa"/>
          </w:tcPr>
          <w:p w14:paraId="78B8531F"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2</w:t>
            </w:r>
          </w:p>
        </w:tc>
        <w:tc>
          <w:tcPr>
            <w:tcW w:w="885" w:type="dxa"/>
            <w:vAlign w:val="center"/>
          </w:tcPr>
          <w:p w14:paraId="5259BE01"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3</w:t>
            </w:r>
          </w:p>
        </w:tc>
        <w:tc>
          <w:tcPr>
            <w:tcW w:w="851" w:type="dxa"/>
            <w:vAlign w:val="center"/>
          </w:tcPr>
          <w:p w14:paraId="57DAFC03"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4</w:t>
            </w:r>
          </w:p>
        </w:tc>
        <w:tc>
          <w:tcPr>
            <w:tcW w:w="850" w:type="dxa"/>
            <w:vAlign w:val="center"/>
          </w:tcPr>
          <w:p w14:paraId="0702DC28"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5</w:t>
            </w:r>
          </w:p>
        </w:tc>
        <w:tc>
          <w:tcPr>
            <w:tcW w:w="992" w:type="dxa"/>
            <w:vAlign w:val="center"/>
          </w:tcPr>
          <w:p w14:paraId="13C48E93"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6</w:t>
            </w:r>
          </w:p>
        </w:tc>
        <w:tc>
          <w:tcPr>
            <w:tcW w:w="993" w:type="dxa"/>
            <w:vAlign w:val="center"/>
          </w:tcPr>
          <w:p w14:paraId="769E5F09"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7</w:t>
            </w:r>
          </w:p>
        </w:tc>
        <w:tc>
          <w:tcPr>
            <w:tcW w:w="851" w:type="dxa"/>
          </w:tcPr>
          <w:p w14:paraId="34B0E0F8"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8=5-4</w:t>
            </w:r>
          </w:p>
        </w:tc>
        <w:tc>
          <w:tcPr>
            <w:tcW w:w="850" w:type="dxa"/>
          </w:tcPr>
          <w:p w14:paraId="00B357F3" w14:textId="77777777" w:rsidR="00827437" w:rsidRPr="00522104" w:rsidRDefault="00827437" w:rsidP="00E40BEE">
            <w:pPr>
              <w:jc w:val="center"/>
              <w:rPr>
                <w:rFonts w:ascii="Times New Roman" w:hAnsi="Times New Roman" w:cs="Times New Roman"/>
                <w:sz w:val="20"/>
                <w:szCs w:val="20"/>
              </w:rPr>
            </w:pPr>
            <w:r w:rsidRPr="00522104">
              <w:rPr>
                <w:rFonts w:ascii="Times New Roman" w:hAnsi="Times New Roman" w:cs="Times New Roman"/>
                <w:sz w:val="20"/>
                <w:szCs w:val="20"/>
              </w:rPr>
              <w:t>9=7-6</w:t>
            </w:r>
          </w:p>
        </w:tc>
      </w:tr>
      <w:tr w:rsidR="00827437" w:rsidRPr="00522104" w14:paraId="78C13E79" w14:textId="77777777" w:rsidTr="00DC38E1">
        <w:tc>
          <w:tcPr>
            <w:tcW w:w="2694" w:type="dxa"/>
          </w:tcPr>
          <w:p w14:paraId="21C44806" w14:textId="77777777" w:rsidR="00827437" w:rsidRPr="00522104" w:rsidRDefault="00827437" w:rsidP="00E40BEE">
            <w:pPr>
              <w:rPr>
                <w:rFonts w:ascii="Times New Roman" w:hAnsi="Times New Roman" w:cs="Times New Roman"/>
                <w:b/>
                <w:sz w:val="20"/>
                <w:szCs w:val="20"/>
                <w:lang w:eastAsia="ru-RU"/>
              </w:rPr>
            </w:pPr>
            <w:r w:rsidRPr="00522104">
              <w:rPr>
                <w:rFonts w:ascii="Times New Roman" w:hAnsi="Times New Roman" w:cs="Times New Roman"/>
                <w:b/>
                <w:sz w:val="20"/>
                <w:szCs w:val="20"/>
                <w:lang w:eastAsia="ru-RU"/>
              </w:rPr>
              <w:t>ГП "Развитие транспортного комплекса Приморского края" на 2020 – 2027 годы</w:t>
            </w:r>
          </w:p>
        </w:tc>
        <w:tc>
          <w:tcPr>
            <w:tcW w:w="958" w:type="dxa"/>
            <w:vAlign w:val="bottom"/>
          </w:tcPr>
          <w:p w14:paraId="020BD272" w14:textId="77777777" w:rsidR="00827437" w:rsidRPr="00522104" w:rsidRDefault="00827437" w:rsidP="00E40BEE">
            <w:pPr>
              <w:jc w:val="right"/>
              <w:rPr>
                <w:rFonts w:ascii="Times New Roman" w:hAnsi="Times New Roman" w:cs="Times New Roman"/>
                <w:b/>
                <w:sz w:val="18"/>
                <w:szCs w:val="18"/>
              </w:rPr>
            </w:pPr>
            <w:r w:rsidRPr="00522104">
              <w:rPr>
                <w:rFonts w:ascii="Times New Roman" w:hAnsi="Times New Roman" w:cs="Times New Roman"/>
                <w:b/>
                <w:sz w:val="18"/>
                <w:szCs w:val="18"/>
              </w:rPr>
              <w:t>19 485,21</w:t>
            </w:r>
          </w:p>
        </w:tc>
        <w:tc>
          <w:tcPr>
            <w:tcW w:w="885" w:type="dxa"/>
            <w:vAlign w:val="bottom"/>
          </w:tcPr>
          <w:p w14:paraId="1A94FEBD" w14:textId="77777777" w:rsidR="00827437" w:rsidRPr="00522104" w:rsidRDefault="00827437" w:rsidP="00DC38E1">
            <w:pPr>
              <w:ind w:left="-73"/>
              <w:jc w:val="right"/>
              <w:rPr>
                <w:rFonts w:ascii="Times New Roman" w:hAnsi="Times New Roman" w:cs="Times New Roman"/>
                <w:b/>
                <w:sz w:val="18"/>
                <w:szCs w:val="18"/>
              </w:rPr>
            </w:pPr>
            <w:r w:rsidRPr="00522104">
              <w:rPr>
                <w:rFonts w:ascii="Times New Roman" w:hAnsi="Times New Roman" w:cs="Times New Roman"/>
                <w:b/>
                <w:sz w:val="18"/>
                <w:szCs w:val="18"/>
              </w:rPr>
              <w:t>23 108,56</w:t>
            </w:r>
          </w:p>
        </w:tc>
        <w:tc>
          <w:tcPr>
            <w:tcW w:w="851" w:type="dxa"/>
            <w:vAlign w:val="bottom"/>
          </w:tcPr>
          <w:p w14:paraId="60FD494A" w14:textId="77777777" w:rsidR="00827437" w:rsidRPr="00522104" w:rsidRDefault="00827437" w:rsidP="00DC38E1">
            <w:pPr>
              <w:ind w:left="-73" w:right="-108"/>
              <w:jc w:val="center"/>
              <w:rPr>
                <w:rFonts w:ascii="Times New Roman" w:hAnsi="Times New Roman" w:cs="Times New Roman"/>
                <w:b/>
                <w:sz w:val="18"/>
                <w:szCs w:val="18"/>
              </w:rPr>
            </w:pPr>
            <w:r w:rsidRPr="00522104">
              <w:rPr>
                <w:rFonts w:ascii="Times New Roman" w:hAnsi="Times New Roman" w:cs="Times New Roman"/>
                <w:b/>
                <w:sz w:val="18"/>
                <w:szCs w:val="18"/>
              </w:rPr>
              <w:t>13 867,22</w:t>
            </w:r>
          </w:p>
        </w:tc>
        <w:tc>
          <w:tcPr>
            <w:tcW w:w="850" w:type="dxa"/>
            <w:vAlign w:val="bottom"/>
          </w:tcPr>
          <w:p w14:paraId="6FF1884D" w14:textId="77777777" w:rsidR="00827437" w:rsidRPr="00522104" w:rsidRDefault="00827437" w:rsidP="00DC38E1">
            <w:pPr>
              <w:ind w:left="-73" w:right="-108"/>
              <w:jc w:val="center"/>
              <w:rPr>
                <w:rFonts w:ascii="Times New Roman" w:hAnsi="Times New Roman" w:cs="Times New Roman"/>
                <w:b/>
                <w:sz w:val="18"/>
                <w:szCs w:val="18"/>
              </w:rPr>
            </w:pPr>
            <w:r w:rsidRPr="00522104">
              <w:rPr>
                <w:rFonts w:ascii="Times New Roman" w:hAnsi="Times New Roman" w:cs="Times New Roman"/>
                <w:b/>
                <w:sz w:val="18"/>
                <w:szCs w:val="18"/>
              </w:rPr>
              <w:t>17 253,99</w:t>
            </w:r>
          </w:p>
        </w:tc>
        <w:tc>
          <w:tcPr>
            <w:tcW w:w="992" w:type="dxa"/>
            <w:vAlign w:val="bottom"/>
          </w:tcPr>
          <w:p w14:paraId="2006EBCF" w14:textId="77777777" w:rsidR="00827437" w:rsidRPr="00522104" w:rsidRDefault="00827437" w:rsidP="00DC38E1">
            <w:pPr>
              <w:ind w:left="-73" w:right="-108"/>
              <w:jc w:val="center"/>
              <w:rPr>
                <w:rFonts w:ascii="Times New Roman" w:hAnsi="Times New Roman" w:cs="Times New Roman"/>
                <w:b/>
                <w:sz w:val="18"/>
                <w:szCs w:val="18"/>
              </w:rPr>
            </w:pPr>
            <w:r w:rsidRPr="00522104">
              <w:rPr>
                <w:rFonts w:ascii="Times New Roman" w:hAnsi="Times New Roman" w:cs="Times New Roman"/>
                <w:b/>
                <w:sz w:val="18"/>
                <w:szCs w:val="18"/>
              </w:rPr>
              <w:t>14 850,72</w:t>
            </w:r>
          </w:p>
        </w:tc>
        <w:tc>
          <w:tcPr>
            <w:tcW w:w="993" w:type="dxa"/>
            <w:vAlign w:val="bottom"/>
          </w:tcPr>
          <w:p w14:paraId="44912529" w14:textId="77777777" w:rsidR="00827437" w:rsidRPr="00522104" w:rsidRDefault="00827437" w:rsidP="00DC38E1">
            <w:pPr>
              <w:ind w:left="-73" w:right="-108"/>
              <w:jc w:val="center"/>
              <w:rPr>
                <w:rFonts w:ascii="Times New Roman" w:hAnsi="Times New Roman" w:cs="Times New Roman"/>
                <w:b/>
                <w:sz w:val="18"/>
                <w:szCs w:val="18"/>
              </w:rPr>
            </w:pPr>
            <w:r w:rsidRPr="00522104">
              <w:rPr>
                <w:rFonts w:ascii="Times New Roman" w:hAnsi="Times New Roman" w:cs="Times New Roman"/>
                <w:b/>
                <w:sz w:val="18"/>
                <w:szCs w:val="18"/>
              </w:rPr>
              <w:t>14 826,59</w:t>
            </w:r>
          </w:p>
        </w:tc>
        <w:tc>
          <w:tcPr>
            <w:tcW w:w="851" w:type="dxa"/>
            <w:vAlign w:val="bottom"/>
          </w:tcPr>
          <w:p w14:paraId="0F4B823E" w14:textId="77777777" w:rsidR="00827437" w:rsidRPr="00522104" w:rsidRDefault="00827437" w:rsidP="00DC38E1">
            <w:pPr>
              <w:ind w:left="-73" w:right="-108"/>
              <w:jc w:val="center"/>
              <w:rPr>
                <w:rFonts w:ascii="Times New Roman" w:hAnsi="Times New Roman" w:cs="Times New Roman"/>
                <w:b/>
                <w:sz w:val="18"/>
                <w:szCs w:val="18"/>
              </w:rPr>
            </w:pPr>
            <w:r w:rsidRPr="00522104">
              <w:rPr>
                <w:rFonts w:ascii="Times New Roman" w:hAnsi="Times New Roman" w:cs="Times New Roman"/>
                <w:b/>
                <w:sz w:val="18"/>
                <w:szCs w:val="18"/>
              </w:rPr>
              <w:t>-5 854,57</w:t>
            </w:r>
          </w:p>
        </w:tc>
        <w:tc>
          <w:tcPr>
            <w:tcW w:w="850" w:type="dxa"/>
            <w:vAlign w:val="bottom"/>
          </w:tcPr>
          <w:p w14:paraId="5ED05106" w14:textId="77777777" w:rsidR="00827437" w:rsidRPr="00522104" w:rsidRDefault="00827437" w:rsidP="00DC38E1">
            <w:pPr>
              <w:ind w:left="-73" w:right="-108"/>
              <w:jc w:val="center"/>
              <w:rPr>
                <w:rFonts w:ascii="Times New Roman" w:hAnsi="Times New Roman" w:cs="Times New Roman"/>
                <w:b/>
                <w:sz w:val="18"/>
                <w:szCs w:val="18"/>
              </w:rPr>
            </w:pPr>
            <w:r w:rsidRPr="00522104">
              <w:rPr>
                <w:rFonts w:ascii="Times New Roman" w:hAnsi="Times New Roman" w:cs="Times New Roman"/>
                <w:b/>
                <w:sz w:val="18"/>
                <w:szCs w:val="18"/>
              </w:rPr>
              <w:t>+3 386,77</w:t>
            </w:r>
          </w:p>
        </w:tc>
      </w:tr>
      <w:tr w:rsidR="00827437" w:rsidRPr="00522104" w14:paraId="16AD9B0C" w14:textId="77777777" w:rsidTr="00DC38E1">
        <w:tc>
          <w:tcPr>
            <w:tcW w:w="2694" w:type="dxa"/>
          </w:tcPr>
          <w:p w14:paraId="2886AC5B" w14:textId="77777777" w:rsidR="00827437" w:rsidRPr="00074B2C" w:rsidRDefault="00827437" w:rsidP="00E40BEE">
            <w:pPr>
              <w:rPr>
                <w:rFonts w:ascii="Times New Roman" w:hAnsi="Times New Roman" w:cs="Times New Roman"/>
                <w:sz w:val="20"/>
                <w:szCs w:val="20"/>
                <w:lang w:eastAsia="ru-RU"/>
              </w:rPr>
            </w:pPr>
            <w:r w:rsidRPr="00074B2C">
              <w:rPr>
                <w:rFonts w:ascii="Times New Roman" w:hAnsi="Times New Roman" w:cs="Times New Roman"/>
                <w:sz w:val="20"/>
                <w:szCs w:val="20"/>
                <w:lang w:eastAsia="ru-RU"/>
              </w:rPr>
              <w:t>Подпрограмма "Развитие транспортного комплекса в Приморском крае"</w:t>
            </w:r>
          </w:p>
        </w:tc>
        <w:tc>
          <w:tcPr>
            <w:tcW w:w="958" w:type="dxa"/>
            <w:vAlign w:val="bottom"/>
          </w:tcPr>
          <w:p w14:paraId="518EF766" w14:textId="77777777" w:rsidR="00827437" w:rsidRPr="00074B2C" w:rsidRDefault="00827437" w:rsidP="00E40BEE">
            <w:pPr>
              <w:jc w:val="right"/>
              <w:rPr>
                <w:rFonts w:ascii="Times New Roman" w:hAnsi="Times New Roman" w:cs="Times New Roman"/>
                <w:sz w:val="20"/>
                <w:szCs w:val="20"/>
              </w:rPr>
            </w:pPr>
            <w:r w:rsidRPr="00074B2C">
              <w:rPr>
                <w:rFonts w:ascii="Times New Roman" w:hAnsi="Times New Roman" w:cs="Times New Roman"/>
                <w:sz w:val="20"/>
                <w:szCs w:val="20"/>
              </w:rPr>
              <w:t>1 032,74</w:t>
            </w:r>
          </w:p>
        </w:tc>
        <w:tc>
          <w:tcPr>
            <w:tcW w:w="885" w:type="dxa"/>
            <w:vAlign w:val="bottom"/>
          </w:tcPr>
          <w:p w14:paraId="74B5E3CF"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1 286,93</w:t>
            </w:r>
          </w:p>
        </w:tc>
        <w:tc>
          <w:tcPr>
            <w:tcW w:w="851" w:type="dxa"/>
            <w:vAlign w:val="bottom"/>
          </w:tcPr>
          <w:p w14:paraId="00F181A7"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1 182,59</w:t>
            </w:r>
          </w:p>
        </w:tc>
        <w:tc>
          <w:tcPr>
            <w:tcW w:w="850" w:type="dxa"/>
            <w:vAlign w:val="bottom"/>
          </w:tcPr>
          <w:p w14:paraId="4C07841D"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1 182,59</w:t>
            </w:r>
          </w:p>
        </w:tc>
        <w:tc>
          <w:tcPr>
            <w:tcW w:w="992" w:type="dxa"/>
            <w:vAlign w:val="bottom"/>
          </w:tcPr>
          <w:p w14:paraId="576418F6"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1 182,59</w:t>
            </w:r>
          </w:p>
        </w:tc>
        <w:tc>
          <w:tcPr>
            <w:tcW w:w="993" w:type="dxa"/>
            <w:vAlign w:val="bottom"/>
          </w:tcPr>
          <w:p w14:paraId="361E8529"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1 182,59</w:t>
            </w:r>
          </w:p>
        </w:tc>
        <w:tc>
          <w:tcPr>
            <w:tcW w:w="851" w:type="dxa"/>
            <w:vAlign w:val="bottom"/>
          </w:tcPr>
          <w:p w14:paraId="4BE75008"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-104,34</w:t>
            </w:r>
          </w:p>
        </w:tc>
        <w:tc>
          <w:tcPr>
            <w:tcW w:w="850" w:type="dxa"/>
            <w:vAlign w:val="bottom"/>
          </w:tcPr>
          <w:p w14:paraId="03F63075"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+0,00</w:t>
            </w:r>
          </w:p>
        </w:tc>
      </w:tr>
      <w:tr w:rsidR="00827437" w:rsidRPr="00522104" w14:paraId="72D18265" w14:textId="77777777" w:rsidTr="00DC38E1">
        <w:tc>
          <w:tcPr>
            <w:tcW w:w="2694" w:type="dxa"/>
          </w:tcPr>
          <w:p w14:paraId="1D21EB16" w14:textId="77777777" w:rsidR="00827437" w:rsidRPr="00074B2C" w:rsidRDefault="00827437" w:rsidP="00E40BEE">
            <w:pPr>
              <w:rPr>
                <w:rFonts w:ascii="Times New Roman" w:hAnsi="Times New Roman" w:cs="Times New Roman"/>
                <w:sz w:val="20"/>
                <w:szCs w:val="20"/>
                <w:lang w:eastAsia="ru-RU"/>
              </w:rPr>
            </w:pPr>
            <w:r w:rsidRPr="00074B2C">
              <w:rPr>
                <w:rFonts w:ascii="Times New Roman" w:hAnsi="Times New Roman" w:cs="Times New Roman"/>
                <w:sz w:val="20"/>
                <w:szCs w:val="20"/>
                <w:lang w:eastAsia="ru-RU"/>
              </w:rPr>
              <w:t>Подпрограмма "Развитие дорожной отрасли в Приморском крае"</w:t>
            </w:r>
          </w:p>
        </w:tc>
        <w:tc>
          <w:tcPr>
            <w:tcW w:w="958" w:type="dxa"/>
            <w:vAlign w:val="bottom"/>
          </w:tcPr>
          <w:p w14:paraId="394468A9" w14:textId="77777777" w:rsidR="00827437" w:rsidRPr="00074B2C" w:rsidRDefault="00827437" w:rsidP="00E40BEE">
            <w:pPr>
              <w:jc w:val="right"/>
              <w:rPr>
                <w:rFonts w:ascii="Times New Roman" w:hAnsi="Times New Roman" w:cs="Times New Roman"/>
                <w:sz w:val="18"/>
                <w:szCs w:val="18"/>
              </w:rPr>
            </w:pPr>
            <w:r w:rsidRPr="00074B2C">
              <w:rPr>
                <w:rFonts w:ascii="Times New Roman" w:hAnsi="Times New Roman" w:cs="Times New Roman"/>
                <w:sz w:val="18"/>
                <w:szCs w:val="18"/>
              </w:rPr>
              <w:t>17 307,80</w:t>
            </w:r>
          </w:p>
        </w:tc>
        <w:tc>
          <w:tcPr>
            <w:tcW w:w="885" w:type="dxa"/>
            <w:vAlign w:val="bottom"/>
          </w:tcPr>
          <w:p w14:paraId="106FE1AE" w14:textId="77777777" w:rsidR="00827437" w:rsidRPr="00074B2C" w:rsidRDefault="00827437" w:rsidP="00DC38E1">
            <w:pPr>
              <w:ind w:left="-73"/>
              <w:jc w:val="right"/>
              <w:rPr>
                <w:rFonts w:ascii="Times New Roman" w:hAnsi="Times New Roman" w:cs="Times New Roman"/>
                <w:sz w:val="18"/>
                <w:szCs w:val="18"/>
              </w:rPr>
            </w:pPr>
            <w:r w:rsidRPr="00074B2C">
              <w:rPr>
                <w:rFonts w:ascii="Times New Roman" w:hAnsi="Times New Roman" w:cs="Times New Roman"/>
                <w:sz w:val="18"/>
                <w:szCs w:val="18"/>
              </w:rPr>
              <w:t>20 658,74</w:t>
            </w:r>
          </w:p>
        </w:tc>
        <w:tc>
          <w:tcPr>
            <w:tcW w:w="851" w:type="dxa"/>
            <w:vAlign w:val="bottom"/>
          </w:tcPr>
          <w:p w14:paraId="2F319239" w14:textId="77777777" w:rsidR="00827437" w:rsidRPr="00074B2C" w:rsidRDefault="00827437" w:rsidP="00DC38E1">
            <w:pPr>
              <w:ind w:left="-73" w:right="-20"/>
              <w:jc w:val="right"/>
              <w:rPr>
                <w:rFonts w:ascii="Times New Roman" w:hAnsi="Times New Roman" w:cs="Times New Roman"/>
                <w:sz w:val="18"/>
                <w:szCs w:val="18"/>
              </w:rPr>
            </w:pPr>
            <w:r w:rsidRPr="00074B2C">
              <w:rPr>
                <w:rFonts w:ascii="Times New Roman" w:hAnsi="Times New Roman" w:cs="Times New Roman"/>
                <w:sz w:val="18"/>
                <w:szCs w:val="18"/>
              </w:rPr>
              <w:t>11 642,10</w:t>
            </w:r>
          </w:p>
        </w:tc>
        <w:tc>
          <w:tcPr>
            <w:tcW w:w="850" w:type="dxa"/>
            <w:vAlign w:val="bottom"/>
          </w:tcPr>
          <w:p w14:paraId="1BC36F86" w14:textId="77777777" w:rsidR="00827437" w:rsidRPr="00074B2C" w:rsidRDefault="00827437" w:rsidP="00DC38E1">
            <w:pPr>
              <w:ind w:left="-73" w:right="-108"/>
              <w:jc w:val="center"/>
              <w:rPr>
                <w:rFonts w:ascii="Times New Roman" w:hAnsi="Times New Roman" w:cs="Times New Roman"/>
                <w:sz w:val="18"/>
                <w:szCs w:val="18"/>
              </w:rPr>
            </w:pPr>
            <w:r w:rsidRPr="00074B2C">
              <w:rPr>
                <w:rFonts w:ascii="Times New Roman" w:hAnsi="Times New Roman" w:cs="Times New Roman"/>
                <w:sz w:val="18"/>
                <w:szCs w:val="18"/>
              </w:rPr>
              <w:t>14 750,92</w:t>
            </w:r>
          </w:p>
        </w:tc>
        <w:tc>
          <w:tcPr>
            <w:tcW w:w="992" w:type="dxa"/>
            <w:vAlign w:val="bottom"/>
          </w:tcPr>
          <w:p w14:paraId="339A20DA" w14:textId="77777777" w:rsidR="00827437" w:rsidRPr="00074B2C" w:rsidRDefault="00827437" w:rsidP="00DC38E1">
            <w:pPr>
              <w:ind w:left="-73" w:right="-108"/>
              <w:jc w:val="center"/>
              <w:rPr>
                <w:rFonts w:ascii="Times New Roman" w:hAnsi="Times New Roman" w:cs="Times New Roman"/>
                <w:sz w:val="18"/>
                <w:szCs w:val="18"/>
              </w:rPr>
            </w:pPr>
            <w:r w:rsidRPr="00074B2C">
              <w:rPr>
                <w:rFonts w:ascii="Times New Roman" w:hAnsi="Times New Roman" w:cs="Times New Roman"/>
                <w:sz w:val="18"/>
                <w:szCs w:val="18"/>
              </w:rPr>
              <w:t>12 613,26</w:t>
            </w:r>
          </w:p>
        </w:tc>
        <w:tc>
          <w:tcPr>
            <w:tcW w:w="993" w:type="dxa"/>
            <w:vAlign w:val="bottom"/>
          </w:tcPr>
          <w:p w14:paraId="3AEB1560" w14:textId="77777777" w:rsidR="00827437" w:rsidRPr="00074B2C" w:rsidRDefault="00827437" w:rsidP="00DC38E1">
            <w:pPr>
              <w:ind w:left="-73" w:right="-108"/>
              <w:jc w:val="center"/>
              <w:rPr>
                <w:rFonts w:ascii="Times New Roman" w:hAnsi="Times New Roman" w:cs="Times New Roman"/>
                <w:sz w:val="18"/>
                <w:szCs w:val="18"/>
              </w:rPr>
            </w:pPr>
            <w:r w:rsidRPr="00074B2C">
              <w:rPr>
                <w:rFonts w:ascii="Times New Roman" w:hAnsi="Times New Roman" w:cs="Times New Roman"/>
                <w:sz w:val="18"/>
                <w:szCs w:val="18"/>
              </w:rPr>
              <w:t>12 582,51</w:t>
            </w:r>
          </w:p>
        </w:tc>
        <w:tc>
          <w:tcPr>
            <w:tcW w:w="851" w:type="dxa"/>
            <w:vAlign w:val="bottom"/>
          </w:tcPr>
          <w:p w14:paraId="679FD6F8" w14:textId="77777777" w:rsidR="00827437" w:rsidRPr="00074B2C" w:rsidRDefault="00827437" w:rsidP="00DC38E1">
            <w:pPr>
              <w:ind w:left="-73" w:right="-108"/>
              <w:jc w:val="center"/>
              <w:rPr>
                <w:rFonts w:ascii="Times New Roman" w:hAnsi="Times New Roman" w:cs="Times New Roman"/>
                <w:sz w:val="18"/>
                <w:szCs w:val="18"/>
              </w:rPr>
            </w:pPr>
            <w:r w:rsidRPr="00074B2C">
              <w:rPr>
                <w:rFonts w:ascii="Times New Roman" w:hAnsi="Times New Roman" w:cs="Times New Roman"/>
                <w:sz w:val="18"/>
                <w:szCs w:val="18"/>
              </w:rPr>
              <w:t>-5 907,83</w:t>
            </w:r>
          </w:p>
        </w:tc>
        <w:tc>
          <w:tcPr>
            <w:tcW w:w="850" w:type="dxa"/>
            <w:vAlign w:val="bottom"/>
          </w:tcPr>
          <w:p w14:paraId="7A06D2CA" w14:textId="77777777" w:rsidR="00827437" w:rsidRPr="00074B2C" w:rsidRDefault="00827437" w:rsidP="00DC38E1">
            <w:pPr>
              <w:ind w:left="-73" w:right="-108"/>
              <w:jc w:val="center"/>
              <w:rPr>
                <w:rFonts w:ascii="Times New Roman" w:hAnsi="Times New Roman" w:cs="Times New Roman"/>
                <w:sz w:val="18"/>
                <w:szCs w:val="18"/>
              </w:rPr>
            </w:pPr>
            <w:r w:rsidRPr="00074B2C">
              <w:rPr>
                <w:rFonts w:ascii="Times New Roman" w:hAnsi="Times New Roman" w:cs="Times New Roman"/>
                <w:sz w:val="18"/>
                <w:szCs w:val="18"/>
              </w:rPr>
              <w:t>+3 108,82</w:t>
            </w:r>
          </w:p>
        </w:tc>
      </w:tr>
      <w:tr w:rsidR="00827437" w:rsidRPr="00522104" w14:paraId="4ED9DDBD" w14:textId="77777777" w:rsidTr="00DC38E1">
        <w:tc>
          <w:tcPr>
            <w:tcW w:w="2694" w:type="dxa"/>
          </w:tcPr>
          <w:p w14:paraId="6A8455FF" w14:textId="77777777" w:rsidR="00827437" w:rsidRPr="00522104" w:rsidRDefault="00827437" w:rsidP="00E40BEE">
            <w:pPr>
              <w:rPr>
                <w:rFonts w:ascii="Times New Roman" w:hAnsi="Times New Roman" w:cs="Times New Roman"/>
                <w:i/>
                <w:sz w:val="20"/>
                <w:szCs w:val="20"/>
                <w:lang w:eastAsia="ru-RU"/>
              </w:rPr>
            </w:pPr>
            <w:r w:rsidRPr="00522104">
              <w:rPr>
                <w:rFonts w:ascii="Times New Roman" w:hAnsi="Times New Roman" w:cs="Times New Roman"/>
                <w:i/>
                <w:sz w:val="20"/>
                <w:szCs w:val="20"/>
                <w:lang w:eastAsia="ru-RU"/>
              </w:rPr>
              <w:t>в том числе</w:t>
            </w:r>
          </w:p>
        </w:tc>
        <w:tc>
          <w:tcPr>
            <w:tcW w:w="958" w:type="dxa"/>
            <w:vAlign w:val="bottom"/>
          </w:tcPr>
          <w:p w14:paraId="71E41AD5" w14:textId="77777777" w:rsidR="00827437" w:rsidRPr="00522104" w:rsidRDefault="00827437" w:rsidP="00E40BEE">
            <w:pPr>
              <w:jc w:val="right"/>
              <w:rPr>
                <w:rFonts w:ascii="Times New Roman" w:hAnsi="Times New Roman" w:cs="Times New Roman"/>
                <w:sz w:val="20"/>
                <w:szCs w:val="20"/>
              </w:rPr>
            </w:pPr>
          </w:p>
        </w:tc>
        <w:tc>
          <w:tcPr>
            <w:tcW w:w="885" w:type="dxa"/>
            <w:vAlign w:val="bottom"/>
          </w:tcPr>
          <w:p w14:paraId="56E65F9A" w14:textId="77777777" w:rsidR="00827437" w:rsidRPr="00522104" w:rsidRDefault="00827437" w:rsidP="00DC38E1">
            <w:pPr>
              <w:ind w:left="-73"/>
              <w:jc w:val="right"/>
              <w:rPr>
                <w:rFonts w:ascii="Times New Roman" w:hAnsi="Times New Roman" w:cs="Times New Roman"/>
                <w:sz w:val="20"/>
                <w:szCs w:val="20"/>
              </w:rPr>
            </w:pPr>
          </w:p>
        </w:tc>
        <w:tc>
          <w:tcPr>
            <w:tcW w:w="851" w:type="dxa"/>
            <w:vAlign w:val="bottom"/>
          </w:tcPr>
          <w:p w14:paraId="5EEE8B75" w14:textId="77777777" w:rsidR="00827437" w:rsidRPr="00522104" w:rsidRDefault="00827437" w:rsidP="00DC38E1">
            <w:pPr>
              <w:ind w:left="-73"/>
              <w:jc w:val="right"/>
              <w:rPr>
                <w:rFonts w:ascii="Times New Roman" w:hAnsi="Times New Roman" w:cs="Times New Roman"/>
                <w:sz w:val="20"/>
                <w:szCs w:val="20"/>
              </w:rPr>
            </w:pPr>
          </w:p>
        </w:tc>
        <w:tc>
          <w:tcPr>
            <w:tcW w:w="850" w:type="dxa"/>
            <w:vAlign w:val="bottom"/>
          </w:tcPr>
          <w:p w14:paraId="0068F2A8" w14:textId="77777777" w:rsidR="00827437" w:rsidRPr="00522104" w:rsidRDefault="00827437" w:rsidP="00DC38E1">
            <w:pPr>
              <w:ind w:left="-73"/>
              <w:jc w:val="right"/>
              <w:rPr>
                <w:rFonts w:ascii="Times New Roman" w:hAnsi="Times New Roman" w:cs="Times New Roman"/>
                <w:sz w:val="20"/>
                <w:szCs w:val="20"/>
              </w:rPr>
            </w:pPr>
          </w:p>
        </w:tc>
        <w:tc>
          <w:tcPr>
            <w:tcW w:w="992" w:type="dxa"/>
            <w:vAlign w:val="bottom"/>
          </w:tcPr>
          <w:p w14:paraId="5531C0C4" w14:textId="77777777" w:rsidR="00827437" w:rsidRPr="00522104" w:rsidRDefault="00827437" w:rsidP="00DC38E1">
            <w:pPr>
              <w:ind w:left="-73"/>
              <w:jc w:val="right"/>
              <w:rPr>
                <w:rFonts w:ascii="Times New Roman" w:hAnsi="Times New Roman" w:cs="Times New Roman"/>
                <w:sz w:val="20"/>
                <w:szCs w:val="20"/>
              </w:rPr>
            </w:pPr>
          </w:p>
        </w:tc>
        <w:tc>
          <w:tcPr>
            <w:tcW w:w="993" w:type="dxa"/>
            <w:vAlign w:val="bottom"/>
          </w:tcPr>
          <w:p w14:paraId="70BCFFB6" w14:textId="77777777" w:rsidR="00827437" w:rsidRPr="00522104" w:rsidRDefault="00827437" w:rsidP="00DC38E1">
            <w:pPr>
              <w:ind w:left="-73"/>
              <w:jc w:val="right"/>
              <w:rPr>
                <w:rFonts w:ascii="Times New Roman" w:hAnsi="Times New Roman" w:cs="Times New Roman"/>
                <w:sz w:val="20"/>
                <w:szCs w:val="20"/>
              </w:rPr>
            </w:pPr>
          </w:p>
        </w:tc>
        <w:tc>
          <w:tcPr>
            <w:tcW w:w="851" w:type="dxa"/>
            <w:vAlign w:val="bottom"/>
          </w:tcPr>
          <w:p w14:paraId="1DAACF8C" w14:textId="77777777" w:rsidR="00827437" w:rsidRPr="00522104" w:rsidRDefault="00827437" w:rsidP="00DC38E1">
            <w:pPr>
              <w:ind w:left="-73"/>
              <w:jc w:val="right"/>
              <w:rPr>
                <w:rFonts w:ascii="Times New Roman" w:hAnsi="Times New Roman" w:cs="Times New Roman"/>
                <w:sz w:val="20"/>
                <w:szCs w:val="20"/>
              </w:rPr>
            </w:pPr>
          </w:p>
        </w:tc>
        <w:tc>
          <w:tcPr>
            <w:tcW w:w="850" w:type="dxa"/>
            <w:vAlign w:val="bottom"/>
          </w:tcPr>
          <w:p w14:paraId="3CE8ED06" w14:textId="77777777" w:rsidR="00827437" w:rsidRPr="00522104" w:rsidRDefault="00827437" w:rsidP="00DC38E1">
            <w:pPr>
              <w:ind w:left="-73"/>
              <w:jc w:val="right"/>
              <w:rPr>
                <w:rFonts w:ascii="Times New Roman" w:hAnsi="Times New Roman" w:cs="Times New Roman"/>
                <w:sz w:val="20"/>
                <w:szCs w:val="20"/>
              </w:rPr>
            </w:pPr>
          </w:p>
        </w:tc>
      </w:tr>
      <w:tr w:rsidR="00827437" w:rsidRPr="00522104" w14:paraId="27FD1A7F" w14:textId="77777777" w:rsidTr="00DC38E1">
        <w:tc>
          <w:tcPr>
            <w:tcW w:w="2694" w:type="dxa"/>
          </w:tcPr>
          <w:p w14:paraId="171C7E58" w14:textId="77777777" w:rsidR="00827437" w:rsidRPr="00522104" w:rsidRDefault="00827437" w:rsidP="00E40BEE">
            <w:pPr>
              <w:rPr>
                <w:rFonts w:ascii="Times New Roman" w:hAnsi="Times New Roman" w:cs="Times New Roman"/>
                <w:sz w:val="20"/>
                <w:szCs w:val="20"/>
                <w:lang w:eastAsia="ru-RU"/>
              </w:rPr>
            </w:pPr>
            <w:r w:rsidRPr="00522104">
              <w:rPr>
                <w:rFonts w:ascii="Times New Roman" w:hAnsi="Times New Roman" w:cs="Times New Roman"/>
                <w:i/>
                <w:sz w:val="20"/>
                <w:szCs w:val="20"/>
                <w:lang w:eastAsia="ru-RU"/>
              </w:rPr>
              <w:t>ФП "Дорожная сеть"</w:t>
            </w:r>
          </w:p>
        </w:tc>
        <w:tc>
          <w:tcPr>
            <w:tcW w:w="958" w:type="dxa"/>
            <w:vAlign w:val="bottom"/>
          </w:tcPr>
          <w:p w14:paraId="3B27B1E9" w14:textId="77777777" w:rsidR="00827437" w:rsidRPr="00522104" w:rsidRDefault="00827437" w:rsidP="00E40BEE">
            <w:pPr>
              <w:jc w:val="right"/>
              <w:rPr>
                <w:rFonts w:ascii="Times New Roman" w:hAnsi="Times New Roman" w:cs="Times New Roman"/>
                <w:i/>
                <w:sz w:val="20"/>
                <w:szCs w:val="20"/>
              </w:rPr>
            </w:pPr>
            <w:r w:rsidRPr="00522104">
              <w:rPr>
                <w:rFonts w:ascii="Times New Roman" w:hAnsi="Times New Roman" w:cs="Times New Roman"/>
                <w:i/>
                <w:sz w:val="20"/>
                <w:szCs w:val="20"/>
              </w:rPr>
              <w:t>1 633,16</w:t>
            </w:r>
          </w:p>
        </w:tc>
        <w:tc>
          <w:tcPr>
            <w:tcW w:w="885" w:type="dxa"/>
            <w:vAlign w:val="bottom"/>
          </w:tcPr>
          <w:p w14:paraId="7CE11D78"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2 284,60</w:t>
            </w:r>
          </w:p>
        </w:tc>
        <w:tc>
          <w:tcPr>
            <w:tcW w:w="851" w:type="dxa"/>
            <w:vAlign w:val="bottom"/>
          </w:tcPr>
          <w:p w14:paraId="63347F06"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2 274,08</w:t>
            </w:r>
          </w:p>
        </w:tc>
        <w:tc>
          <w:tcPr>
            <w:tcW w:w="850" w:type="dxa"/>
            <w:vAlign w:val="bottom"/>
          </w:tcPr>
          <w:p w14:paraId="6FFA01E3"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1 962,04</w:t>
            </w:r>
          </w:p>
        </w:tc>
        <w:tc>
          <w:tcPr>
            <w:tcW w:w="992" w:type="dxa"/>
            <w:vAlign w:val="bottom"/>
          </w:tcPr>
          <w:p w14:paraId="65275334"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2 728,62</w:t>
            </w:r>
          </w:p>
        </w:tc>
        <w:tc>
          <w:tcPr>
            <w:tcW w:w="993" w:type="dxa"/>
            <w:vAlign w:val="bottom"/>
          </w:tcPr>
          <w:p w14:paraId="30AFE7E7"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2 728,62</w:t>
            </w:r>
          </w:p>
        </w:tc>
        <w:tc>
          <w:tcPr>
            <w:tcW w:w="851" w:type="dxa"/>
            <w:vAlign w:val="bottom"/>
          </w:tcPr>
          <w:p w14:paraId="676065FA"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-322,56</w:t>
            </w:r>
          </w:p>
        </w:tc>
        <w:tc>
          <w:tcPr>
            <w:tcW w:w="850" w:type="dxa"/>
            <w:vAlign w:val="bottom"/>
          </w:tcPr>
          <w:p w14:paraId="78351896"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-312,04</w:t>
            </w:r>
          </w:p>
        </w:tc>
      </w:tr>
      <w:tr w:rsidR="00827437" w:rsidRPr="00522104" w14:paraId="7C82BEDB" w14:textId="77777777" w:rsidTr="00DC38E1">
        <w:tc>
          <w:tcPr>
            <w:tcW w:w="2694" w:type="dxa"/>
          </w:tcPr>
          <w:p w14:paraId="33EE321C" w14:textId="77777777" w:rsidR="00827437" w:rsidRPr="00522104" w:rsidRDefault="00827437" w:rsidP="00E40BEE">
            <w:pPr>
              <w:rPr>
                <w:rFonts w:ascii="Times New Roman" w:hAnsi="Times New Roman" w:cs="Times New Roman"/>
                <w:i/>
                <w:sz w:val="20"/>
                <w:szCs w:val="20"/>
                <w:lang w:eastAsia="ru-RU"/>
              </w:rPr>
            </w:pPr>
            <w:r w:rsidRPr="00522104">
              <w:rPr>
                <w:rFonts w:ascii="Times New Roman" w:hAnsi="Times New Roman" w:cs="Times New Roman"/>
                <w:i/>
                <w:sz w:val="20"/>
                <w:szCs w:val="20"/>
                <w:lang w:eastAsia="ru-RU"/>
              </w:rPr>
              <w:t>ФП "Общесистемные меры развития дорожного хозяйства"</w:t>
            </w:r>
          </w:p>
        </w:tc>
        <w:tc>
          <w:tcPr>
            <w:tcW w:w="958" w:type="dxa"/>
            <w:vAlign w:val="bottom"/>
          </w:tcPr>
          <w:p w14:paraId="540529F2" w14:textId="77777777" w:rsidR="00827437" w:rsidRPr="00522104" w:rsidRDefault="00827437" w:rsidP="00E40BEE">
            <w:pPr>
              <w:jc w:val="right"/>
              <w:rPr>
                <w:rFonts w:ascii="Times New Roman" w:hAnsi="Times New Roman" w:cs="Times New Roman"/>
                <w:i/>
                <w:sz w:val="20"/>
                <w:szCs w:val="20"/>
              </w:rPr>
            </w:pPr>
            <w:r w:rsidRPr="00522104">
              <w:rPr>
                <w:rFonts w:ascii="Times New Roman" w:hAnsi="Times New Roman" w:cs="Times New Roman"/>
                <w:i/>
                <w:sz w:val="20"/>
                <w:szCs w:val="20"/>
              </w:rPr>
              <w:t>0,00</w:t>
            </w:r>
          </w:p>
        </w:tc>
        <w:tc>
          <w:tcPr>
            <w:tcW w:w="885" w:type="dxa"/>
            <w:vAlign w:val="bottom"/>
          </w:tcPr>
          <w:p w14:paraId="65271795"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0,00</w:t>
            </w:r>
          </w:p>
        </w:tc>
        <w:tc>
          <w:tcPr>
            <w:tcW w:w="851" w:type="dxa"/>
            <w:vAlign w:val="bottom"/>
          </w:tcPr>
          <w:p w14:paraId="27C093D6"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120,00</w:t>
            </w:r>
          </w:p>
        </w:tc>
        <w:tc>
          <w:tcPr>
            <w:tcW w:w="850" w:type="dxa"/>
            <w:vAlign w:val="bottom"/>
          </w:tcPr>
          <w:p w14:paraId="21F43104"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120,00</w:t>
            </w:r>
          </w:p>
        </w:tc>
        <w:tc>
          <w:tcPr>
            <w:tcW w:w="992" w:type="dxa"/>
            <w:vAlign w:val="bottom"/>
          </w:tcPr>
          <w:p w14:paraId="300929BD"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120,00</w:t>
            </w:r>
          </w:p>
        </w:tc>
        <w:tc>
          <w:tcPr>
            <w:tcW w:w="993" w:type="dxa"/>
            <w:vAlign w:val="bottom"/>
          </w:tcPr>
          <w:p w14:paraId="6A9315D8"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0,00</w:t>
            </w:r>
          </w:p>
        </w:tc>
        <w:tc>
          <w:tcPr>
            <w:tcW w:w="851" w:type="dxa"/>
            <w:vAlign w:val="bottom"/>
          </w:tcPr>
          <w:p w14:paraId="27B9E5AC"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120,00</w:t>
            </w:r>
          </w:p>
        </w:tc>
        <w:tc>
          <w:tcPr>
            <w:tcW w:w="850" w:type="dxa"/>
            <w:vAlign w:val="bottom"/>
          </w:tcPr>
          <w:p w14:paraId="21ACC809" w14:textId="77777777" w:rsidR="00827437" w:rsidRPr="00522104" w:rsidRDefault="00827437" w:rsidP="00DC38E1">
            <w:pPr>
              <w:ind w:left="-73"/>
              <w:jc w:val="right"/>
              <w:rPr>
                <w:rFonts w:ascii="Times New Roman" w:hAnsi="Times New Roman" w:cs="Times New Roman"/>
                <w:i/>
                <w:sz w:val="20"/>
                <w:szCs w:val="20"/>
              </w:rPr>
            </w:pPr>
            <w:r w:rsidRPr="00522104">
              <w:rPr>
                <w:rFonts w:ascii="Times New Roman" w:hAnsi="Times New Roman" w:cs="Times New Roman"/>
                <w:i/>
                <w:sz w:val="20"/>
                <w:szCs w:val="20"/>
              </w:rPr>
              <w:t>-</w:t>
            </w:r>
          </w:p>
        </w:tc>
      </w:tr>
      <w:tr w:rsidR="00827437" w:rsidRPr="00522104" w14:paraId="1EA98FCE" w14:textId="77777777" w:rsidTr="00DC38E1">
        <w:tc>
          <w:tcPr>
            <w:tcW w:w="2694" w:type="dxa"/>
          </w:tcPr>
          <w:p w14:paraId="3EE0E39A" w14:textId="77777777" w:rsidR="00827437" w:rsidRPr="00074B2C" w:rsidRDefault="00827437" w:rsidP="00E40BEE">
            <w:pPr>
              <w:rPr>
                <w:rFonts w:ascii="Times New Roman" w:hAnsi="Times New Roman" w:cs="Times New Roman"/>
                <w:sz w:val="20"/>
                <w:szCs w:val="20"/>
                <w:lang w:eastAsia="ru-RU"/>
              </w:rPr>
            </w:pPr>
            <w:r w:rsidRPr="00074B2C">
              <w:rPr>
                <w:rFonts w:ascii="Times New Roman" w:hAnsi="Times New Roman" w:cs="Times New Roman"/>
                <w:sz w:val="20"/>
                <w:szCs w:val="20"/>
                <w:lang w:eastAsia="ru-RU"/>
              </w:rPr>
              <w:t>Подпрограмма "Информационно-навигационное обеспечение автомобильных маршрутов по транспортному коридору "Восток-Запад" в Приморском крае"</w:t>
            </w:r>
          </w:p>
        </w:tc>
        <w:tc>
          <w:tcPr>
            <w:tcW w:w="958" w:type="dxa"/>
            <w:vAlign w:val="bottom"/>
          </w:tcPr>
          <w:p w14:paraId="54885127" w14:textId="77777777" w:rsidR="00827437" w:rsidRPr="00074B2C" w:rsidRDefault="00827437" w:rsidP="00E40BEE">
            <w:pPr>
              <w:jc w:val="right"/>
              <w:rPr>
                <w:rFonts w:ascii="Times New Roman" w:hAnsi="Times New Roman" w:cs="Times New Roman"/>
                <w:sz w:val="20"/>
                <w:szCs w:val="20"/>
              </w:rPr>
            </w:pPr>
            <w:r w:rsidRPr="00074B2C">
              <w:rPr>
                <w:rFonts w:ascii="Times New Roman" w:hAnsi="Times New Roman" w:cs="Times New Roman"/>
                <w:sz w:val="20"/>
                <w:szCs w:val="20"/>
              </w:rPr>
              <w:t>0,00</w:t>
            </w:r>
          </w:p>
        </w:tc>
        <w:tc>
          <w:tcPr>
            <w:tcW w:w="885" w:type="dxa"/>
            <w:vAlign w:val="bottom"/>
          </w:tcPr>
          <w:p w14:paraId="0C9E2694"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0,00</w:t>
            </w:r>
          </w:p>
        </w:tc>
        <w:tc>
          <w:tcPr>
            <w:tcW w:w="851" w:type="dxa"/>
            <w:vAlign w:val="bottom"/>
          </w:tcPr>
          <w:p w14:paraId="2A3AB457"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0,00</w:t>
            </w:r>
          </w:p>
        </w:tc>
        <w:tc>
          <w:tcPr>
            <w:tcW w:w="850" w:type="dxa"/>
            <w:vAlign w:val="bottom"/>
          </w:tcPr>
          <w:p w14:paraId="29252667"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0,00</w:t>
            </w:r>
          </w:p>
        </w:tc>
        <w:tc>
          <w:tcPr>
            <w:tcW w:w="992" w:type="dxa"/>
            <w:vAlign w:val="bottom"/>
          </w:tcPr>
          <w:p w14:paraId="113F0B1F"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0,00</w:t>
            </w:r>
          </w:p>
        </w:tc>
        <w:tc>
          <w:tcPr>
            <w:tcW w:w="993" w:type="dxa"/>
            <w:vAlign w:val="bottom"/>
          </w:tcPr>
          <w:p w14:paraId="3A9A659A"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0,00</w:t>
            </w:r>
          </w:p>
        </w:tc>
        <w:tc>
          <w:tcPr>
            <w:tcW w:w="851" w:type="dxa"/>
            <w:vAlign w:val="bottom"/>
          </w:tcPr>
          <w:p w14:paraId="50388768" w14:textId="77777777" w:rsidR="00827437" w:rsidRPr="00074B2C" w:rsidRDefault="00827437" w:rsidP="00DC38E1">
            <w:pPr>
              <w:ind w:left="-73"/>
              <w:jc w:val="right"/>
              <w:rPr>
                <w:rFonts w:ascii="Times New Roman" w:hAnsi="Times New Roman" w:cs="Times New Roman"/>
                <w:sz w:val="20"/>
                <w:szCs w:val="20"/>
              </w:rPr>
            </w:pPr>
          </w:p>
        </w:tc>
        <w:tc>
          <w:tcPr>
            <w:tcW w:w="850" w:type="dxa"/>
            <w:vAlign w:val="bottom"/>
          </w:tcPr>
          <w:p w14:paraId="23AF7F0B" w14:textId="77777777" w:rsidR="00827437" w:rsidRPr="00522104" w:rsidRDefault="00827437" w:rsidP="00DC38E1">
            <w:pPr>
              <w:ind w:left="-73"/>
              <w:jc w:val="right"/>
              <w:rPr>
                <w:rFonts w:ascii="Times New Roman" w:hAnsi="Times New Roman" w:cs="Times New Roman"/>
                <w:b/>
                <w:sz w:val="20"/>
                <w:szCs w:val="20"/>
              </w:rPr>
            </w:pPr>
          </w:p>
        </w:tc>
      </w:tr>
      <w:tr w:rsidR="00827437" w:rsidRPr="00522104" w14:paraId="38206995" w14:textId="77777777" w:rsidTr="00DC38E1">
        <w:tc>
          <w:tcPr>
            <w:tcW w:w="2694" w:type="dxa"/>
          </w:tcPr>
          <w:p w14:paraId="69FE9E43" w14:textId="77777777" w:rsidR="00827437" w:rsidRPr="00074B2C" w:rsidRDefault="00827437" w:rsidP="00E40BEE">
            <w:pPr>
              <w:rPr>
                <w:rFonts w:ascii="Times New Roman" w:hAnsi="Times New Roman" w:cs="Times New Roman"/>
                <w:sz w:val="20"/>
                <w:szCs w:val="20"/>
                <w:lang w:eastAsia="ru-RU"/>
              </w:rPr>
            </w:pPr>
            <w:r w:rsidRPr="00074B2C">
              <w:rPr>
                <w:rFonts w:ascii="Times New Roman" w:hAnsi="Times New Roman" w:cs="Times New Roman"/>
                <w:sz w:val="20"/>
                <w:szCs w:val="20"/>
                <w:lang w:eastAsia="ru-RU"/>
              </w:rPr>
              <w:t>Подпрограмма "Управление в сфере реализации развития транспортного комплекса и дорожной отрасли в Приморском крае"</w:t>
            </w:r>
          </w:p>
        </w:tc>
        <w:tc>
          <w:tcPr>
            <w:tcW w:w="958" w:type="dxa"/>
            <w:vAlign w:val="bottom"/>
          </w:tcPr>
          <w:p w14:paraId="680A54AB" w14:textId="77777777" w:rsidR="00827437" w:rsidRPr="00074B2C" w:rsidRDefault="00827437" w:rsidP="00E40BEE">
            <w:pPr>
              <w:jc w:val="right"/>
              <w:rPr>
                <w:rFonts w:ascii="Times New Roman" w:hAnsi="Times New Roman" w:cs="Times New Roman"/>
                <w:sz w:val="20"/>
                <w:szCs w:val="20"/>
              </w:rPr>
            </w:pPr>
            <w:r w:rsidRPr="00074B2C">
              <w:rPr>
                <w:rFonts w:ascii="Times New Roman" w:hAnsi="Times New Roman" w:cs="Times New Roman"/>
                <w:sz w:val="20"/>
                <w:szCs w:val="20"/>
              </w:rPr>
              <w:t>1 144,67</w:t>
            </w:r>
          </w:p>
        </w:tc>
        <w:tc>
          <w:tcPr>
            <w:tcW w:w="885" w:type="dxa"/>
            <w:vAlign w:val="bottom"/>
          </w:tcPr>
          <w:p w14:paraId="6F5F0646"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1 162,89</w:t>
            </w:r>
          </w:p>
        </w:tc>
        <w:tc>
          <w:tcPr>
            <w:tcW w:w="851" w:type="dxa"/>
            <w:vAlign w:val="bottom"/>
          </w:tcPr>
          <w:p w14:paraId="2B80A9AF"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1 042,54</w:t>
            </w:r>
          </w:p>
        </w:tc>
        <w:tc>
          <w:tcPr>
            <w:tcW w:w="850" w:type="dxa"/>
            <w:vAlign w:val="bottom"/>
          </w:tcPr>
          <w:p w14:paraId="01FA7AF7"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1 320,49</w:t>
            </w:r>
          </w:p>
        </w:tc>
        <w:tc>
          <w:tcPr>
            <w:tcW w:w="992" w:type="dxa"/>
            <w:vAlign w:val="bottom"/>
          </w:tcPr>
          <w:p w14:paraId="014C07C9"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1 054,87</w:t>
            </w:r>
          </w:p>
        </w:tc>
        <w:tc>
          <w:tcPr>
            <w:tcW w:w="993" w:type="dxa"/>
            <w:vAlign w:val="bottom"/>
          </w:tcPr>
          <w:p w14:paraId="5CD36A62"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1 061,49</w:t>
            </w:r>
          </w:p>
        </w:tc>
        <w:tc>
          <w:tcPr>
            <w:tcW w:w="851" w:type="dxa"/>
            <w:vAlign w:val="bottom"/>
          </w:tcPr>
          <w:p w14:paraId="35A52390"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+157,60</w:t>
            </w:r>
          </w:p>
        </w:tc>
        <w:tc>
          <w:tcPr>
            <w:tcW w:w="850" w:type="dxa"/>
            <w:vAlign w:val="bottom"/>
          </w:tcPr>
          <w:p w14:paraId="1B521C9D" w14:textId="77777777" w:rsidR="00827437" w:rsidRPr="00074B2C" w:rsidRDefault="00827437" w:rsidP="00DC38E1">
            <w:pPr>
              <w:ind w:left="-73"/>
              <w:jc w:val="right"/>
              <w:rPr>
                <w:rFonts w:ascii="Times New Roman" w:hAnsi="Times New Roman" w:cs="Times New Roman"/>
                <w:sz w:val="20"/>
                <w:szCs w:val="20"/>
              </w:rPr>
            </w:pPr>
            <w:r w:rsidRPr="00074B2C">
              <w:rPr>
                <w:rFonts w:ascii="Times New Roman" w:hAnsi="Times New Roman" w:cs="Times New Roman"/>
                <w:sz w:val="20"/>
                <w:szCs w:val="20"/>
              </w:rPr>
              <w:t>+277,95</w:t>
            </w:r>
          </w:p>
        </w:tc>
      </w:tr>
    </w:tbl>
    <w:p w14:paraId="4E7F5BF5"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rPr>
      </w:pPr>
    </w:p>
    <w:p w14:paraId="06F7B64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ГП в рамках </w:t>
      </w:r>
      <w:r w:rsidRPr="00522104">
        <w:rPr>
          <w:rFonts w:ascii="Times New Roman" w:eastAsia="Times New Roman" w:hAnsi="Times New Roman" w:cs="Times New Roman"/>
          <w:sz w:val="28"/>
          <w:szCs w:val="28"/>
          <w:lang w:eastAsia="ru-RU"/>
        </w:rPr>
        <w:t xml:space="preserve">подпрограммы "Развитие дорожной отрасли в Приморском крае" </w:t>
      </w:r>
      <w:r w:rsidRPr="00522104">
        <w:rPr>
          <w:rFonts w:ascii="Times New Roman" w:hAnsi="Times New Roman" w:cs="Times New Roman"/>
          <w:sz w:val="28"/>
          <w:szCs w:val="28"/>
        </w:rPr>
        <w:t xml:space="preserve">предусмотрена реализация национального проекта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Безопасные и качественные автомобильные дороги</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 xml:space="preserve"> (далее – НП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БКАД</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 xml:space="preserve">) через федеральные проекты (ФП)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Дорожная сеть</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 xml:space="preserve"> и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Общесистемные меры развития дорожного хозяйства</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w:t>
      </w:r>
    </w:p>
    <w:p w14:paraId="68176C78"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Расходы на реализацию мероприятий </w:t>
      </w:r>
      <w:r w:rsidRPr="00522104">
        <w:rPr>
          <w:rFonts w:ascii="Times New Roman" w:hAnsi="Times New Roman" w:cs="Times New Roman"/>
          <w:i/>
          <w:sz w:val="28"/>
          <w:szCs w:val="28"/>
        </w:rPr>
        <w:t xml:space="preserve">ФП </w:t>
      </w:r>
      <w:r w:rsidRPr="00522104">
        <w:rPr>
          <w:rFonts w:ascii="Times New Roman" w:eastAsia="Times New Roman" w:hAnsi="Times New Roman" w:cs="Times New Roman"/>
          <w:i/>
          <w:sz w:val="28"/>
          <w:szCs w:val="28"/>
        </w:rPr>
        <w:t>"</w:t>
      </w:r>
      <w:r w:rsidRPr="00522104">
        <w:rPr>
          <w:rFonts w:ascii="Times New Roman" w:hAnsi="Times New Roman" w:cs="Times New Roman"/>
          <w:i/>
          <w:sz w:val="28"/>
          <w:szCs w:val="28"/>
        </w:rPr>
        <w:t>Дорожная сеть</w:t>
      </w:r>
      <w:r w:rsidRPr="00522104">
        <w:rPr>
          <w:rFonts w:ascii="Times New Roman" w:eastAsia="Times New Roman" w:hAnsi="Times New Roman" w:cs="Times New Roman"/>
          <w:i/>
          <w:sz w:val="28"/>
          <w:szCs w:val="28"/>
        </w:rPr>
        <w:t>"</w:t>
      </w:r>
      <w:r w:rsidRPr="00522104">
        <w:rPr>
          <w:rFonts w:ascii="Times New Roman" w:eastAsia="Times New Roman" w:hAnsi="Times New Roman" w:cs="Times New Roman"/>
          <w:sz w:val="28"/>
          <w:szCs w:val="28"/>
        </w:rPr>
        <w:t xml:space="preserve"> в 2022 году предусмотрены законопроектом в объеме 1 962,04 млн рублей, что ниже утвержденных назначений: на 2022 год – на 312,04 млн рублей, или на 13,7 % (2274,08 млн рублей), на 2021 год на 322,56 млн рублей, или на 14,1 % (2 284,60 млн рублей). </w:t>
      </w:r>
      <w:r w:rsidRPr="00522104">
        <w:rPr>
          <w:rFonts w:ascii="Times New Roman" w:hAnsi="Times New Roman" w:cs="Times New Roman"/>
          <w:sz w:val="28"/>
          <w:szCs w:val="28"/>
        </w:rPr>
        <w:t>На 2023 – 2024 годы расходы запланированы по 2 728,62 млн рублей ежегодно.</w:t>
      </w:r>
    </w:p>
    <w:p w14:paraId="65A932C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На реализацию мероприятий </w:t>
      </w:r>
      <w:r w:rsidRPr="00522104">
        <w:rPr>
          <w:rFonts w:ascii="Times New Roman" w:hAnsi="Times New Roman" w:cs="Times New Roman"/>
          <w:i/>
          <w:sz w:val="28"/>
          <w:szCs w:val="28"/>
        </w:rPr>
        <w:t xml:space="preserve">ФП </w:t>
      </w:r>
      <w:r w:rsidRPr="00522104">
        <w:rPr>
          <w:rFonts w:ascii="Times New Roman" w:eastAsia="Times New Roman" w:hAnsi="Times New Roman" w:cs="Times New Roman"/>
          <w:i/>
          <w:sz w:val="28"/>
          <w:szCs w:val="28"/>
        </w:rPr>
        <w:t>"</w:t>
      </w:r>
      <w:r w:rsidRPr="00522104">
        <w:rPr>
          <w:rFonts w:ascii="Times New Roman" w:hAnsi="Times New Roman" w:cs="Times New Roman"/>
          <w:i/>
          <w:sz w:val="28"/>
          <w:szCs w:val="28"/>
        </w:rPr>
        <w:t>Общесистемные меры развития дорожного хозяйства</w:t>
      </w:r>
      <w:r w:rsidRPr="00522104">
        <w:rPr>
          <w:rFonts w:ascii="Times New Roman" w:eastAsia="Times New Roman" w:hAnsi="Times New Roman" w:cs="Times New Roman"/>
          <w:i/>
          <w:sz w:val="28"/>
          <w:szCs w:val="28"/>
        </w:rPr>
        <w:t xml:space="preserve">" </w:t>
      </w:r>
      <w:r w:rsidRPr="00522104">
        <w:rPr>
          <w:rFonts w:ascii="Times New Roman" w:eastAsia="Times New Roman" w:hAnsi="Times New Roman" w:cs="Times New Roman"/>
          <w:sz w:val="28"/>
          <w:szCs w:val="28"/>
        </w:rPr>
        <w:t xml:space="preserve">в 2022 году законопроектом предусмотрены бюджетные ассигнования в сумме 120,00 млн рублей, что соответствует утвержденным назначениям, на 2021 год расходы не планировались. </w:t>
      </w:r>
      <w:r w:rsidRPr="00522104">
        <w:rPr>
          <w:rFonts w:ascii="Times New Roman" w:hAnsi="Times New Roman" w:cs="Times New Roman"/>
          <w:sz w:val="28"/>
          <w:szCs w:val="28"/>
        </w:rPr>
        <w:t xml:space="preserve">На 2023 год – </w:t>
      </w:r>
      <w:r w:rsidRPr="00522104">
        <w:rPr>
          <w:rFonts w:ascii="Times New Roman" w:eastAsia="Times New Roman" w:hAnsi="Times New Roman" w:cs="Times New Roman"/>
          <w:sz w:val="28"/>
          <w:szCs w:val="28"/>
        </w:rPr>
        <w:t>120,00 млн рублей. На 2024 год расходы не запланированы.</w:t>
      </w:r>
    </w:p>
    <w:p w14:paraId="270DC773"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Одной из целей ФП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Дорожная сеть</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 xml:space="preserve"> является реализация программ дорожной деятельности (региональных проектов) в отношении автомобильных дорог общего пользования, объектов улично-дорожной сети в целях доведения в 2024 году во Владивостокской агломерации доли автомобильных дорог, находящихся в нормативном состоянии, в их общей протяженности до 85 %, что соответствует целевому показателю, характеризующему достижение национальной цели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комфортная и безопасная среда для жизни</w:t>
      </w:r>
      <w:r w:rsidRPr="00522104">
        <w:rPr>
          <w:rFonts w:ascii="Times New Roman" w:eastAsia="Times New Roman" w:hAnsi="Times New Roman" w:cs="Times New Roman"/>
          <w:sz w:val="28"/>
          <w:szCs w:val="28"/>
        </w:rPr>
        <w:t>"</w:t>
      </w:r>
      <w:r w:rsidRPr="00522104">
        <w:rPr>
          <w:rFonts w:ascii="Times New Roman" w:hAnsi="Times New Roman" w:cs="Times New Roman"/>
          <w:i/>
          <w:sz w:val="28"/>
          <w:szCs w:val="28"/>
        </w:rPr>
        <w:t xml:space="preserve">, </w:t>
      </w:r>
      <w:r w:rsidRPr="00522104">
        <w:rPr>
          <w:rFonts w:ascii="Times New Roman" w:hAnsi="Times New Roman" w:cs="Times New Roman"/>
          <w:sz w:val="28"/>
          <w:szCs w:val="28"/>
        </w:rPr>
        <w:t xml:space="preserve">установленному Указом Президента Российской Федерации от 21.07.2020 № 474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О национальных целях развития Российской Федерации на период до 2030 года</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w:t>
      </w:r>
    </w:p>
    <w:p w14:paraId="56A9415F"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Однако проектом паспорта ГП не предусмотрен показатель, характеризующий достижение указанной национальной цели.</w:t>
      </w:r>
    </w:p>
    <w:p w14:paraId="363DB50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Контрольным мероприятием</w:t>
      </w:r>
      <w:r w:rsidRPr="00522104">
        <w:rPr>
          <w:rFonts w:ascii="Times New Roman" w:hAnsi="Times New Roman" w:cs="Times New Roman"/>
          <w:sz w:val="28"/>
          <w:szCs w:val="28"/>
          <w:vertAlign w:val="superscript"/>
        </w:rPr>
        <w:footnoteReference w:id="42"/>
      </w:r>
      <w:r w:rsidRPr="00522104">
        <w:rPr>
          <w:rFonts w:ascii="Times New Roman" w:hAnsi="Times New Roman" w:cs="Times New Roman"/>
          <w:sz w:val="28"/>
          <w:szCs w:val="28"/>
        </w:rPr>
        <w:t>, проведенным в 2021 году Контрольно-счетной палатой Приморского края совместно с тремя контрольно-счетными органами муниципальных образований Приморского края</w:t>
      </w:r>
      <w:r w:rsidRPr="00522104">
        <w:rPr>
          <w:rFonts w:ascii="Times New Roman" w:hAnsi="Times New Roman" w:cs="Times New Roman"/>
          <w:sz w:val="28"/>
          <w:szCs w:val="28"/>
          <w:vertAlign w:val="superscript"/>
        </w:rPr>
        <w:footnoteReference w:id="43"/>
      </w:r>
      <w:r w:rsidRPr="00522104">
        <w:rPr>
          <w:rFonts w:ascii="Times New Roman" w:hAnsi="Times New Roman" w:cs="Times New Roman"/>
          <w:sz w:val="28"/>
          <w:szCs w:val="28"/>
        </w:rPr>
        <w:t>, установлено, что на 31.12.2018 из 1428,7 км автомобильных дорог, входящих во Владивостокскую агломерацию</w:t>
      </w:r>
      <w:r w:rsidRPr="00522104">
        <w:rPr>
          <w:rFonts w:ascii="Times New Roman" w:hAnsi="Times New Roman" w:cs="Times New Roman"/>
          <w:sz w:val="28"/>
          <w:szCs w:val="28"/>
          <w:vertAlign w:val="superscript"/>
        </w:rPr>
        <w:footnoteReference w:id="44"/>
      </w:r>
      <w:r w:rsidRPr="00522104">
        <w:rPr>
          <w:rFonts w:ascii="Times New Roman" w:hAnsi="Times New Roman" w:cs="Times New Roman"/>
          <w:sz w:val="28"/>
          <w:szCs w:val="28"/>
        </w:rPr>
        <w:t xml:space="preserve">, по состоянию 45,10 км федеральных дорог     100 % находятся в нормативном состоянии, из 590,85 км автомобильных дорог регионального и межмуниципального значения в нормативном состоянии находятся 193,81 км дорог, или 32,8 %, из 792,80 км автомобильных дорог (улиц) местного значения в нормативном состоянии находятся 370,46 км, или 46,7 %. За два года реализации НП </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БКАД</w:t>
      </w:r>
      <w:r w:rsidRPr="00522104">
        <w:rPr>
          <w:rFonts w:ascii="Times New Roman" w:eastAsia="Times New Roman" w:hAnsi="Times New Roman" w:cs="Times New Roman"/>
          <w:sz w:val="28"/>
          <w:szCs w:val="28"/>
        </w:rPr>
        <w:t>"</w:t>
      </w:r>
      <w:r w:rsidRPr="00522104">
        <w:rPr>
          <w:rFonts w:ascii="Times New Roman" w:hAnsi="Times New Roman" w:cs="Times New Roman"/>
          <w:sz w:val="28"/>
          <w:szCs w:val="28"/>
        </w:rPr>
        <w:t xml:space="preserve"> (2019 – 2020) отремонтировано 101,36 км автомобильных дорог местного значения (улиц). </w:t>
      </w:r>
    </w:p>
    <w:p w14:paraId="7855928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"Развитие транспортного комплекса в Приморском крае"</w:t>
      </w:r>
      <w:r w:rsidRPr="00522104">
        <w:rPr>
          <w:rFonts w:ascii="Times New Roman" w:hAnsi="Times New Roman" w:cs="Times New Roman"/>
          <w:sz w:val="28"/>
          <w:szCs w:val="28"/>
        </w:rPr>
        <w:t xml:space="preserve"> законопроектом на 2022 год расходы запланированы в общей сумме 1182,59 млн рублей, что соответствует уровню утвержденного законом № 969-КЗ на 2022 год, но меньше на 104,34 млн рублей уровня 2021 года (1286,93 млн рублей). На 2023 – 2024 годы предусмотрено по 1182,59 млн рублей ежегодно.</w:t>
      </w:r>
    </w:p>
    <w:p w14:paraId="05E2EA23"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Законопроектом на 2022 год по подпрограмме запланированы расходы по следующим направлениям:</w:t>
      </w:r>
    </w:p>
    <w:p w14:paraId="6D3CF0E4"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i/>
          <w:sz w:val="28"/>
          <w:szCs w:val="28"/>
        </w:rPr>
      </w:pPr>
      <w:r w:rsidRPr="00522104">
        <w:rPr>
          <w:rFonts w:ascii="Times New Roman" w:hAnsi="Times New Roman" w:cs="Times New Roman"/>
          <w:sz w:val="28"/>
          <w:szCs w:val="28"/>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 (АО "Экспресс Приморья") – 482,50</w:t>
      </w:r>
      <w:r w:rsidRPr="00522104">
        <w:rPr>
          <w:rFonts w:ascii="Times New Roman" w:hAnsi="Times New Roman" w:cs="Times New Roman"/>
          <w:sz w:val="28"/>
          <w:szCs w:val="28"/>
          <w:lang w:eastAsia="x-none"/>
        </w:rPr>
        <w:t xml:space="preserve"> млн рублей (в 2021 году – 486,11 млн рублей). </w:t>
      </w:r>
      <w:r w:rsidRPr="00522104">
        <w:rPr>
          <w:rFonts w:ascii="Times New Roman" w:hAnsi="Times New Roman" w:cs="Times New Roman"/>
          <w:i/>
          <w:sz w:val="28"/>
          <w:szCs w:val="28"/>
        </w:rPr>
        <w:t>Справочно: за 9 месяцев 2021 года расходы исполнены в сумме 384,41 млн рублей, или на 79,1 %;</w:t>
      </w:r>
    </w:p>
    <w:p w14:paraId="55F25329"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lang w:eastAsia="x-none"/>
        </w:rPr>
      </w:pPr>
      <w:r w:rsidRPr="00522104">
        <w:rPr>
          <w:rFonts w:ascii="Times New Roman" w:hAnsi="Times New Roman" w:cs="Times New Roman"/>
          <w:sz w:val="28"/>
          <w:szCs w:val="28"/>
          <w:lang w:eastAsia="x-none"/>
        </w:rPr>
        <w:t xml:space="preserve">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 (АО </w:t>
      </w:r>
      <w:r w:rsidRPr="00522104">
        <w:rPr>
          <w:rFonts w:ascii="Times New Roman" w:hAnsi="Times New Roman" w:cs="Times New Roman"/>
          <w:sz w:val="28"/>
          <w:szCs w:val="28"/>
        </w:rPr>
        <w:t>"</w:t>
      </w:r>
      <w:r w:rsidRPr="00522104">
        <w:rPr>
          <w:rFonts w:ascii="Times New Roman" w:hAnsi="Times New Roman" w:cs="Times New Roman"/>
          <w:sz w:val="28"/>
          <w:szCs w:val="28"/>
          <w:lang w:eastAsia="x-none"/>
        </w:rPr>
        <w:t xml:space="preserve">Авиакомпания </w:t>
      </w:r>
      <w:r w:rsidRPr="00522104">
        <w:rPr>
          <w:rFonts w:ascii="Times New Roman" w:hAnsi="Times New Roman" w:cs="Times New Roman"/>
          <w:sz w:val="28"/>
          <w:szCs w:val="28"/>
        </w:rPr>
        <w:t>"</w:t>
      </w:r>
      <w:r w:rsidRPr="00522104">
        <w:rPr>
          <w:rFonts w:ascii="Times New Roman" w:hAnsi="Times New Roman" w:cs="Times New Roman"/>
          <w:sz w:val="28"/>
          <w:szCs w:val="28"/>
          <w:lang w:eastAsia="x-none"/>
        </w:rPr>
        <w:t>Аврора</w:t>
      </w:r>
      <w:r w:rsidRPr="00522104">
        <w:rPr>
          <w:rFonts w:ascii="Times New Roman" w:hAnsi="Times New Roman" w:cs="Times New Roman"/>
          <w:sz w:val="28"/>
          <w:szCs w:val="28"/>
        </w:rPr>
        <w:t>"</w:t>
      </w:r>
      <w:r w:rsidRPr="00522104">
        <w:rPr>
          <w:rFonts w:ascii="Times New Roman" w:hAnsi="Times New Roman" w:cs="Times New Roman"/>
          <w:sz w:val="28"/>
          <w:szCs w:val="28"/>
          <w:lang w:eastAsia="x-none"/>
        </w:rPr>
        <w:t xml:space="preserve">, ООО </w:t>
      </w:r>
      <w:r w:rsidRPr="00522104">
        <w:rPr>
          <w:rFonts w:ascii="Times New Roman" w:hAnsi="Times New Roman" w:cs="Times New Roman"/>
          <w:sz w:val="28"/>
          <w:szCs w:val="28"/>
        </w:rPr>
        <w:t>"</w:t>
      </w:r>
      <w:r w:rsidRPr="00522104">
        <w:rPr>
          <w:rFonts w:ascii="Times New Roman" w:hAnsi="Times New Roman" w:cs="Times New Roman"/>
          <w:sz w:val="28"/>
          <w:szCs w:val="28"/>
          <w:lang w:eastAsia="x-none"/>
        </w:rPr>
        <w:t>ГРАНАТ</w:t>
      </w:r>
      <w:r w:rsidRPr="00522104">
        <w:rPr>
          <w:rFonts w:ascii="Times New Roman" w:hAnsi="Times New Roman" w:cs="Times New Roman"/>
          <w:sz w:val="28"/>
          <w:szCs w:val="28"/>
        </w:rPr>
        <w:t>"</w:t>
      </w:r>
      <w:r w:rsidRPr="00522104">
        <w:rPr>
          <w:rFonts w:ascii="Times New Roman" w:hAnsi="Times New Roman" w:cs="Times New Roman"/>
          <w:sz w:val="28"/>
          <w:szCs w:val="28"/>
          <w:lang w:eastAsia="x-none"/>
        </w:rPr>
        <w:t xml:space="preserve">) – 220,51 млн рублей (в 2021 году – 192,04 млн рублей). </w:t>
      </w:r>
      <w:r w:rsidRPr="00522104">
        <w:rPr>
          <w:rFonts w:ascii="Times New Roman" w:hAnsi="Times New Roman" w:cs="Times New Roman"/>
          <w:i/>
          <w:sz w:val="28"/>
          <w:szCs w:val="28"/>
        </w:rPr>
        <w:t>Справочно: за 9 месяцев 2021 года расходы исполнены в сумме 138,68 млн рублей, или на 72,2 %;</w:t>
      </w:r>
    </w:p>
    <w:p w14:paraId="4C6D414F"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i/>
          <w:sz w:val="28"/>
          <w:szCs w:val="28"/>
        </w:rPr>
      </w:pPr>
      <w:r w:rsidRPr="00522104">
        <w:rPr>
          <w:rFonts w:ascii="Times New Roman" w:hAnsi="Times New Roman" w:cs="Times New Roman"/>
          <w:sz w:val="28"/>
          <w:szCs w:val="28"/>
          <w:lang w:eastAsia="x-none"/>
        </w:rPr>
        <w:t xml:space="preserve">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 (КГУАП </w:t>
      </w:r>
      <w:r w:rsidRPr="00522104">
        <w:rPr>
          <w:rFonts w:ascii="Times New Roman" w:hAnsi="Times New Roman" w:cs="Times New Roman"/>
          <w:sz w:val="28"/>
          <w:szCs w:val="28"/>
        </w:rPr>
        <w:t>"Пластун Авиа"</w:t>
      </w:r>
      <w:r w:rsidRPr="00522104">
        <w:rPr>
          <w:rFonts w:ascii="Times New Roman" w:hAnsi="Times New Roman" w:cs="Times New Roman"/>
          <w:sz w:val="28"/>
          <w:szCs w:val="28"/>
          <w:lang w:eastAsia="x-none"/>
        </w:rPr>
        <w:t xml:space="preserve">) – 479,58 млн рублей (в 2021 году – 584,00 млн рублей). </w:t>
      </w:r>
      <w:r w:rsidRPr="00522104">
        <w:rPr>
          <w:rFonts w:ascii="Times New Roman" w:hAnsi="Times New Roman" w:cs="Times New Roman"/>
          <w:i/>
          <w:sz w:val="28"/>
          <w:szCs w:val="28"/>
        </w:rPr>
        <w:t>Справочно: за 9 месяцев 2021 года расходы исполнены в сумме 389,90 млн рублей, или на 66,8 %.</w:t>
      </w:r>
    </w:p>
    <w:p w14:paraId="166F3F61"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"Управление в сфере реализации развития транспортного комплекса и дорожной отрасли в Приморском крае"</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на 2022 год запланированы расходы сумме 1 320,49 млн рублей, что на 277,95 млн рублей, или на 26,7 % больше утвержденных назначений (1042,54 млн рублей) и больше на 157,60 млн рублей уровня 2021 года (1162,89 млн рублей). На 2023 год предусмотрено 1 054,87 млн рублей, на 2024 год – 1 061,49 млн рублей.</w:t>
      </w:r>
    </w:p>
    <w:p w14:paraId="44DF313F" w14:textId="2015AB7D"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 подпрограмме "Развитие дорожной отрасли в Приморском крае"</w:t>
      </w:r>
      <w:r w:rsidRPr="00522104">
        <w:rPr>
          <w:rFonts w:ascii="Times New Roman" w:eastAsia="Times New Roman" w:hAnsi="Times New Roman" w:cs="Times New Roman"/>
          <w:sz w:val="28"/>
          <w:szCs w:val="28"/>
          <w:lang w:eastAsia="ru-RU"/>
        </w:rPr>
        <w:t xml:space="preserve"> законопроектом на 2022 год запланированы расходы в общей сумме 14750,92 млн рублей, что на 3 108,82 млн рублей, или на 26,7 % больше утвержденных назначений (11 642,10 млн рублей), но меньше на 5 907,82 млн рублей уровня 2021 год</w:t>
      </w:r>
      <w:r w:rsidR="003C52E7" w:rsidRPr="00522104">
        <w:rPr>
          <w:rFonts w:ascii="Times New Roman" w:eastAsia="Times New Roman" w:hAnsi="Times New Roman" w:cs="Times New Roman"/>
          <w:sz w:val="28"/>
          <w:szCs w:val="28"/>
          <w:lang w:eastAsia="ru-RU"/>
        </w:rPr>
        <w:t>а</w:t>
      </w:r>
      <w:r w:rsidRPr="00522104">
        <w:rPr>
          <w:rFonts w:ascii="Times New Roman" w:eastAsia="Times New Roman" w:hAnsi="Times New Roman" w:cs="Times New Roman"/>
          <w:sz w:val="28"/>
          <w:szCs w:val="28"/>
          <w:lang w:eastAsia="ru-RU"/>
        </w:rPr>
        <w:t xml:space="preserve"> (20 658,74 млн рублей). На 2023 год предусмотрено 12 613,26 млн рублей, на 2024 год – 12 582,51 млн рублей.</w:t>
      </w:r>
    </w:p>
    <w:p w14:paraId="417122E4"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 данной подпрограмме планируются расходы дорожного фонда Приморского края. </w:t>
      </w:r>
    </w:p>
    <w:p w14:paraId="2C5458F9" w14:textId="7A60929A" w:rsidR="00827437" w:rsidRPr="00522104" w:rsidRDefault="00827437" w:rsidP="00827437">
      <w:pPr>
        <w:spacing w:after="0" w:line="240" w:lineRule="auto"/>
        <w:ind w:firstLine="709"/>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Дорожный фонд Приморского края</w:t>
      </w:r>
    </w:p>
    <w:p w14:paraId="3AE6219F"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В формирование дорожного фонда Приморского края включены доходы на 2022 год в сумме 10262,91 млн рублей, на 2023 год – 10160,88 млн рублей, на 2024 год –10040,93 млн рублей. Дорожный фонд Приморского края состоит в основном из: </w:t>
      </w:r>
    </w:p>
    <w:p w14:paraId="29A4B072" w14:textId="77777777"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доходов краевого бюджета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на 2022 -2024 годы по 7007,89 млн рублей ежегодно;</w:t>
      </w:r>
    </w:p>
    <w:p w14:paraId="2E11DD88"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межбюджетных трансфертов из федерального бюджета краевому бюджету в размере: на 2022 год – 222,08 млн рублей, на 2023 год – 120,00 млн рублей, на 2024 год – не предусмотрены;</w:t>
      </w:r>
    </w:p>
    <w:p w14:paraId="7E6C7542" w14:textId="67F9E428"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доходов краевого бюджета от денежных взысканий (штрафов) за нарушение законодательства Российской Федерации о безопасности дорожного движения: на 2022</w:t>
      </w:r>
      <w:r w:rsidR="003C52E7" w:rsidRPr="00522104">
        <w:rPr>
          <w:rFonts w:ascii="Times New Roman" w:hAnsi="Times New Roman" w:cs="Times New Roman"/>
          <w:sz w:val="28"/>
          <w:szCs w:val="28"/>
        </w:rPr>
        <w:t>-</w:t>
      </w:r>
      <w:r w:rsidRPr="00522104">
        <w:rPr>
          <w:rFonts w:ascii="Times New Roman" w:hAnsi="Times New Roman" w:cs="Times New Roman"/>
          <w:sz w:val="28"/>
          <w:szCs w:val="28"/>
        </w:rPr>
        <w:t>2024 годы – 74071 млн рублей ежегодно;</w:t>
      </w:r>
    </w:p>
    <w:p w14:paraId="21DB506D"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доходов консолидированного бюджета Приморского края от:</w:t>
      </w:r>
    </w:p>
    <w:p w14:paraId="75A92B5A"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транспортного налога на 2022-2024 годы – по 2290,35 млн рублей ежегодно;</w:t>
      </w:r>
    </w:p>
    <w:p w14:paraId="75F12004" w14:textId="7E347483"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других доходов</w:t>
      </w:r>
      <w:r w:rsidRPr="00522104">
        <w:rPr>
          <w:rFonts w:ascii="Times New Roman" w:hAnsi="Times New Roman" w:cs="Times New Roman"/>
          <w:sz w:val="28"/>
          <w:szCs w:val="28"/>
          <w:vertAlign w:val="superscript"/>
        </w:rPr>
        <w:footnoteReference w:id="45"/>
      </w:r>
      <w:r w:rsidRPr="00522104">
        <w:rPr>
          <w:rFonts w:ascii="Times New Roman" w:hAnsi="Times New Roman" w:cs="Times New Roman"/>
          <w:sz w:val="28"/>
          <w:szCs w:val="28"/>
        </w:rPr>
        <w:t xml:space="preserve"> – на 2022 год в сумме 1,88 млн рублей, на 2023</w:t>
      </w:r>
      <w:r w:rsidR="003C52E7" w:rsidRPr="00522104">
        <w:rPr>
          <w:rFonts w:ascii="Times New Roman" w:hAnsi="Times New Roman" w:cs="Times New Roman"/>
          <w:sz w:val="28"/>
          <w:szCs w:val="28"/>
        </w:rPr>
        <w:t xml:space="preserve"> год</w:t>
      </w:r>
      <w:r w:rsidRPr="00522104">
        <w:rPr>
          <w:rFonts w:ascii="Times New Roman" w:hAnsi="Times New Roman" w:cs="Times New Roman"/>
          <w:sz w:val="28"/>
          <w:szCs w:val="28"/>
        </w:rPr>
        <w:t xml:space="preserve"> – 1,93 млн рублей, на 2024 год – 1,98 млн рублей.</w:t>
      </w:r>
    </w:p>
    <w:p w14:paraId="3E663144"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Согласно части 9 статьи 8 законопроекта на 2022 год объем </w:t>
      </w:r>
      <w:r w:rsidRPr="00522104">
        <w:rPr>
          <w:rFonts w:ascii="Times New Roman" w:hAnsi="Times New Roman" w:cs="Times New Roman"/>
          <w:sz w:val="28"/>
          <w:szCs w:val="28"/>
        </w:rPr>
        <w:t xml:space="preserve">бюджетных ассигнований дорожного фонда Приморского края </w:t>
      </w:r>
      <w:r w:rsidRPr="00522104">
        <w:rPr>
          <w:rFonts w:ascii="Times New Roman" w:eastAsia="Times New Roman" w:hAnsi="Times New Roman" w:cs="Times New Roman"/>
          <w:sz w:val="28"/>
          <w:szCs w:val="28"/>
          <w:lang w:eastAsia="ru-RU"/>
        </w:rPr>
        <w:t xml:space="preserve">(далее – дорожный фонд) превышает планируемый уровень доходов на 4597,42 млн рублей и составит 14860,33 млн рублей. </w:t>
      </w:r>
      <w:r w:rsidRPr="00522104">
        <w:rPr>
          <w:rFonts w:ascii="Times New Roman" w:hAnsi="Times New Roman" w:cs="Times New Roman"/>
          <w:sz w:val="28"/>
          <w:szCs w:val="28"/>
        </w:rPr>
        <w:t>Частью 4 статьи 179.4 Бюджетного кодекса бюджетные ассигнования дорожного фонда субъекта Российской Федерации, не использованные в текущем финансовом году (далее – остаток), направляются на увеличение бюджетных ассигнований дорожного фонда субъекта Российской Федерации в очередном финансовом году.</w:t>
      </w:r>
      <w:r w:rsidRPr="00522104">
        <w:rPr>
          <w:rFonts w:ascii="Times New Roman" w:eastAsia="Times New Roman" w:hAnsi="Times New Roman" w:cs="Times New Roman"/>
          <w:sz w:val="28"/>
          <w:szCs w:val="28"/>
          <w:lang w:eastAsia="ru-RU"/>
        </w:rPr>
        <w:t xml:space="preserve"> Министерством транспорта и дорожного хозяйства Приморского края, министерством финансов Приморского края сведения об остатке на 01.01.2021 не предоставлены.</w:t>
      </w:r>
    </w:p>
    <w:p w14:paraId="717CC243"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Н</w:t>
      </w:r>
      <w:r w:rsidRPr="00522104">
        <w:rPr>
          <w:rFonts w:ascii="Times New Roman" w:hAnsi="Times New Roman" w:cs="Times New Roman"/>
          <w:sz w:val="28"/>
          <w:szCs w:val="28"/>
        </w:rPr>
        <w:t>а плановый период 2023 и 2024 годов дорожный фонд составит 12612,76 млн рублей и 12582,02 млн рублей соответственно.</w:t>
      </w:r>
    </w:p>
    <w:p w14:paraId="5A3565E5"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Законопроектом на 2022 год по сравнению с утвержденными законом № 969-КЗ бюджетными ассигнованиями на 2022 год (11763,13 млн рублей) планируется увеличение на 3097,20 млн рублей, на 2021 год (20546,14 млн рублей) снижение на 5685,81 млн рублей.</w:t>
      </w:r>
    </w:p>
    <w:p w14:paraId="4D92EF36" w14:textId="77777777" w:rsidR="00827437" w:rsidRPr="00522104" w:rsidRDefault="00827437" w:rsidP="00827437">
      <w:pPr>
        <w:spacing w:after="0" w:line="240" w:lineRule="auto"/>
        <w:ind w:firstLine="680"/>
        <w:jc w:val="both"/>
        <w:rPr>
          <w:rFonts w:ascii="Times New Roman" w:eastAsia="Times New Roman" w:hAnsi="Times New Roman" w:cs="Times New Roman"/>
          <w:iCs/>
          <w:sz w:val="28"/>
          <w:szCs w:val="28"/>
          <w:shd w:val="clear" w:color="auto" w:fill="FFFFFF"/>
          <w:lang w:eastAsia="ru-RU"/>
        </w:rPr>
      </w:pPr>
      <w:r w:rsidRPr="00522104">
        <w:rPr>
          <w:rFonts w:ascii="Times New Roman" w:eastAsia="Times New Roman" w:hAnsi="Times New Roman" w:cs="Times New Roman"/>
          <w:bCs/>
          <w:iCs/>
          <w:sz w:val="28"/>
          <w:szCs w:val="28"/>
          <w:lang w:eastAsia="ru-RU"/>
        </w:rPr>
        <w:t xml:space="preserve">В законопроекте на 2022 год за счет дорожного фонда </w:t>
      </w:r>
      <w:r w:rsidRPr="00522104">
        <w:rPr>
          <w:rFonts w:ascii="Times New Roman" w:eastAsia="Times New Roman" w:hAnsi="Times New Roman" w:cs="Times New Roman"/>
          <w:iCs/>
          <w:sz w:val="28"/>
          <w:szCs w:val="28"/>
          <w:shd w:val="clear" w:color="auto" w:fill="FFFFFF"/>
          <w:lang w:eastAsia="ru-RU"/>
        </w:rPr>
        <w:t xml:space="preserve">отражены расходы по двум программам: </w:t>
      </w:r>
    </w:p>
    <w:p w14:paraId="18EFCF79" w14:textId="77777777" w:rsidR="00827437" w:rsidRPr="00522104" w:rsidRDefault="00827437" w:rsidP="00827437">
      <w:pPr>
        <w:spacing w:after="0" w:line="240" w:lineRule="auto"/>
        <w:ind w:firstLine="680"/>
        <w:jc w:val="both"/>
        <w:rPr>
          <w:rFonts w:ascii="Times New Roman" w:eastAsia="Times New Roman" w:hAnsi="Times New Roman" w:cs="Times New Roman"/>
          <w:iCs/>
          <w:sz w:val="28"/>
          <w:szCs w:val="28"/>
          <w:shd w:val="clear" w:color="auto" w:fill="FFFFFF"/>
          <w:lang w:eastAsia="ru-RU"/>
        </w:rPr>
      </w:pPr>
      <w:r w:rsidRPr="00522104">
        <w:rPr>
          <w:rFonts w:ascii="Times New Roman" w:eastAsia="Times New Roman" w:hAnsi="Times New Roman" w:cs="Times New Roman"/>
          <w:iCs/>
          <w:sz w:val="28"/>
          <w:szCs w:val="28"/>
          <w:lang w:eastAsia="ru-RU"/>
        </w:rPr>
        <w:t>по ГП</w:t>
      </w:r>
      <w:r w:rsidRPr="00522104">
        <w:rPr>
          <w:rFonts w:ascii="Times New Roman" w:eastAsia="Times New Roman" w:hAnsi="Times New Roman" w:cs="Times New Roman"/>
          <w:bCs/>
          <w:iCs/>
          <w:sz w:val="28"/>
          <w:szCs w:val="28"/>
          <w:lang w:eastAsia="ru-RU"/>
        </w:rPr>
        <w:t xml:space="preserve"> "Развитие туризма в Приморском крае" </w:t>
      </w:r>
      <w:r w:rsidRPr="00522104">
        <w:rPr>
          <w:rFonts w:ascii="Times New Roman" w:eastAsia="Times New Roman" w:hAnsi="Times New Roman" w:cs="Times New Roman"/>
          <w:iCs/>
          <w:sz w:val="28"/>
          <w:szCs w:val="28"/>
          <w:shd w:val="clear" w:color="auto" w:fill="FFFFFF"/>
          <w:lang w:eastAsia="ru-RU"/>
        </w:rPr>
        <w:t xml:space="preserve">в сумме 121,52 млн рублей, на уровне утвержденных назначений на </w:t>
      </w:r>
      <w:r w:rsidRPr="00522104">
        <w:rPr>
          <w:rFonts w:ascii="Times New Roman" w:eastAsia="Times New Roman" w:hAnsi="Times New Roman" w:cs="Times New Roman"/>
          <w:bCs/>
          <w:iCs/>
          <w:sz w:val="28"/>
          <w:szCs w:val="28"/>
          <w:lang w:eastAsia="ru-RU"/>
        </w:rPr>
        <w:t xml:space="preserve">государственную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(строительство объекта "Туристский кластер "Приморье" в бухте Муравьиная. Автомобильная дорога, 4 этап "Сектор 8"). </w:t>
      </w:r>
    </w:p>
    <w:p w14:paraId="42F71B2A" w14:textId="77777777" w:rsidR="00827437" w:rsidRPr="00522104" w:rsidRDefault="00827437" w:rsidP="00827437">
      <w:pPr>
        <w:spacing w:after="0" w:line="240" w:lineRule="auto"/>
        <w:ind w:firstLine="680"/>
        <w:jc w:val="both"/>
        <w:rPr>
          <w:rFonts w:ascii="Times New Roman" w:eastAsia="Times New Roman" w:hAnsi="Times New Roman" w:cs="Times New Roman"/>
          <w:iCs/>
          <w:sz w:val="28"/>
          <w:szCs w:val="28"/>
          <w:shd w:val="clear" w:color="auto" w:fill="FFFFFF"/>
          <w:lang w:eastAsia="ru-RU"/>
        </w:rPr>
      </w:pPr>
      <w:r w:rsidRPr="00522104">
        <w:rPr>
          <w:rFonts w:ascii="Times New Roman" w:eastAsia="Times New Roman" w:hAnsi="Times New Roman" w:cs="Times New Roman"/>
          <w:iCs/>
          <w:sz w:val="28"/>
          <w:szCs w:val="28"/>
          <w:shd w:val="clear" w:color="auto" w:fill="FFFFFF"/>
          <w:lang w:eastAsia="ru-RU"/>
        </w:rPr>
        <w:t xml:space="preserve">По сравнению 2021 годом не планируются расходы в сумме 236,57 млн рублей на строительство объекта "Туристский кластер "Приморье" в бухте Муравьиная. Автомобильная дорога: 3 этап (сектор 4, 6)" в сумме 126,62 млн рублей (за 9 месяцев 2021 года не исполнены); 4 этап (сектор 7) в сумме 109,95 млн рублей (за 9 месяцев 2021 года расходы осуществлялись на уровне 52,97 %, или 58,24 млн рублей);   </w:t>
      </w:r>
    </w:p>
    <w:p w14:paraId="1CD9FBAB" w14:textId="1FA8BFA2" w:rsidR="00827437" w:rsidRPr="00522104" w:rsidRDefault="00827437" w:rsidP="00827437">
      <w:pPr>
        <w:spacing w:after="0" w:line="240" w:lineRule="auto"/>
        <w:ind w:firstLine="68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iCs/>
          <w:sz w:val="28"/>
          <w:szCs w:val="28"/>
          <w:shd w:val="clear" w:color="auto" w:fill="FFFFFF"/>
          <w:lang w:eastAsia="ru-RU"/>
        </w:rPr>
        <w:t xml:space="preserve">по ГП "Развитие </w:t>
      </w:r>
      <w:r w:rsidRPr="00522104">
        <w:rPr>
          <w:rFonts w:ascii="Times New Roman" w:eastAsia="Times New Roman" w:hAnsi="Times New Roman" w:cs="Times New Roman"/>
          <w:iCs/>
          <w:sz w:val="28"/>
          <w:szCs w:val="28"/>
          <w:lang w:eastAsia="ru-RU"/>
        </w:rPr>
        <w:t xml:space="preserve">транспортного комплекса Приморского края" – 14738,81 млн рублей, по сравнению с утвержденными назначениями больше на 3097,20 млн рублей, на 2021 год </w:t>
      </w:r>
      <w:r w:rsidR="00D315BD" w:rsidRPr="00522104">
        <w:rPr>
          <w:rFonts w:ascii="Times New Roman" w:eastAsia="Times New Roman" w:hAnsi="Times New Roman" w:cs="Times New Roman"/>
          <w:iCs/>
          <w:sz w:val="28"/>
          <w:szCs w:val="28"/>
          <w:lang w:eastAsia="ru-RU"/>
        </w:rPr>
        <w:t>–</w:t>
      </w:r>
      <w:r w:rsidRPr="00522104">
        <w:rPr>
          <w:rFonts w:ascii="Times New Roman" w:eastAsia="Times New Roman" w:hAnsi="Times New Roman" w:cs="Times New Roman"/>
          <w:iCs/>
          <w:sz w:val="28"/>
          <w:szCs w:val="28"/>
          <w:lang w:eastAsia="ru-RU"/>
        </w:rPr>
        <w:t xml:space="preserve"> со снижением на </w:t>
      </w:r>
      <w:r w:rsidRPr="00522104">
        <w:rPr>
          <w:rFonts w:ascii="Times New Roman" w:eastAsia="Times New Roman" w:hAnsi="Times New Roman" w:cs="Times New Roman"/>
          <w:sz w:val="28"/>
          <w:szCs w:val="28"/>
          <w:lang w:eastAsia="ru-RU"/>
        </w:rPr>
        <w:t xml:space="preserve">5447,22 млн рублей (утверждено на 2022 год – 11641,61 млн рублей, на 2021 год – 20186,03 млн рублей), из них: </w:t>
      </w:r>
    </w:p>
    <w:p w14:paraId="719887B0" w14:textId="1A508FAD"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увеличены расходы</w:t>
      </w:r>
      <w:r w:rsidRPr="00522104">
        <w:rPr>
          <w:rFonts w:ascii="Times New Roman" w:eastAsia="Calibri" w:hAnsi="Times New Roman" w:cs="Times New Roman"/>
          <w:b/>
          <w:sz w:val="28"/>
          <w:szCs w:val="28"/>
        </w:rPr>
        <w:t xml:space="preserve"> </w:t>
      </w:r>
      <w:r w:rsidR="00D315BD" w:rsidRPr="00522104">
        <w:rPr>
          <w:rFonts w:ascii="Times New Roman" w:eastAsia="Calibri" w:hAnsi="Times New Roman" w:cs="Times New Roman"/>
          <w:sz w:val="28"/>
          <w:szCs w:val="28"/>
        </w:rPr>
        <w:t>в законопроекте на 2022 год</w:t>
      </w:r>
      <w:r w:rsidRPr="00522104">
        <w:rPr>
          <w:rFonts w:ascii="Times New Roman" w:eastAsia="Calibri" w:hAnsi="Times New Roman" w:cs="Times New Roman"/>
          <w:sz w:val="28"/>
          <w:szCs w:val="28"/>
        </w:rPr>
        <w:t xml:space="preserve"> по сравнению с утвержденными назначениями по следующим целевым статьям:</w:t>
      </w:r>
    </w:p>
    <w:p w14:paraId="039A7077" w14:textId="1FA495F3"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ремонт автомобильных дорог регионального или межмуниципального значения на территории Приморского края – запланированы расходы в сумме 2 253,45 млн рублей, что на 1 626,04 млн рублей, или в 3,59 раз</w:t>
      </w:r>
      <w:r w:rsidR="00D315BD" w:rsidRPr="00522104">
        <w:rPr>
          <w:rFonts w:ascii="Times New Roman" w:hAnsi="Times New Roman" w:cs="Times New Roman"/>
          <w:sz w:val="28"/>
          <w:szCs w:val="28"/>
        </w:rPr>
        <w:t>,</w:t>
      </w:r>
      <w:r w:rsidRPr="00522104">
        <w:rPr>
          <w:rFonts w:ascii="Times New Roman" w:hAnsi="Times New Roman" w:cs="Times New Roman"/>
          <w:sz w:val="28"/>
          <w:szCs w:val="28"/>
        </w:rPr>
        <w:t xml:space="preserve"> больше утвержденных назначений (627,41 млн рублей) (в 2021 году – 1 244,10 млн рублей). </w:t>
      </w:r>
      <w:r w:rsidRPr="00522104">
        <w:rPr>
          <w:rFonts w:ascii="Times New Roman" w:hAnsi="Times New Roman" w:cs="Times New Roman"/>
          <w:i/>
          <w:sz w:val="28"/>
          <w:szCs w:val="28"/>
        </w:rPr>
        <w:t>Справочно:</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за 9 месяцев 2021 года расходы исполнены в сумме     584,21 млн рублей, или на 47,0 %;</w:t>
      </w:r>
    </w:p>
    <w:p w14:paraId="56D92CB7" w14:textId="77777777"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 запланированы расходы в сумме 63,64 млн рублей, что на 30,75 млн рублей, или на 93,5 % больше утвержденных назначений (32,89 млн рублей) (в 2021 году – 54,24 млн рублей). На 2022 год планируется распределение субсидии Анучинскому муниципальному району и городскому округу Большой Камень. </w:t>
      </w:r>
      <w:r w:rsidRPr="00522104">
        <w:rPr>
          <w:rFonts w:ascii="Times New Roman" w:hAnsi="Times New Roman" w:cs="Times New Roman"/>
          <w:i/>
          <w:sz w:val="28"/>
          <w:szCs w:val="28"/>
        </w:rPr>
        <w:t>Справочно: за 9 месяцев 2021 года расходы не исполнены в полном объеме;</w:t>
      </w:r>
    </w:p>
    <w:p w14:paraId="64955E1E" w14:textId="0819444D"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проектирование, строительство (реконструкция) автомобильных дорог общего пользования населенных пунктов за счет дорожного фонда Приморского края запланированы расходы в сумме 953,52 млн рублей, что на 810,87 млн рублей, или в 6,7 раз</w:t>
      </w:r>
      <w:r w:rsidR="00D315BD" w:rsidRPr="00522104">
        <w:rPr>
          <w:rFonts w:ascii="Times New Roman" w:hAnsi="Times New Roman" w:cs="Times New Roman"/>
          <w:sz w:val="28"/>
          <w:szCs w:val="28"/>
        </w:rPr>
        <w:t>,</w:t>
      </w:r>
      <w:r w:rsidRPr="00522104">
        <w:rPr>
          <w:rFonts w:ascii="Times New Roman" w:hAnsi="Times New Roman" w:cs="Times New Roman"/>
          <w:sz w:val="28"/>
          <w:szCs w:val="28"/>
        </w:rPr>
        <w:t xml:space="preserve"> больше утвержденных назначений (142,65 млн рублей) (в 2021 году – 119,63 млн рублей).</w:t>
      </w:r>
    </w:p>
    <w:p w14:paraId="5148857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2022 год планируется распределение субсидии бюджетам следующих муниципальных образований:</w:t>
      </w:r>
    </w:p>
    <w:p w14:paraId="66359EB1"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Кавалеровскому городскому поселению – 25,96 млн рублей;</w:t>
      </w:r>
    </w:p>
    <w:p w14:paraId="3215D26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городскому округу Большой Камень – 323,81 млн рублей;</w:t>
      </w:r>
    </w:p>
    <w:p w14:paraId="0A368F8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Владивостокскому городскому округу – 136,17 млн рублей;</w:t>
      </w:r>
    </w:p>
    <w:p w14:paraId="6A2D893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Находкинскому городскому округу – 221,45 млн рублей;</w:t>
      </w:r>
    </w:p>
    <w:p w14:paraId="6FF59B8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Уссурийскому городскому округу – 19,38 млн рублей;</w:t>
      </w:r>
    </w:p>
    <w:p w14:paraId="3C5D869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Пограничному муниципальному округу – 226,75 млн рублей.</w:t>
      </w:r>
    </w:p>
    <w:p w14:paraId="6B01B110" w14:textId="77777777"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i/>
          <w:sz w:val="28"/>
          <w:szCs w:val="28"/>
        </w:rPr>
        <w:t>Справочно:</w:t>
      </w:r>
      <w:r w:rsidRPr="00522104">
        <w:rPr>
          <w:rFonts w:ascii="Times New Roman" w:hAnsi="Times New Roman" w:cs="Times New Roman"/>
          <w:sz w:val="28"/>
          <w:szCs w:val="28"/>
        </w:rPr>
        <w:t xml:space="preserve"> </w:t>
      </w:r>
      <w:r w:rsidRPr="00522104">
        <w:rPr>
          <w:rFonts w:ascii="Times New Roman" w:hAnsi="Times New Roman" w:cs="Times New Roman"/>
          <w:i/>
          <w:sz w:val="28"/>
          <w:szCs w:val="28"/>
        </w:rPr>
        <w:t>за 9 месяцев 2021 года расходы исполнены в сумме 16,20 млн рублей, или на 13,5 %;</w:t>
      </w:r>
    </w:p>
    <w:p w14:paraId="3AF29AF7"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 (далее – Субсидия) запланированы расходы в сумме 500,91 млн рублей, что на 53,40 млн рублей и 475,44 млн рублей соответственно превышает утвержденные назначения (447,51 млн рублей) и уровень 2021 года (25,47 млн рублей). Указанный объем бюджетных назначений соответствует требованиям, установленным Порядком формирования и использования бюджетных ассигнований дорожного фонда Приморского края</w:t>
      </w:r>
      <w:r w:rsidRPr="00522104">
        <w:rPr>
          <w:rFonts w:ascii="Times New Roman" w:hAnsi="Times New Roman" w:cs="Times New Roman"/>
          <w:sz w:val="28"/>
          <w:szCs w:val="28"/>
          <w:vertAlign w:val="superscript"/>
        </w:rPr>
        <w:footnoteReference w:id="46"/>
      </w:r>
      <w:r w:rsidRPr="00522104">
        <w:rPr>
          <w:rFonts w:ascii="Times New Roman" w:hAnsi="Times New Roman" w:cs="Times New Roman"/>
          <w:sz w:val="28"/>
          <w:szCs w:val="28"/>
          <w:vertAlign w:val="superscript"/>
        </w:rPr>
        <w:t>,</w:t>
      </w:r>
      <w:r w:rsidRPr="00522104">
        <w:rPr>
          <w:rFonts w:ascii="Times New Roman" w:hAnsi="Times New Roman" w:cs="Times New Roman"/>
          <w:sz w:val="28"/>
          <w:szCs w:val="28"/>
          <w:vertAlign w:val="superscript"/>
        </w:rPr>
        <w:footnoteReference w:id="47"/>
      </w:r>
      <w:r w:rsidRPr="00522104">
        <w:rPr>
          <w:rFonts w:ascii="Times New Roman" w:hAnsi="Times New Roman" w:cs="Times New Roman"/>
          <w:sz w:val="28"/>
          <w:szCs w:val="28"/>
        </w:rPr>
        <w:t>. На 2023 – 2024 годы расходы запланированы по 482,12 млн рублей ежегодно.</w:t>
      </w:r>
    </w:p>
    <w:p w14:paraId="082FBBCB" w14:textId="3CC5D531"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 результатам экспертно-аналитического мероприятия</w:t>
      </w:r>
      <w:r w:rsidRPr="00522104">
        <w:rPr>
          <w:rFonts w:ascii="Times New Roman" w:hAnsi="Times New Roman" w:cs="Times New Roman"/>
          <w:sz w:val="28"/>
          <w:szCs w:val="28"/>
          <w:vertAlign w:val="superscript"/>
        </w:rPr>
        <w:footnoteReference w:id="48"/>
      </w:r>
      <w:r w:rsidRPr="00522104">
        <w:rPr>
          <w:rFonts w:ascii="Times New Roman" w:hAnsi="Times New Roman" w:cs="Times New Roman"/>
          <w:sz w:val="28"/>
          <w:szCs w:val="28"/>
        </w:rPr>
        <w:t>, проведенного Контрольно-счетной палатой Приморского края в 2021 году, отмечена низкая эффективность использования Субсидии в 2018</w:t>
      </w:r>
      <w:r w:rsidR="00AD5260">
        <w:rPr>
          <w:rFonts w:ascii="Times New Roman" w:hAnsi="Times New Roman" w:cs="Times New Roman"/>
          <w:sz w:val="28"/>
          <w:szCs w:val="28"/>
        </w:rPr>
        <w:t>-</w:t>
      </w:r>
      <w:r w:rsidRPr="00522104">
        <w:rPr>
          <w:rFonts w:ascii="Times New Roman" w:hAnsi="Times New Roman" w:cs="Times New Roman"/>
          <w:sz w:val="28"/>
          <w:szCs w:val="28"/>
        </w:rPr>
        <w:t>2021 годах.</w:t>
      </w:r>
    </w:p>
    <w:p w14:paraId="2A4407DB" w14:textId="3CE1070B"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процессе исполнения бюджета в 2018</w:t>
      </w:r>
      <w:r w:rsidR="00AD5260">
        <w:rPr>
          <w:rFonts w:ascii="Times New Roman" w:hAnsi="Times New Roman" w:cs="Times New Roman"/>
          <w:sz w:val="28"/>
          <w:szCs w:val="28"/>
        </w:rPr>
        <w:t>-</w:t>
      </w:r>
      <w:r w:rsidRPr="00522104">
        <w:rPr>
          <w:rFonts w:ascii="Times New Roman" w:hAnsi="Times New Roman" w:cs="Times New Roman"/>
          <w:sz w:val="28"/>
          <w:szCs w:val="28"/>
        </w:rPr>
        <w:t>2021 годах из-за отсутствия заявок от муниципальных образований на получение Субсидии размер расходов на Субсидию уменьшался и в окончательных редакциях законов о краевом бюджете составлял: в 2018 году 0,1 % от объема бюджетных ассигнований дорожного фонда, формируемого за счет доходов от акцизов на нефтепродукты и транспортного налога (6,84 млн рублей), в 2019 году –   0,08 % (6,45 млн рублей), в 2020 году – 0,13 % (10,17 млн рублей), в 2021 году</w:t>
      </w:r>
      <w:r w:rsidR="00D315BD" w:rsidRPr="00522104">
        <w:rPr>
          <w:rFonts w:ascii="Times New Roman" w:hAnsi="Times New Roman" w:cs="Times New Roman"/>
          <w:sz w:val="28"/>
          <w:szCs w:val="28"/>
        </w:rPr>
        <w:t> </w:t>
      </w:r>
      <w:r w:rsidRPr="00522104">
        <w:rPr>
          <w:rFonts w:ascii="Times New Roman" w:hAnsi="Times New Roman" w:cs="Times New Roman"/>
          <w:sz w:val="28"/>
          <w:szCs w:val="28"/>
        </w:rPr>
        <w:t>– 0,27 % (25,43 млн рублей)</w:t>
      </w:r>
      <w:r w:rsidRPr="00522104">
        <w:rPr>
          <w:rFonts w:ascii="Times New Roman" w:hAnsi="Times New Roman" w:cs="Times New Roman"/>
          <w:sz w:val="28"/>
          <w:szCs w:val="28"/>
          <w:vertAlign w:val="superscript"/>
        </w:rPr>
        <w:footnoteReference w:id="49"/>
      </w:r>
      <w:r w:rsidRPr="00522104">
        <w:rPr>
          <w:rFonts w:ascii="Times New Roman" w:hAnsi="Times New Roman" w:cs="Times New Roman"/>
          <w:sz w:val="28"/>
          <w:szCs w:val="28"/>
        </w:rPr>
        <w:t>.</w:t>
      </w:r>
    </w:p>
    <w:p w14:paraId="0EEE1D60" w14:textId="330B428A"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Кассовое исполнение средств Субсидии в 2018</w:t>
      </w:r>
      <w:r w:rsidR="00AD5260">
        <w:rPr>
          <w:rFonts w:ascii="Times New Roman" w:hAnsi="Times New Roman" w:cs="Times New Roman"/>
          <w:sz w:val="28"/>
          <w:szCs w:val="28"/>
        </w:rPr>
        <w:t>-</w:t>
      </w:r>
      <w:r w:rsidRPr="00522104">
        <w:rPr>
          <w:rFonts w:ascii="Times New Roman" w:hAnsi="Times New Roman" w:cs="Times New Roman"/>
          <w:sz w:val="28"/>
          <w:szCs w:val="28"/>
        </w:rPr>
        <w:t>2020 годах составило 8,61 млн рублей, или 36,7 % от запланированного объема (23,46 млн рублей)</w:t>
      </w:r>
      <w:r w:rsidRPr="00522104">
        <w:rPr>
          <w:rFonts w:ascii="Times New Roman" w:hAnsi="Times New Roman" w:cs="Times New Roman"/>
          <w:sz w:val="28"/>
          <w:szCs w:val="28"/>
          <w:vertAlign w:val="superscript"/>
        </w:rPr>
        <w:footnoteReference w:id="50"/>
      </w:r>
      <w:r w:rsidRPr="00522104">
        <w:rPr>
          <w:rFonts w:ascii="Times New Roman" w:hAnsi="Times New Roman" w:cs="Times New Roman"/>
          <w:sz w:val="28"/>
          <w:szCs w:val="28"/>
        </w:rPr>
        <w:t>.</w:t>
      </w:r>
    </w:p>
    <w:p w14:paraId="5FE9A3EB"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Для планирования Субсидии на 2022 год в министерство транспорта и дорожного хозяйства Приморского края с предварительными заявками обратились три муниципальных района: Октябрьский (30,00 млн рублей), Пограничный (577,95 млн рублей) и Пожарский (118,40 млн рублей).</w:t>
      </w:r>
    </w:p>
    <w:p w14:paraId="2142697B" w14:textId="27FD3D2B"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Согласно Приложению 14 к законопроекту Субсидии распределены только Пожарскому муниципальному району на 2022</w:t>
      </w:r>
      <w:r w:rsidR="00AD5260">
        <w:rPr>
          <w:rFonts w:ascii="Times New Roman" w:hAnsi="Times New Roman" w:cs="Times New Roman"/>
          <w:sz w:val="28"/>
          <w:szCs w:val="28"/>
        </w:rPr>
        <w:t>-</w:t>
      </w:r>
      <w:r w:rsidRPr="00522104">
        <w:rPr>
          <w:rFonts w:ascii="Times New Roman" w:hAnsi="Times New Roman" w:cs="Times New Roman"/>
          <w:sz w:val="28"/>
          <w:szCs w:val="28"/>
        </w:rPr>
        <w:t>2024 годы в общей сумме 1 465,15 млн рублей, в том числе: на 2022 год 500,91 млн рублей и по    482,12 млн рублей на 2023 и 2024 годы.</w:t>
      </w:r>
    </w:p>
    <w:p w14:paraId="0BD557DF"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При этом в 2021 году министерством транспорта и дорожного хозяйства Приморского края заключено соглашение на предоставление Субсидии с Пожарским муниципальным районом в размере 10,00 млн рублей. За 9 месяцев 2021 года Субсидия не использована.</w:t>
      </w:r>
    </w:p>
    <w:p w14:paraId="1298C4BB"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Контрольно-счетная палата отмечает, что Субсидия в сумме 1 465,15 млн рублей распределена министерством транспорта и дорожного хозяйства Приморского края только одному муниципальному образованию (Пожарский муниципальный район), в то время как предварительные заявки на получение Субсидии в 2022 году поданы тремя муниципальными образованиями.</w:t>
      </w:r>
    </w:p>
    <w:p w14:paraId="09BFEEB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Кроме того, по информации министерства транспорта и дорожного хозяйства Приморского края в семи муниципальных образованиях (Анучинское, Чугуевское, Лазовское, Партизанское муниципальные образования, Тернейский муниципальный округ и ЗАТО Фокино) имеются автомобильные дороги общего пользования местного значения до сельских населенных пунктов, не имеющих круглогодичной связи с сетью автомобильных дорог общего пользования, требующие проведения ремонтных работ.</w:t>
      </w:r>
    </w:p>
    <w:p w14:paraId="2334849F" w14:textId="73482AC4"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 мнению Контрольно-счетной палаты</w:t>
      </w:r>
      <w:r w:rsidR="00D315BD" w:rsidRPr="00522104">
        <w:rPr>
          <w:rFonts w:ascii="Times New Roman" w:hAnsi="Times New Roman" w:cs="Times New Roman"/>
          <w:sz w:val="28"/>
          <w:szCs w:val="28"/>
        </w:rPr>
        <w:t>,</w:t>
      </w:r>
      <w:r w:rsidRPr="00522104">
        <w:rPr>
          <w:rFonts w:ascii="Times New Roman" w:hAnsi="Times New Roman" w:cs="Times New Roman"/>
          <w:sz w:val="28"/>
          <w:szCs w:val="28"/>
        </w:rPr>
        <w:t xml:space="preserve"> министерству транспорта и дорожного хозяйства Приморского края совместно с муниципальными образованиями Приморского края необходимо проанализировать потребность в проектировании, строительстве, реконструкции, капитальном ремонте, ремонте автомобильных дорог общего пользования местного значения с твердым покрытием до сельских населенных пунктов, не имеющим круглогодичной связи с сетью автомобильных дорог общего пользования. По результатам проведенного анализа Министерству подготовить обоснование потребности в проектировании, строительстве, реконструкции, капитальном ремонте, ремонте вышеназванных автомобильных дорог и необходимых для этого объемах финансирования.</w:t>
      </w:r>
    </w:p>
    <w:p w14:paraId="30D0817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Проектом паспорта ГП не предусмотрены показатели, характеризующие достижение результатов от использования Субсидии.</w:t>
      </w:r>
    </w:p>
    <w:p w14:paraId="4A033A19" w14:textId="7239DB2B"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В законопроект</w:t>
      </w:r>
      <w:r w:rsidR="00D315BD" w:rsidRPr="00522104">
        <w:rPr>
          <w:rFonts w:ascii="Times New Roman" w:eastAsia="Calibri" w:hAnsi="Times New Roman" w:cs="Times New Roman"/>
          <w:sz w:val="28"/>
          <w:szCs w:val="28"/>
        </w:rPr>
        <w:t>е на 2022 год уменьшены расходы</w:t>
      </w:r>
      <w:r w:rsidRPr="00522104">
        <w:rPr>
          <w:rFonts w:ascii="Times New Roman" w:eastAsia="Calibri" w:hAnsi="Times New Roman" w:cs="Times New Roman"/>
          <w:sz w:val="28"/>
          <w:szCs w:val="28"/>
        </w:rPr>
        <w:t xml:space="preserve"> по сравнению с утвержденными назначениями по следующим целевым статьям:</w:t>
      </w:r>
    </w:p>
    <w:p w14:paraId="78D8ADB1" w14:textId="1C894E26"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содержание автомобильных дорог регионального или межмуниципального значения на территории Приморского края запланированы расходы в сумме 4 306,65 млн рублей, что на 80,95 млн рублей, или на 1,5 %</w:t>
      </w:r>
      <w:r w:rsidR="00D315BD" w:rsidRPr="00522104">
        <w:rPr>
          <w:rFonts w:ascii="Times New Roman" w:hAnsi="Times New Roman" w:cs="Times New Roman"/>
          <w:sz w:val="28"/>
          <w:szCs w:val="28"/>
        </w:rPr>
        <w:t>,</w:t>
      </w:r>
      <w:r w:rsidRPr="00522104">
        <w:rPr>
          <w:rFonts w:ascii="Times New Roman" w:hAnsi="Times New Roman" w:cs="Times New Roman"/>
          <w:sz w:val="28"/>
          <w:szCs w:val="28"/>
        </w:rPr>
        <w:t xml:space="preserve"> меньше утвержденных назначений (4 387,60 млн рублей) (в 2021 году – 4 271,28 млн рублей). </w:t>
      </w:r>
      <w:r w:rsidRPr="00522104">
        <w:rPr>
          <w:rFonts w:ascii="Times New Roman" w:hAnsi="Times New Roman" w:cs="Times New Roman"/>
          <w:i/>
          <w:sz w:val="28"/>
          <w:szCs w:val="28"/>
        </w:rPr>
        <w:t>Справочно: за 9 месяцев расходы исполнены на 56,3 %</w:t>
      </w:r>
      <w:r w:rsidR="00D315BD"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или 2 403,26 млн рублей. Причиной неисполнения является сезонность осуществления расходов;</w:t>
      </w:r>
    </w:p>
    <w:p w14:paraId="2B8C4C9F" w14:textId="799BAE48"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 запланированы расходы в сумме 2 477,65 млн рублей, что на 1 131,82 млн рублей, или на 31,4 %</w:t>
      </w:r>
      <w:r w:rsidR="00236DCF" w:rsidRPr="00522104">
        <w:rPr>
          <w:rFonts w:ascii="Times New Roman" w:hAnsi="Times New Roman" w:cs="Times New Roman"/>
          <w:sz w:val="28"/>
          <w:szCs w:val="28"/>
        </w:rPr>
        <w:t>,</w:t>
      </w:r>
      <w:r w:rsidRPr="00522104">
        <w:rPr>
          <w:rFonts w:ascii="Times New Roman" w:hAnsi="Times New Roman" w:cs="Times New Roman"/>
          <w:sz w:val="28"/>
          <w:szCs w:val="28"/>
        </w:rPr>
        <w:t xml:space="preserve"> меньше утвержденных назначений (3 609,47 млн рублей) (в 2021 году – 3 382,57 млн рублей).</w:t>
      </w:r>
    </w:p>
    <w:p w14:paraId="40644A33" w14:textId="6479EA54"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В 2022 году бюджетные ассигнования на осуществление капитальных вложений планируется направить на строительство, реконструкцию, проектирование 11 мостовых сооружений, 8 дорог (участков), 2 путепроводов. </w:t>
      </w:r>
      <w:r w:rsidRPr="00522104">
        <w:rPr>
          <w:rFonts w:ascii="Times New Roman" w:hAnsi="Times New Roman" w:cs="Times New Roman"/>
          <w:i/>
          <w:sz w:val="28"/>
          <w:szCs w:val="28"/>
        </w:rPr>
        <w:t>Справочно: за 9 месяцев 2021 года расходы исполнены в сумме 1 160,28 млн рублей, или на 34,3 %</w:t>
      </w:r>
      <w:r w:rsidR="00236DCF"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Неисполнение бюджетных ассигнований вызвано невыполнением работ по вине подрядных организаций, задержкой в получении положительных заключений государственной экспертизы, уточнением технических параметров при проведении инженерных изысканий и получении технических условий, длительности процедуры получения разрешения на строительство, а также выполнением работ в соответствии с календарным графиком;</w:t>
      </w:r>
    </w:p>
    <w:p w14:paraId="627F6995" w14:textId="341F8131"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 –</w:t>
      </w:r>
      <w:r w:rsidR="00236DCF" w:rsidRPr="00522104">
        <w:rPr>
          <w:rFonts w:ascii="Times New Roman" w:hAnsi="Times New Roman" w:cs="Times New Roman"/>
          <w:sz w:val="28"/>
          <w:szCs w:val="28"/>
        </w:rPr>
        <w:t xml:space="preserve"> </w:t>
      </w:r>
      <w:r w:rsidRPr="00522104">
        <w:rPr>
          <w:rFonts w:ascii="Times New Roman" w:hAnsi="Times New Roman" w:cs="Times New Roman"/>
          <w:sz w:val="28"/>
          <w:szCs w:val="28"/>
        </w:rPr>
        <w:t xml:space="preserve">1 350,04 млн рублей, что на 312,04 млн рублей, или на 18,8 % меньше утвержденных назначений (1 662,08 млн рублей) (в 2021 году – 1 670,52 млн рублей). </w:t>
      </w:r>
      <w:r w:rsidRPr="00522104">
        <w:rPr>
          <w:rFonts w:ascii="Times New Roman" w:hAnsi="Times New Roman" w:cs="Times New Roman"/>
          <w:i/>
          <w:sz w:val="28"/>
          <w:szCs w:val="28"/>
        </w:rPr>
        <w:t>Справочно: за 9 месяцев расходы исполнены в сумме 1 420,22 млн рублей, или на 85,0 %.</w:t>
      </w:r>
    </w:p>
    <w:p w14:paraId="4D0257EA"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законопроекте на 2022 год</w:t>
      </w:r>
      <w:r w:rsidRPr="00522104">
        <w:rPr>
          <w:rFonts w:ascii="Times New Roman" w:hAnsi="Times New Roman" w:cs="Times New Roman"/>
          <w:b/>
          <w:sz w:val="28"/>
          <w:szCs w:val="28"/>
        </w:rPr>
        <w:t xml:space="preserve"> запланированы расходы на том же уровне</w:t>
      </w:r>
      <w:r w:rsidRPr="00522104">
        <w:rPr>
          <w:rFonts w:ascii="Times New Roman" w:hAnsi="Times New Roman" w:cs="Times New Roman"/>
          <w:sz w:val="28"/>
          <w:szCs w:val="28"/>
        </w:rPr>
        <w:t>, что в утвержденных назначениях, по следующим целевым статьям:</w:t>
      </w:r>
    </w:p>
    <w:p w14:paraId="6DF37D3A" w14:textId="2D09A593"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финансовое обеспечение дорожной деятельности в рамках реализации </w:t>
      </w:r>
      <w:r w:rsidR="00AD5260">
        <w:rPr>
          <w:rFonts w:ascii="Times New Roman" w:hAnsi="Times New Roman" w:cs="Times New Roman"/>
          <w:sz w:val="28"/>
          <w:szCs w:val="28"/>
        </w:rPr>
        <w:t>НП</w:t>
      </w:r>
      <w:r w:rsidRPr="00522104">
        <w:rPr>
          <w:rFonts w:ascii="Times New Roman" w:hAnsi="Times New Roman" w:cs="Times New Roman"/>
          <w:sz w:val="28"/>
          <w:szCs w:val="28"/>
        </w:rPr>
        <w:t xml:space="preserve"> "Безопасные качественные дороги" (на автомобильных дорогах местного значения на территории Приморского края)</w:t>
      </w:r>
      <w:r w:rsidR="00236DCF" w:rsidRPr="00522104">
        <w:rPr>
          <w:rFonts w:ascii="Times New Roman" w:hAnsi="Times New Roman" w:cs="Times New Roman"/>
          <w:sz w:val="28"/>
          <w:szCs w:val="28"/>
        </w:rPr>
        <w:t> </w:t>
      </w:r>
      <w:r w:rsidRPr="00522104">
        <w:rPr>
          <w:rFonts w:ascii="Times New Roman" w:hAnsi="Times New Roman" w:cs="Times New Roman"/>
          <w:sz w:val="28"/>
          <w:szCs w:val="28"/>
        </w:rPr>
        <w:t xml:space="preserve">– 612,00 млн рублей (в 2021 году – 614,08 млн рублей). </w:t>
      </w:r>
      <w:r w:rsidRPr="00522104">
        <w:rPr>
          <w:rFonts w:ascii="Times New Roman" w:hAnsi="Times New Roman" w:cs="Times New Roman"/>
          <w:i/>
          <w:sz w:val="28"/>
          <w:szCs w:val="28"/>
        </w:rPr>
        <w:t>Справочно: за 9 месяцев расходы исполнены в сумме 402,71 млн рублей, или на 65,6 %;</w:t>
      </w:r>
    </w:p>
    <w:p w14:paraId="31181661"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 120,00 млн рублей (в 2021 году расходы не планировались).</w:t>
      </w:r>
    </w:p>
    <w:p w14:paraId="041F47E8"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законопроекте на 2022 год</w:t>
      </w:r>
      <w:r w:rsidRPr="00522104">
        <w:rPr>
          <w:rFonts w:ascii="Times New Roman" w:hAnsi="Times New Roman" w:cs="Times New Roman"/>
          <w:b/>
          <w:sz w:val="28"/>
          <w:szCs w:val="28"/>
        </w:rPr>
        <w:t xml:space="preserve"> </w:t>
      </w:r>
      <w:r w:rsidRPr="00522104">
        <w:rPr>
          <w:rFonts w:ascii="Times New Roman" w:hAnsi="Times New Roman" w:cs="Times New Roman"/>
          <w:sz w:val="28"/>
          <w:szCs w:val="28"/>
        </w:rPr>
        <w:t>запланированы расходы, которые не были утверждены в Законе № 969-КЗ на тот же год по следующим целевым статьям:</w:t>
      </w:r>
    </w:p>
    <w:p w14:paraId="3F163964" w14:textId="0A6566CE"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капитальный ремонт и ремонт автомобильных дорог общего пользования населенных пунктов за счет дорожного фонда Приморского края</w:t>
      </w:r>
      <w:r w:rsidR="00236DCF" w:rsidRPr="00522104">
        <w:rPr>
          <w:rFonts w:ascii="Times New Roman" w:hAnsi="Times New Roman" w:cs="Times New Roman"/>
          <w:sz w:val="28"/>
          <w:szCs w:val="28"/>
        </w:rPr>
        <w:t> </w:t>
      </w:r>
      <w:r w:rsidRPr="00522104">
        <w:rPr>
          <w:rFonts w:ascii="Times New Roman" w:hAnsi="Times New Roman" w:cs="Times New Roman"/>
          <w:sz w:val="28"/>
          <w:szCs w:val="28"/>
        </w:rPr>
        <w:t xml:space="preserve">– 1 520,00 млн рублей (в 2021 году – 1 757,88 млн рублей). В 2022 году планируется предоставить субсидию 23 муниципальным образованиям. </w:t>
      </w:r>
      <w:r w:rsidRPr="00522104">
        <w:rPr>
          <w:rFonts w:ascii="Times New Roman" w:hAnsi="Times New Roman" w:cs="Times New Roman"/>
          <w:i/>
          <w:sz w:val="28"/>
          <w:szCs w:val="28"/>
        </w:rPr>
        <w:t>Справочно: за 9 месяцев расходы исполнены в сумме 944,70 млн рублей, или на 53,7 %;</w:t>
      </w:r>
    </w:p>
    <w:p w14:paraId="52A48E50"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 – 200 млн рублей (в 2021 году – 7,50 млн рублей, за 9 месяцев не исполнены в полном объеме). В 2022 году планируется предоставить субсидию 11 муниципальным образованиям;</w:t>
      </w:r>
    </w:p>
    <w:p w14:paraId="0DF47CDD" w14:textId="6F25A1A8"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содержание автомобильных дорог местного значения за счет дорожного фонда Приморского края – 300,00 млн рублей (в 2021 году – 808,00 млн рублей, за 9 месяцев расходы исполнены на 40,9 %</w:t>
      </w:r>
      <w:r w:rsidR="00236DCF" w:rsidRPr="00522104">
        <w:rPr>
          <w:rFonts w:ascii="Times New Roman" w:hAnsi="Times New Roman" w:cs="Times New Roman"/>
          <w:sz w:val="28"/>
          <w:szCs w:val="28"/>
        </w:rPr>
        <w:t>,</w:t>
      </w:r>
      <w:r w:rsidRPr="00522104">
        <w:rPr>
          <w:rFonts w:ascii="Times New Roman" w:hAnsi="Times New Roman" w:cs="Times New Roman"/>
          <w:sz w:val="28"/>
          <w:szCs w:val="28"/>
        </w:rPr>
        <w:t xml:space="preserve"> или 330,14 млн рублей). В 2022 году планируется предоставить субсидию Владивостокскому городскому округу;</w:t>
      </w:r>
    </w:p>
    <w:p w14:paraId="7766F00A" w14:textId="77777777"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документация по планировке территорий – 10,95 млн рублей (в 2021 году – 72,38 млн рублей). </w:t>
      </w:r>
      <w:r w:rsidRPr="00522104">
        <w:rPr>
          <w:rFonts w:ascii="Times New Roman" w:hAnsi="Times New Roman" w:cs="Times New Roman"/>
          <w:i/>
          <w:sz w:val="28"/>
          <w:szCs w:val="28"/>
        </w:rPr>
        <w:t>Справочно: за 9 месяцев расходы исполнены в сумме 6,40 млн рублей, или на 8,8 %. Неисполнение бюджетных средств вызвано невыполнением работ по вине подрядных организаций, задержкой в получении положительных заключений государственной экспертизы, уточнением технических параметров при проведении инженерных изысканий и получении технических условий;</w:t>
      </w:r>
    </w:p>
    <w:p w14:paraId="4313B3F5" w14:textId="77777777"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выполнение научно-исследовательской работы по разработке документов транспортного планирования Приморского края (Программа комплексного развития транспортной инфраструктуры, Комплексная схема организации транспортного обслуживания населения) – 70,00 млн рублей (в 2021 году – 0,60 млн рублей). </w:t>
      </w:r>
      <w:r w:rsidRPr="00522104">
        <w:rPr>
          <w:rFonts w:ascii="Times New Roman" w:hAnsi="Times New Roman" w:cs="Times New Roman"/>
          <w:i/>
          <w:sz w:val="28"/>
          <w:szCs w:val="28"/>
        </w:rPr>
        <w:t>Справочно: за 9 месяцев расходы исполнены в сумме 0,59 млн рублей, или на 98,0 %.</w:t>
      </w:r>
    </w:p>
    <w:p w14:paraId="65EB8F73" w14:textId="6217BB7F" w:rsidR="00827437" w:rsidRPr="00522104" w:rsidRDefault="00827437" w:rsidP="00827437">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В законопроекте на 2022 год</w:t>
      </w:r>
      <w:r w:rsidR="00196398" w:rsidRPr="00522104">
        <w:rPr>
          <w:rFonts w:ascii="Times New Roman" w:eastAsia="Calibri" w:hAnsi="Times New Roman" w:cs="Times New Roman"/>
          <w:sz w:val="28"/>
          <w:szCs w:val="28"/>
        </w:rPr>
        <w:t>,</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как и в утвержденных назначениях</w:t>
      </w:r>
      <w:r w:rsidR="00196398" w:rsidRPr="00522104">
        <w:rPr>
          <w:rFonts w:ascii="Times New Roman" w:eastAsia="Calibri" w:hAnsi="Times New Roman" w:cs="Times New Roman"/>
          <w:sz w:val="28"/>
          <w:szCs w:val="28"/>
        </w:rPr>
        <w:t>,</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не планируются расходы</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за счет федеральных средств</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на:</w:t>
      </w:r>
    </w:p>
    <w:p w14:paraId="18EB19A1" w14:textId="447E2336"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обеспечение дорожной деятельности на автомобильных дорогах общего пользования регионального или межмуниципального значения на территории Приморского края за счет средств резервного фонда Правительства Российской Федерации (ремонт автомобильных дорог регионального или межмуниципального значения на территории Приморского края) (в 2021 году</w:t>
      </w:r>
      <w:r w:rsidR="00196398" w:rsidRPr="00522104">
        <w:rPr>
          <w:rFonts w:ascii="Times New Roman" w:eastAsia="Calibri" w:hAnsi="Times New Roman" w:cs="Times New Roman"/>
          <w:sz w:val="28"/>
          <w:szCs w:val="28"/>
        </w:rPr>
        <w:t> </w:t>
      </w:r>
      <w:r w:rsidRPr="00522104">
        <w:rPr>
          <w:rFonts w:ascii="Times New Roman" w:eastAsia="Calibri" w:hAnsi="Times New Roman" w:cs="Times New Roman"/>
          <w:sz w:val="28"/>
          <w:szCs w:val="28"/>
        </w:rPr>
        <w:t xml:space="preserve">– 500,00 млн рублей). </w:t>
      </w:r>
      <w:r w:rsidRPr="00522104">
        <w:rPr>
          <w:rFonts w:ascii="Times New Roman" w:eastAsia="Calibri" w:hAnsi="Times New Roman" w:cs="Times New Roman"/>
          <w:i/>
          <w:sz w:val="28"/>
          <w:szCs w:val="28"/>
        </w:rPr>
        <w:t>Справочно: за 9 месяцев 2021 года расходы исполнены в сумме 31,51 млн рублей, или на 6,3 %. Неисполнение вызвано длительностью проведения конкурсных процедур;</w:t>
      </w:r>
    </w:p>
    <w:p w14:paraId="0E42E9B7" w14:textId="77777777"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 xml:space="preserve">обеспечение дорожной деятельности на автомобильных дорогах общего пользования регионального или межмуниципального значения на территории Приморского края за счет средств резервного фонда Правительства Российской Федерации (строительство, реконструкция автомобильных дорог регионального или межмуниципального значения на территории Приморского края) (в 2021 году – 600,00 млн рублей). </w:t>
      </w:r>
      <w:r w:rsidRPr="00522104">
        <w:rPr>
          <w:rFonts w:ascii="Times New Roman" w:eastAsia="Calibri" w:hAnsi="Times New Roman" w:cs="Times New Roman"/>
          <w:i/>
          <w:sz w:val="28"/>
          <w:szCs w:val="28"/>
        </w:rPr>
        <w:t>Справочно: за 9 месяцев расходы не исполнены в полном объеме</w:t>
      </w:r>
      <w:r w:rsidRPr="00522104">
        <w:rPr>
          <w:rFonts w:ascii="Times New Roman" w:hAnsi="Times New Roman" w:cs="Times New Roman"/>
        </w:rPr>
        <w:t xml:space="preserve"> </w:t>
      </w:r>
      <w:r w:rsidRPr="00522104">
        <w:rPr>
          <w:rFonts w:ascii="Times New Roman" w:eastAsia="Calibri" w:hAnsi="Times New Roman" w:cs="Times New Roman"/>
          <w:i/>
          <w:sz w:val="28"/>
          <w:szCs w:val="28"/>
        </w:rPr>
        <w:t>по причине позднего заключения соглашения с Федеральным дорожным агентством на предоставление межбюджетного трансферта на финансовое обеспечение дорожной деятельности (дополнительное соглашение от 14.09.2021);</w:t>
      </w:r>
    </w:p>
    <w:p w14:paraId="380CDC1C" w14:textId="77777777"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 xml:space="preserve">ремонт автомобильной дороги общего пользования регионального или межмуниципального значения Артем – Находка – порт Восточный на участках: км 65+000 – км 67+130, км 70+102 – км 83+000, км 86+000 – км 89+000, км 92+000 – км 125+100, км 125+740 – км 127+000, км 127+800 – км 145+000 в Приморском крае, согласно плану социального развития центров экономического роста Приморского края за счет средств краевого бюджета (в 2021 году – 632,80 млн рублей). </w:t>
      </w:r>
      <w:r w:rsidRPr="00522104">
        <w:rPr>
          <w:rFonts w:ascii="Times New Roman" w:eastAsia="Calibri" w:hAnsi="Times New Roman" w:cs="Times New Roman"/>
          <w:i/>
          <w:sz w:val="28"/>
          <w:szCs w:val="28"/>
        </w:rPr>
        <w:t>Справочно: за 9 месяцев расходы исполнены в сумме 363,75 млн рублей, или на 57,5 %;</w:t>
      </w:r>
    </w:p>
    <w:p w14:paraId="6064F4B6" w14:textId="245A4C82"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 xml:space="preserve">строительство автомобильной дороги Владивосток </w:t>
      </w:r>
      <w:r w:rsidR="00196398" w:rsidRPr="00522104">
        <w:rPr>
          <w:rFonts w:ascii="Times New Roman" w:eastAsia="Calibri" w:hAnsi="Times New Roman" w:cs="Times New Roman"/>
          <w:sz w:val="28"/>
          <w:szCs w:val="28"/>
        </w:rPr>
        <w:t>– Находка –</w:t>
      </w:r>
      <w:r w:rsidRPr="00522104">
        <w:rPr>
          <w:rFonts w:ascii="Times New Roman" w:eastAsia="Calibri" w:hAnsi="Times New Roman" w:cs="Times New Roman"/>
          <w:sz w:val="28"/>
          <w:szCs w:val="28"/>
        </w:rPr>
        <w:t xml:space="preserve"> порт </w:t>
      </w:r>
      <w:r w:rsidR="00196398" w:rsidRPr="00522104">
        <w:rPr>
          <w:rFonts w:ascii="Times New Roman" w:eastAsia="Calibri" w:hAnsi="Times New Roman" w:cs="Times New Roman"/>
          <w:sz w:val="28"/>
          <w:szCs w:val="28"/>
        </w:rPr>
        <w:t>Восточный на участке км 18+500 –</w:t>
      </w:r>
      <w:r w:rsidRPr="00522104">
        <w:rPr>
          <w:rFonts w:ascii="Times New Roman" w:eastAsia="Calibri" w:hAnsi="Times New Roman" w:cs="Times New Roman"/>
          <w:sz w:val="28"/>
          <w:szCs w:val="28"/>
        </w:rPr>
        <w:t xml:space="preserve"> км 40+800 в Приморском крае, софинансируемой из федерального бюджета (в 2021 году – 3 880,51 млн рублей). </w:t>
      </w:r>
      <w:r w:rsidRPr="00522104">
        <w:rPr>
          <w:rFonts w:ascii="Times New Roman" w:eastAsia="Calibri" w:hAnsi="Times New Roman" w:cs="Times New Roman"/>
          <w:i/>
          <w:sz w:val="28"/>
          <w:szCs w:val="28"/>
        </w:rPr>
        <w:t xml:space="preserve">Справочно: за 9 месяцев расходы исполнены в сумме 2 382,12 млн рублей, или на 61,4 %. </w:t>
      </w:r>
    </w:p>
    <w:p w14:paraId="1C0CE274" w14:textId="77777777"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 xml:space="preserve">предоставление субсидий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 (в 2021 году –                   267,10 млн рублей). </w:t>
      </w:r>
      <w:r w:rsidRPr="00522104">
        <w:rPr>
          <w:rFonts w:ascii="Times New Roman" w:eastAsia="Calibri" w:hAnsi="Times New Roman" w:cs="Times New Roman"/>
          <w:i/>
          <w:sz w:val="28"/>
          <w:szCs w:val="28"/>
        </w:rPr>
        <w:t>Справочно: за 9 месяцев расходы не исполнены в полном объеме;</w:t>
      </w:r>
    </w:p>
    <w:p w14:paraId="35584B0B" w14:textId="77777777"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 xml:space="preserve">предоставление субсидий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 (в 2021 году – 41,75 млн рублей). </w:t>
      </w:r>
      <w:r w:rsidRPr="00522104">
        <w:rPr>
          <w:rFonts w:ascii="Times New Roman" w:eastAsia="Calibri" w:hAnsi="Times New Roman" w:cs="Times New Roman"/>
          <w:i/>
          <w:sz w:val="28"/>
          <w:szCs w:val="28"/>
        </w:rPr>
        <w:t>Справочно: за 9 месяцев расходы исполнены в полном объеме;</w:t>
      </w:r>
    </w:p>
    <w:p w14:paraId="1743A2BD" w14:textId="77777777"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 xml:space="preserve">предоставление 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краевого бюджета (в 2021 году – 172,69 млн рублей). </w:t>
      </w:r>
      <w:r w:rsidRPr="00522104">
        <w:rPr>
          <w:rFonts w:ascii="Times New Roman" w:eastAsia="Calibri" w:hAnsi="Times New Roman" w:cs="Times New Roman"/>
          <w:i/>
          <w:sz w:val="28"/>
          <w:szCs w:val="28"/>
        </w:rPr>
        <w:t>Справочно: за 9 месяцев расходы исполнены в сумме 79,42 млн рублей, или на 46,0 %;</w:t>
      </w:r>
    </w:p>
    <w:p w14:paraId="18C6F9EA" w14:textId="2896AB92" w:rsidR="00827437" w:rsidRPr="00522104" w:rsidRDefault="00827437" w:rsidP="00827437">
      <w:pPr>
        <w:spacing w:after="0" w:line="240" w:lineRule="auto"/>
        <w:ind w:firstLine="709"/>
        <w:jc w:val="both"/>
        <w:rPr>
          <w:rFonts w:ascii="Times New Roman" w:eastAsia="Calibri" w:hAnsi="Times New Roman" w:cs="Times New Roman"/>
          <w:i/>
          <w:sz w:val="28"/>
          <w:szCs w:val="28"/>
        </w:rPr>
      </w:pPr>
      <w:r w:rsidRPr="00522104">
        <w:rPr>
          <w:rFonts w:ascii="Times New Roman" w:eastAsia="Calibri" w:hAnsi="Times New Roman" w:cs="Times New Roman"/>
          <w:sz w:val="28"/>
          <w:szCs w:val="28"/>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 (в 2021 году –     45,86</w:t>
      </w:r>
      <w:r w:rsidR="00196398" w:rsidRPr="00522104">
        <w:rPr>
          <w:rFonts w:ascii="Times New Roman" w:eastAsia="Calibri" w:hAnsi="Times New Roman" w:cs="Times New Roman"/>
          <w:sz w:val="28"/>
          <w:szCs w:val="28"/>
        </w:rPr>
        <w:t> </w:t>
      </w:r>
      <w:r w:rsidRPr="00522104">
        <w:rPr>
          <w:rFonts w:ascii="Times New Roman" w:eastAsia="Calibri" w:hAnsi="Times New Roman" w:cs="Times New Roman"/>
          <w:sz w:val="28"/>
          <w:szCs w:val="28"/>
        </w:rPr>
        <w:t xml:space="preserve">млн рублей). </w:t>
      </w:r>
      <w:r w:rsidRPr="00522104">
        <w:rPr>
          <w:rFonts w:ascii="Times New Roman" w:eastAsia="Calibri" w:hAnsi="Times New Roman" w:cs="Times New Roman"/>
          <w:i/>
          <w:sz w:val="28"/>
          <w:szCs w:val="28"/>
        </w:rPr>
        <w:t>Справочно: за 9 месяцев расходы не исполнены в полном объеме по причине позднего заключения соглашения с Федеральным дорожным агентством на предоставление межбюджетного трансферта на финансовое обеспечение дорожной деятельности. Планируется выполнение работ в 4 квартале 2021 года.</w:t>
      </w:r>
    </w:p>
    <w:p w14:paraId="246E43E7" w14:textId="77777777" w:rsidR="00827437" w:rsidRPr="00522104" w:rsidRDefault="00827437" w:rsidP="00827437">
      <w:pPr>
        <w:spacing w:after="0" w:line="240" w:lineRule="auto"/>
        <w:ind w:firstLine="720"/>
        <w:jc w:val="center"/>
        <w:rPr>
          <w:rFonts w:ascii="Times New Roman" w:hAnsi="Times New Roman" w:cs="Times New Roman"/>
          <w:sz w:val="28"/>
          <w:szCs w:val="28"/>
        </w:rPr>
      </w:pPr>
    </w:p>
    <w:p w14:paraId="352FA9BE"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22752" behindDoc="0" locked="0" layoutInCell="1" allowOverlap="1" wp14:anchorId="54964857" wp14:editId="24620634">
            <wp:simplePos x="0" y="0"/>
            <wp:positionH relativeFrom="column">
              <wp:posOffset>27940</wp:posOffset>
            </wp:positionH>
            <wp:positionV relativeFrom="paragraph">
              <wp:posOffset>66162</wp:posOffset>
            </wp:positionV>
            <wp:extent cx="1614170" cy="1487805"/>
            <wp:effectExtent l="0" t="0" r="0" b="0"/>
            <wp:wrapSquare wrapText="bothSides"/>
            <wp:docPr id="35" name="Рисунок 35" descr="C:\Users\zavzyataya_sv\Desktop\Картинки\refinery-plant-and-platform-oil-industry_24908-21123 (1).jpg"/>
            <wp:cNvGraphicFramePr/>
            <a:graphic xmlns:a="http://schemas.openxmlformats.org/drawingml/2006/main">
              <a:graphicData uri="http://schemas.openxmlformats.org/drawingml/2006/picture">
                <pic:pic xmlns:pic="http://schemas.openxmlformats.org/drawingml/2006/picture">
                  <pic:nvPicPr>
                    <pic:cNvPr id="35" name="Рисунок 35" descr="C:\Users\zavzyataya_sv\Desktop\Картинки\refinery-plant-and-platform-oil-industry_24908-21123 (1).jpg"/>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14170" cy="1487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"Энергоэффективность, развитие газоснабжения и энергетики в Приморском крае"</w:t>
      </w:r>
    </w:p>
    <w:p w14:paraId="008FBA0A"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Согласно проекту паспорта ГП ответственным исполнителем является </w:t>
      </w:r>
      <w:r w:rsidRPr="00522104">
        <w:rPr>
          <w:rFonts w:ascii="Times New Roman" w:hAnsi="Times New Roman" w:cs="Times New Roman"/>
          <w:bCs/>
          <w:iCs/>
          <w:sz w:val="28"/>
          <w:szCs w:val="28"/>
        </w:rPr>
        <w:t>министерство энергетики и газоснабжения Приморского края</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 xml:space="preserve">соисполнителем – министерство жилищно-коммунального хозяйства Приморского края. </w:t>
      </w:r>
    </w:p>
    <w:p w14:paraId="24E0C73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Законопроектом на 2022 год на реализацию мероприятий ГП предусмотрены бюджетные ассигнования в объеме 1757,10 млн рублей. Объем финансового обеспечения на 2022 год больше на 712,54 млн рублей утвержденных назначений (1044,56 млн рублей), и меньше уровня 2021 года на 133,23 млн рублей (1890,33 млн рублей). </w:t>
      </w:r>
    </w:p>
    <w:p w14:paraId="5E471139" w14:textId="77777777" w:rsidR="00827437" w:rsidRPr="00522104" w:rsidRDefault="00827437" w:rsidP="00827437">
      <w:pPr>
        <w:spacing w:after="0" w:line="240" w:lineRule="auto"/>
        <w:ind w:firstLine="720"/>
        <w:jc w:val="both"/>
        <w:rPr>
          <w:rFonts w:ascii="Times New Roman" w:hAnsi="Times New Roman" w:cs="Times New Roman"/>
          <w:sz w:val="28"/>
          <w:szCs w:val="28"/>
        </w:rPr>
      </w:pPr>
      <w:r w:rsidRPr="00522104">
        <w:rPr>
          <w:rFonts w:ascii="Times New Roman" w:hAnsi="Times New Roman" w:cs="Times New Roman"/>
          <w:sz w:val="28"/>
          <w:szCs w:val="28"/>
        </w:rPr>
        <w:t>На плановый период 2023 года предусмотрено 1757,1 млн рублей, на 2024 год – 515,84 млн рублей.</w:t>
      </w:r>
    </w:p>
    <w:p w14:paraId="676C9C4C" w14:textId="77777777" w:rsidR="00827437" w:rsidRPr="00522104" w:rsidRDefault="00827437" w:rsidP="00827437">
      <w:pPr>
        <w:spacing w:after="0" w:line="240" w:lineRule="auto"/>
        <w:ind w:firstLine="720"/>
        <w:jc w:val="both"/>
        <w:rPr>
          <w:rFonts w:ascii="Times New Roman" w:hAnsi="Times New Roman" w:cs="Times New Roman"/>
          <w:sz w:val="28"/>
          <w:szCs w:val="28"/>
        </w:rPr>
      </w:pPr>
      <w:r w:rsidRPr="00522104">
        <w:rPr>
          <w:rFonts w:ascii="Times New Roman" w:hAnsi="Times New Roman" w:cs="Times New Roman"/>
          <w:sz w:val="28"/>
          <w:szCs w:val="28"/>
        </w:rPr>
        <w:t xml:space="preserve">Законопроектом расходы на исполнение мероприятий ГП в 2022 году предусмотрены по </w:t>
      </w:r>
      <w:r w:rsidRPr="00522104">
        <w:rPr>
          <w:rFonts w:ascii="Times New Roman" w:hAnsi="Times New Roman" w:cs="Times New Roman"/>
          <w:bCs/>
          <w:iCs/>
          <w:sz w:val="28"/>
          <w:szCs w:val="28"/>
        </w:rPr>
        <w:t>министерству энергетики и газоснабжения Приморского края</w:t>
      </w:r>
      <w:r w:rsidRPr="00522104">
        <w:rPr>
          <w:rFonts w:ascii="Times New Roman" w:hAnsi="Times New Roman" w:cs="Times New Roman"/>
          <w:sz w:val="28"/>
          <w:szCs w:val="28"/>
        </w:rPr>
        <w:t xml:space="preserve"> (1278,75 млн рублей) и </w:t>
      </w:r>
      <w:r w:rsidRPr="00522104">
        <w:rPr>
          <w:rFonts w:ascii="Times New Roman" w:eastAsia="Times New Roman" w:hAnsi="Times New Roman" w:cs="Times New Roman"/>
          <w:sz w:val="28"/>
          <w:szCs w:val="28"/>
          <w:lang w:eastAsia="ru-RU"/>
        </w:rPr>
        <w:t>министерству жилищно-коммунального хозяйства Приморского края</w:t>
      </w:r>
      <w:r w:rsidRPr="00522104">
        <w:rPr>
          <w:rFonts w:ascii="Times New Roman" w:hAnsi="Times New Roman" w:cs="Times New Roman"/>
          <w:sz w:val="28"/>
          <w:szCs w:val="28"/>
        </w:rPr>
        <w:t xml:space="preserve"> (478,35 млн рублей). </w:t>
      </w:r>
    </w:p>
    <w:p w14:paraId="4CB4F703" w14:textId="77777777" w:rsidR="00827437" w:rsidRPr="00522104" w:rsidRDefault="00827437" w:rsidP="00827437">
      <w:pPr>
        <w:spacing w:after="0" w:line="240" w:lineRule="auto"/>
        <w:ind w:firstLine="720"/>
        <w:jc w:val="both"/>
        <w:rPr>
          <w:rFonts w:ascii="Times New Roman" w:hAnsi="Times New Roman" w:cs="Times New Roman"/>
          <w:sz w:val="28"/>
          <w:szCs w:val="28"/>
        </w:rPr>
      </w:pPr>
      <w:r w:rsidRPr="00522104">
        <w:rPr>
          <w:rFonts w:ascii="Times New Roman" w:hAnsi="Times New Roman" w:cs="Times New Roman"/>
          <w:sz w:val="28"/>
          <w:szCs w:val="28"/>
        </w:rPr>
        <w:t>На 2023 год расходы по сравнению с 2022 годом предусмотрены в меньшем размере на 541,32 млн рублей, на 2024 год по сравнению с предыдущим годом меньше на 699,94 млн рублей.</w:t>
      </w:r>
    </w:p>
    <w:p w14:paraId="5574FB0A" w14:textId="77777777" w:rsidR="00827437" w:rsidRPr="00522104" w:rsidRDefault="00827437" w:rsidP="0082743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ab/>
      </w:r>
      <w:r w:rsidRPr="00522104">
        <w:rPr>
          <w:rFonts w:ascii="Times New Roman" w:eastAsia="Times New Roman" w:hAnsi="Times New Roman" w:cs="Times New Roman"/>
          <w:sz w:val="28"/>
          <w:szCs w:val="28"/>
          <w:lang w:eastAsia="ru-RU"/>
        </w:rPr>
        <w:t>Распределение бюджетных ассигнований в разрезе подпрограмм ГП на 2022 год к уровню расходов, предусмотренных Законом № 969-КЗ, приведено в таблице.</w:t>
      </w:r>
    </w:p>
    <w:tbl>
      <w:tblPr>
        <w:tblW w:w="9599" w:type="dxa"/>
        <w:tblInd w:w="-284" w:type="dxa"/>
        <w:tblLayout w:type="fixed"/>
        <w:tblLook w:val="04A0" w:firstRow="1" w:lastRow="0" w:firstColumn="1" w:lastColumn="0" w:noHBand="0" w:noVBand="1"/>
      </w:tblPr>
      <w:tblGrid>
        <w:gridCol w:w="2978"/>
        <w:gridCol w:w="992"/>
        <w:gridCol w:w="992"/>
        <w:gridCol w:w="992"/>
        <w:gridCol w:w="993"/>
        <w:gridCol w:w="888"/>
        <w:gridCol w:w="954"/>
        <w:gridCol w:w="810"/>
      </w:tblGrid>
      <w:tr w:rsidR="00827437" w:rsidRPr="00074B2C" w14:paraId="20741728" w14:textId="77777777" w:rsidTr="00E61B50">
        <w:trPr>
          <w:trHeight w:val="167"/>
          <w:tblHeader/>
        </w:trPr>
        <w:tc>
          <w:tcPr>
            <w:tcW w:w="2978" w:type="dxa"/>
            <w:tcBorders>
              <w:bottom w:val="single" w:sz="4" w:space="0" w:color="auto"/>
            </w:tcBorders>
            <w:shd w:val="clear" w:color="DCE6F1" w:fill="FFFFFF"/>
            <w:vAlign w:val="center"/>
          </w:tcPr>
          <w:p w14:paraId="4ED5578C"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992" w:type="dxa"/>
            <w:tcBorders>
              <w:bottom w:val="single" w:sz="4" w:space="0" w:color="auto"/>
            </w:tcBorders>
            <w:shd w:val="clear" w:color="DCE6F1" w:fill="FFFFFF"/>
          </w:tcPr>
          <w:p w14:paraId="698C705F"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992" w:type="dxa"/>
            <w:tcBorders>
              <w:bottom w:val="single" w:sz="4" w:space="0" w:color="auto"/>
            </w:tcBorders>
            <w:shd w:val="clear" w:color="DCE6F1" w:fill="FFFFFF"/>
            <w:vAlign w:val="center"/>
          </w:tcPr>
          <w:p w14:paraId="4BBFD689"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2873" w:type="dxa"/>
            <w:gridSpan w:val="3"/>
            <w:tcBorders>
              <w:bottom w:val="single" w:sz="4" w:space="0" w:color="auto"/>
            </w:tcBorders>
            <w:shd w:val="clear" w:color="DCE6F1" w:fill="FFFFFF"/>
            <w:vAlign w:val="center"/>
          </w:tcPr>
          <w:p w14:paraId="1996206F"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1764" w:type="dxa"/>
            <w:gridSpan w:val="2"/>
            <w:tcBorders>
              <w:bottom w:val="single" w:sz="4" w:space="0" w:color="auto"/>
            </w:tcBorders>
            <w:shd w:val="clear" w:color="DCE6F1" w:fill="FFFFFF"/>
            <w:vAlign w:val="center"/>
          </w:tcPr>
          <w:p w14:paraId="2F6713E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20"/>
                <w:szCs w:val="20"/>
                <w:lang w:eastAsia="ru-RU"/>
              </w:rPr>
            </w:pPr>
            <w:r w:rsidRPr="00074B2C">
              <w:rPr>
                <w:rFonts w:ascii="Times New Roman" w:eastAsia="Times New Roman" w:hAnsi="Times New Roman" w:cs="Times New Roman"/>
                <w:bCs/>
                <w:color w:val="000000"/>
                <w:sz w:val="20"/>
                <w:szCs w:val="20"/>
                <w:lang w:eastAsia="ru-RU"/>
              </w:rPr>
              <w:t>(млн рублей)</w:t>
            </w:r>
          </w:p>
        </w:tc>
      </w:tr>
      <w:tr w:rsidR="00827437" w:rsidRPr="00522104" w14:paraId="4AAE575C" w14:textId="77777777" w:rsidTr="00E61B50">
        <w:trPr>
          <w:trHeight w:val="243"/>
          <w:tblHeader/>
        </w:trPr>
        <w:tc>
          <w:tcPr>
            <w:tcW w:w="2978" w:type="dxa"/>
            <w:vMerge w:val="restart"/>
            <w:tcBorders>
              <w:top w:val="single" w:sz="4" w:space="0" w:color="auto"/>
              <w:left w:val="single" w:sz="4" w:space="0" w:color="auto"/>
              <w:right w:val="single" w:sz="4" w:space="0" w:color="auto"/>
            </w:tcBorders>
            <w:shd w:val="clear" w:color="DCE6F1" w:fill="FFFFFF"/>
            <w:vAlign w:val="center"/>
          </w:tcPr>
          <w:p w14:paraId="20A92BE1"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Наименование</w:t>
            </w:r>
          </w:p>
        </w:tc>
        <w:tc>
          <w:tcPr>
            <w:tcW w:w="1984" w:type="dxa"/>
            <w:gridSpan w:val="2"/>
            <w:vMerge w:val="restart"/>
            <w:tcBorders>
              <w:top w:val="single" w:sz="4" w:space="0" w:color="auto"/>
              <w:left w:val="single" w:sz="4" w:space="0" w:color="auto"/>
              <w:right w:val="single" w:sz="4" w:space="0" w:color="auto"/>
            </w:tcBorders>
            <w:shd w:val="clear" w:color="DCE6F1" w:fill="FFFFFF"/>
            <w:vAlign w:val="center"/>
          </w:tcPr>
          <w:p w14:paraId="1505221E"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Закон № 969-КЗ</w:t>
            </w:r>
          </w:p>
        </w:tc>
        <w:tc>
          <w:tcPr>
            <w:tcW w:w="2873" w:type="dxa"/>
            <w:gridSpan w:val="3"/>
            <w:tcBorders>
              <w:top w:val="single" w:sz="4" w:space="0" w:color="auto"/>
              <w:left w:val="single" w:sz="4" w:space="0" w:color="auto"/>
              <w:bottom w:val="single" w:sz="4" w:space="0" w:color="000000"/>
              <w:right w:val="single" w:sz="4" w:space="0" w:color="auto"/>
            </w:tcBorders>
            <w:shd w:val="clear" w:color="DCE6F1" w:fill="FFFFFF"/>
            <w:vAlign w:val="center"/>
          </w:tcPr>
          <w:p w14:paraId="00FAA867"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Законопроект на</w:t>
            </w:r>
          </w:p>
        </w:tc>
        <w:tc>
          <w:tcPr>
            <w:tcW w:w="1764" w:type="dxa"/>
            <w:gridSpan w:val="2"/>
            <w:vMerge w:val="restart"/>
            <w:tcBorders>
              <w:top w:val="single" w:sz="4" w:space="0" w:color="auto"/>
              <w:left w:val="nil"/>
              <w:right w:val="single" w:sz="4" w:space="0" w:color="000000"/>
            </w:tcBorders>
            <w:shd w:val="clear" w:color="DCE6F1" w:fill="FFFFFF"/>
            <w:vAlign w:val="center"/>
          </w:tcPr>
          <w:p w14:paraId="2B1B202E"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Отклонение законопроекта к утвержденным назначениям</w:t>
            </w:r>
          </w:p>
        </w:tc>
      </w:tr>
      <w:tr w:rsidR="00827437" w:rsidRPr="00522104" w14:paraId="04558365" w14:textId="77777777" w:rsidTr="00F44B1F">
        <w:trPr>
          <w:trHeight w:val="567"/>
          <w:tblHeader/>
        </w:trPr>
        <w:tc>
          <w:tcPr>
            <w:tcW w:w="2978" w:type="dxa"/>
            <w:vMerge/>
            <w:tcBorders>
              <w:left w:val="single" w:sz="4" w:space="0" w:color="auto"/>
              <w:right w:val="single" w:sz="4" w:space="0" w:color="auto"/>
            </w:tcBorders>
            <w:shd w:val="clear" w:color="DCE6F1" w:fill="FFFFFF"/>
            <w:vAlign w:val="center"/>
            <w:hideMark/>
          </w:tcPr>
          <w:p w14:paraId="1D5A30D0"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1984" w:type="dxa"/>
            <w:gridSpan w:val="2"/>
            <w:vMerge/>
            <w:tcBorders>
              <w:left w:val="single" w:sz="4" w:space="0" w:color="auto"/>
              <w:bottom w:val="single" w:sz="4" w:space="0" w:color="auto"/>
              <w:right w:val="single" w:sz="4" w:space="0" w:color="auto"/>
            </w:tcBorders>
            <w:shd w:val="clear" w:color="DCE6F1" w:fill="FFFFFF"/>
            <w:vAlign w:val="center"/>
          </w:tcPr>
          <w:p w14:paraId="280F6931"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992" w:type="dxa"/>
            <w:vMerge w:val="restart"/>
            <w:tcBorders>
              <w:top w:val="single" w:sz="4" w:space="0" w:color="auto"/>
              <w:left w:val="single" w:sz="4" w:space="0" w:color="auto"/>
              <w:bottom w:val="single" w:sz="4" w:space="0" w:color="000000"/>
              <w:right w:val="single" w:sz="4" w:space="0" w:color="auto"/>
            </w:tcBorders>
            <w:shd w:val="clear" w:color="DCE6F1" w:fill="FFFFFF"/>
            <w:vAlign w:val="center"/>
            <w:hideMark/>
          </w:tcPr>
          <w:p w14:paraId="7243372B"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2022 год</w:t>
            </w:r>
          </w:p>
        </w:tc>
        <w:tc>
          <w:tcPr>
            <w:tcW w:w="993" w:type="dxa"/>
            <w:vMerge w:val="restart"/>
            <w:tcBorders>
              <w:top w:val="single" w:sz="4" w:space="0" w:color="auto"/>
              <w:left w:val="single" w:sz="4" w:space="0" w:color="auto"/>
              <w:bottom w:val="single" w:sz="4" w:space="0" w:color="000000"/>
              <w:right w:val="single" w:sz="4" w:space="0" w:color="auto"/>
            </w:tcBorders>
            <w:shd w:val="clear" w:color="DCE6F1" w:fill="FFFFFF"/>
            <w:vAlign w:val="center"/>
            <w:hideMark/>
          </w:tcPr>
          <w:p w14:paraId="17A85992"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2023 год</w:t>
            </w:r>
          </w:p>
        </w:tc>
        <w:tc>
          <w:tcPr>
            <w:tcW w:w="888" w:type="dxa"/>
            <w:vMerge w:val="restart"/>
            <w:tcBorders>
              <w:top w:val="single" w:sz="4" w:space="0" w:color="auto"/>
              <w:left w:val="single" w:sz="4" w:space="0" w:color="auto"/>
              <w:bottom w:val="single" w:sz="4" w:space="0" w:color="000000"/>
              <w:right w:val="single" w:sz="4" w:space="0" w:color="auto"/>
            </w:tcBorders>
            <w:shd w:val="clear" w:color="DCE6F1" w:fill="FFFFFF"/>
            <w:vAlign w:val="center"/>
            <w:hideMark/>
          </w:tcPr>
          <w:p w14:paraId="3080EDB6" w14:textId="77777777" w:rsidR="00827437" w:rsidRPr="00522104" w:rsidRDefault="00827437" w:rsidP="00E61B50">
            <w:pPr>
              <w:spacing w:after="0" w:line="240" w:lineRule="auto"/>
              <w:ind w:lef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2024 год</w:t>
            </w:r>
          </w:p>
        </w:tc>
        <w:tc>
          <w:tcPr>
            <w:tcW w:w="1764" w:type="dxa"/>
            <w:gridSpan w:val="2"/>
            <w:vMerge/>
            <w:tcBorders>
              <w:left w:val="nil"/>
              <w:bottom w:val="single" w:sz="4" w:space="0" w:color="auto"/>
              <w:right w:val="single" w:sz="4" w:space="0" w:color="000000"/>
            </w:tcBorders>
            <w:shd w:val="clear" w:color="DCE6F1" w:fill="FFFFFF"/>
            <w:vAlign w:val="center"/>
            <w:hideMark/>
          </w:tcPr>
          <w:p w14:paraId="5D2C3762"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r>
      <w:tr w:rsidR="00827437" w:rsidRPr="00522104" w14:paraId="733D927E" w14:textId="77777777" w:rsidTr="00E61B50">
        <w:trPr>
          <w:trHeight w:val="210"/>
          <w:tblHeader/>
        </w:trPr>
        <w:tc>
          <w:tcPr>
            <w:tcW w:w="2978" w:type="dxa"/>
            <w:vMerge/>
            <w:tcBorders>
              <w:left w:val="single" w:sz="4" w:space="0" w:color="auto"/>
              <w:right w:val="single" w:sz="4" w:space="0" w:color="auto"/>
            </w:tcBorders>
            <w:vAlign w:val="center"/>
            <w:hideMark/>
          </w:tcPr>
          <w:p w14:paraId="5F9E7688" w14:textId="77777777" w:rsidR="00827437" w:rsidRPr="00522104" w:rsidRDefault="00827437" w:rsidP="00E40BEE">
            <w:pPr>
              <w:spacing w:after="0" w:line="240" w:lineRule="auto"/>
              <w:rPr>
                <w:rFonts w:ascii="Times New Roman" w:eastAsia="Times New Roman" w:hAnsi="Times New Roman" w:cs="Times New Roman"/>
                <w:bCs/>
                <w:color w:val="000000"/>
                <w:sz w:val="20"/>
                <w:szCs w:val="20"/>
                <w:lang w:eastAsia="ru-RU"/>
              </w:rPr>
            </w:pPr>
          </w:p>
        </w:tc>
        <w:tc>
          <w:tcPr>
            <w:tcW w:w="992" w:type="dxa"/>
            <w:vMerge w:val="restart"/>
            <w:tcBorders>
              <w:top w:val="single" w:sz="4" w:space="0" w:color="auto"/>
              <w:left w:val="single" w:sz="4" w:space="0" w:color="auto"/>
              <w:bottom w:val="single" w:sz="4" w:space="0" w:color="auto"/>
              <w:right w:val="single" w:sz="4" w:space="0" w:color="auto"/>
            </w:tcBorders>
            <w:shd w:val="clear" w:color="DCE6F1" w:fill="FFFFFF"/>
            <w:vAlign w:val="center"/>
          </w:tcPr>
          <w:p w14:paraId="5D362C20"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на 2021 год</w:t>
            </w:r>
          </w:p>
        </w:tc>
        <w:tc>
          <w:tcPr>
            <w:tcW w:w="992" w:type="dxa"/>
            <w:vMerge w:val="restart"/>
            <w:tcBorders>
              <w:top w:val="single" w:sz="4" w:space="0" w:color="auto"/>
              <w:left w:val="single" w:sz="4" w:space="0" w:color="auto"/>
              <w:bottom w:val="single" w:sz="4" w:space="0" w:color="auto"/>
              <w:right w:val="single" w:sz="4" w:space="0" w:color="auto"/>
            </w:tcBorders>
            <w:shd w:val="clear" w:color="DCE6F1" w:fill="FFFFFF"/>
            <w:vAlign w:val="center"/>
            <w:hideMark/>
          </w:tcPr>
          <w:p w14:paraId="0247B6F9"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на 2022 год</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14431ECA"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6E00E4ED"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888" w:type="dxa"/>
            <w:vMerge/>
            <w:tcBorders>
              <w:top w:val="single" w:sz="4" w:space="0" w:color="auto"/>
              <w:left w:val="single" w:sz="4" w:space="0" w:color="auto"/>
              <w:bottom w:val="single" w:sz="4" w:space="0" w:color="000000"/>
              <w:right w:val="single" w:sz="4" w:space="0" w:color="auto"/>
            </w:tcBorders>
            <w:vAlign w:val="center"/>
            <w:hideMark/>
          </w:tcPr>
          <w:p w14:paraId="335B5C1F"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p>
        </w:tc>
        <w:tc>
          <w:tcPr>
            <w:tcW w:w="1764" w:type="dxa"/>
            <w:gridSpan w:val="2"/>
            <w:tcBorders>
              <w:top w:val="single" w:sz="4" w:space="0" w:color="auto"/>
              <w:left w:val="nil"/>
              <w:bottom w:val="single" w:sz="4" w:space="0" w:color="auto"/>
              <w:right w:val="single" w:sz="4" w:space="0" w:color="000000"/>
            </w:tcBorders>
            <w:shd w:val="clear" w:color="DCE6F1" w:fill="FFFFFF"/>
            <w:vAlign w:val="center"/>
            <w:hideMark/>
          </w:tcPr>
          <w:p w14:paraId="52E9ED33"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2022/2022</w:t>
            </w:r>
          </w:p>
        </w:tc>
      </w:tr>
      <w:tr w:rsidR="00827437" w:rsidRPr="00522104" w14:paraId="2ADBCF99" w14:textId="77777777" w:rsidTr="00E61B50">
        <w:trPr>
          <w:trHeight w:val="224"/>
          <w:tblHeader/>
        </w:trPr>
        <w:tc>
          <w:tcPr>
            <w:tcW w:w="2978" w:type="dxa"/>
            <w:vMerge/>
            <w:tcBorders>
              <w:left w:val="single" w:sz="4" w:space="0" w:color="auto"/>
              <w:bottom w:val="single" w:sz="4" w:space="0" w:color="000000"/>
              <w:right w:val="single" w:sz="4" w:space="0" w:color="auto"/>
            </w:tcBorders>
            <w:vAlign w:val="center"/>
            <w:hideMark/>
          </w:tcPr>
          <w:p w14:paraId="1C29EB3B" w14:textId="77777777" w:rsidR="00827437" w:rsidRPr="00522104" w:rsidRDefault="00827437" w:rsidP="00E40BEE">
            <w:pPr>
              <w:spacing w:after="0" w:line="240" w:lineRule="auto"/>
              <w:rPr>
                <w:rFonts w:ascii="Times New Roman" w:eastAsia="Times New Roman" w:hAnsi="Times New Roman" w:cs="Times New Roman"/>
                <w:bCs/>
                <w:color w:val="00000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0F31E8DD" w14:textId="77777777" w:rsidR="00827437" w:rsidRPr="00522104" w:rsidRDefault="00827437" w:rsidP="00E40BEE">
            <w:pPr>
              <w:spacing w:after="0" w:line="240" w:lineRule="auto"/>
              <w:rPr>
                <w:rFonts w:ascii="Times New Roman" w:eastAsia="Times New Roman" w:hAnsi="Times New Roman" w:cs="Times New Roman"/>
                <w:bCs/>
                <w:color w:val="000000"/>
                <w:sz w:val="20"/>
                <w:szCs w:val="20"/>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BF2321" w14:textId="77777777" w:rsidR="00827437" w:rsidRPr="00522104" w:rsidRDefault="00827437" w:rsidP="00E40BEE">
            <w:pPr>
              <w:spacing w:after="0" w:line="240" w:lineRule="auto"/>
              <w:rPr>
                <w:rFonts w:ascii="Times New Roman" w:eastAsia="Times New Roman" w:hAnsi="Times New Roman" w:cs="Times New Roman"/>
                <w:bCs/>
                <w:color w:val="000000"/>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27B36F59" w14:textId="77777777" w:rsidR="00827437" w:rsidRPr="00522104" w:rsidRDefault="00827437" w:rsidP="00E40BEE">
            <w:pPr>
              <w:spacing w:after="0" w:line="240" w:lineRule="auto"/>
              <w:rPr>
                <w:rFonts w:ascii="Times New Roman" w:eastAsia="Times New Roman" w:hAnsi="Times New Roman" w:cs="Times New Roman"/>
                <w:bCs/>
                <w:color w:val="000000"/>
                <w:sz w:val="20"/>
                <w:szCs w:val="20"/>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29C37250" w14:textId="77777777" w:rsidR="00827437" w:rsidRPr="00522104" w:rsidRDefault="00827437" w:rsidP="00E40BEE">
            <w:pPr>
              <w:spacing w:after="0" w:line="240" w:lineRule="auto"/>
              <w:rPr>
                <w:rFonts w:ascii="Times New Roman" w:eastAsia="Times New Roman" w:hAnsi="Times New Roman" w:cs="Times New Roman"/>
                <w:bCs/>
                <w:color w:val="000000"/>
                <w:sz w:val="20"/>
                <w:szCs w:val="20"/>
                <w:lang w:eastAsia="ru-RU"/>
              </w:rPr>
            </w:pPr>
          </w:p>
        </w:tc>
        <w:tc>
          <w:tcPr>
            <w:tcW w:w="888" w:type="dxa"/>
            <w:vMerge/>
            <w:tcBorders>
              <w:top w:val="single" w:sz="4" w:space="0" w:color="auto"/>
              <w:left w:val="single" w:sz="4" w:space="0" w:color="auto"/>
              <w:bottom w:val="single" w:sz="4" w:space="0" w:color="000000"/>
              <w:right w:val="single" w:sz="4" w:space="0" w:color="auto"/>
            </w:tcBorders>
            <w:vAlign w:val="center"/>
            <w:hideMark/>
          </w:tcPr>
          <w:p w14:paraId="4A053DC1" w14:textId="77777777" w:rsidR="00827437" w:rsidRPr="00522104" w:rsidRDefault="00827437" w:rsidP="00E40BEE">
            <w:pPr>
              <w:spacing w:after="0" w:line="240" w:lineRule="auto"/>
              <w:rPr>
                <w:rFonts w:ascii="Times New Roman" w:eastAsia="Times New Roman" w:hAnsi="Times New Roman" w:cs="Times New Roman"/>
                <w:bCs/>
                <w:color w:val="000000"/>
                <w:sz w:val="20"/>
                <w:szCs w:val="20"/>
                <w:lang w:eastAsia="ru-RU"/>
              </w:rPr>
            </w:pPr>
          </w:p>
        </w:tc>
        <w:tc>
          <w:tcPr>
            <w:tcW w:w="954" w:type="dxa"/>
            <w:tcBorders>
              <w:top w:val="nil"/>
              <w:left w:val="nil"/>
              <w:bottom w:val="single" w:sz="4" w:space="0" w:color="auto"/>
              <w:right w:val="single" w:sz="4" w:space="0" w:color="auto"/>
            </w:tcBorders>
            <w:shd w:val="clear" w:color="DCE6F1" w:fill="FFFFFF"/>
            <w:vAlign w:val="center"/>
            <w:hideMark/>
          </w:tcPr>
          <w:p w14:paraId="461EF505"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сумма</w:t>
            </w:r>
          </w:p>
        </w:tc>
        <w:tc>
          <w:tcPr>
            <w:tcW w:w="810" w:type="dxa"/>
            <w:tcBorders>
              <w:top w:val="nil"/>
              <w:left w:val="nil"/>
              <w:bottom w:val="single" w:sz="4" w:space="0" w:color="auto"/>
              <w:right w:val="single" w:sz="4" w:space="0" w:color="auto"/>
            </w:tcBorders>
            <w:shd w:val="clear" w:color="DCE6F1" w:fill="FFFFFF"/>
            <w:vAlign w:val="center"/>
            <w:hideMark/>
          </w:tcPr>
          <w:p w14:paraId="2CAAADD7"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w:t>
            </w:r>
          </w:p>
        </w:tc>
      </w:tr>
      <w:tr w:rsidR="00827437" w:rsidRPr="00522104" w14:paraId="389DC09D" w14:textId="77777777" w:rsidTr="00E61B50">
        <w:trPr>
          <w:trHeight w:val="279"/>
        </w:trPr>
        <w:tc>
          <w:tcPr>
            <w:tcW w:w="2978" w:type="dxa"/>
            <w:tcBorders>
              <w:top w:val="nil"/>
              <w:left w:val="single" w:sz="4" w:space="0" w:color="auto"/>
              <w:bottom w:val="single" w:sz="4" w:space="0" w:color="auto"/>
              <w:right w:val="single" w:sz="4" w:space="0" w:color="auto"/>
            </w:tcBorders>
            <w:shd w:val="clear" w:color="000000" w:fill="FFFFFF"/>
            <w:hideMark/>
          </w:tcPr>
          <w:p w14:paraId="4DB7E6CA" w14:textId="77777777" w:rsidR="00827437" w:rsidRPr="00522104" w:rsidRDefault="00827437" w:rsidP="00E40BEE">
            <w:pPr>
              <w:spacing w:after="0" w:line="240" w:lineRule="auto"/>
              <w:rPr>
                <w:rFonts w:ascii="Times New Roman" w:eastAsia="Times New Roman" w:hAnsi="Times New Roman" w:cs="Times New Roman"/>
                <w:b/>
                <w:color w:val="000000"/>
                <w:sz w:val="20"/>
                <w:szCs w:val="20"/>
                <w:lang w:eastAsia="ru-RU"/>
              </w:rPr>
            </w:pPr>
            <w:r w:rsidRPr="00522104">
              <w:rPr>
                <w:rFonts w:ascii="Times New Roman" w:eastAsia="Times New Roman" w:hAnsi="Times New Roman" w:cs="Times New Roman"/>
                <w:b/>
                <w:color w:val="000000"/>
                <w:sz w:val="20"/>
                <w:szCs w:val="20"/>
                <w:lang w:eastAsia="ru-RU"/>
              </w:rPr>
              <w:t xml:space="preserve">ГП "Энергоэффективность, развитие газоснабжения и энергетики в Приморском крае" на 2020-2027 годы, </w:t>
            </w:r>
          </w:p>
          <w:p w14:paraId="231DB4CB" w14:textId="31037645" w:rsidR="00827437" w:rsidRPr="00522104" w:rsidRDefault="00827437" w:rsidP="00D64DB7">
            <w:pPr>
              <w:spacing w:after="0" w:line="240" w:lineRule="auto"/>
              <w:rPr>
                <w:rFonts w:ascii="Times New Roman" w:eastAsia="Times New Roman" w:hAnsi="Times New Roman" w:cs="Times New Roman"/>
                <w:b/>
                <w:color w:val="000000"/>
                <w:sz w:val="20"/>
                <w:szCs w:val="20"/>
                <w:lang w:eastAsia="ru-RU"/>
              </w:rPr>
            </w:pPr>
            <w:r w:rsidRPr="00522104">
              <w:rPr>
                <w:rFonts w:ascii="Times New Roman" w:eastAsia="Times New Roman" w:hAnsi="Times New Roman" w:cs="Times New Roman"/>
                <w:b/>
                <w:color w:val="000000"/>
                <w:sz w:val="20"/>
                <w:szCs w:val="20"/>
                <w:lang w:eastAsia="ru-RU"/>
              </w:rPr>
              <w:t>в том числе подпрограммы</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45AD8851" w14:textId="77777777" w:rsidR="00827437" w:rsidRPr="00522104" w:rsidRDefault="00827437" w:rsidP="00E40BEE">
            <w:pPr>
              <w:tabs>
                <w:tab w:val="left" w:pos="268"/>
              </w:tabs>
              <w:spacing w:after="0" w:line="240" w:lineRule="auto"/>
              <w:jc w:val="right"/>
              <w:rPr>
                <w:rFonts w:ascii="Times New Roman" w:eastAsia="Times New Roman" w:hAnsi="Times New Roman" w:cs="Times New Roman"/>
                <w:b/>
                <w:color w:val="000000"/>
                <w:sz w:val="20"/>
                <w:szCs w:val="20"/>
                <w:lang w:eastAsia="ru-RU"/>
              </w:rPr>
            </w:pPr>
            <w:r w:rsidRPr="00522104">
              <w:rPr>
                <w:rFonts w:ascii="Times New Roman" w:eastAsia="Times New Roman" w:hAnsi="Times New Roman" w:cs="Times New Roman"/>
                <w:b/>
                <w:color w:val="000000"/>
                <w:sz w:val="20"/>
                <w:szCs w:val="20"/>
                <w:lang w:eastAsia="ru-RU"/>
              </w:rPr>
              <w:t>1890,33</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D536A96" w14:textId="77777777" w:rsidR="00827437" w:rsidRPr="00522104" w:rsidRDefault="00827437" w:rsidP="00E40BEE">
            <w:pPr>
              <w:spacing w:after="0" w:line="240" w:lineRule="auto"/>
              <w:jc w:val="right"/>
              <w:rPr>
                <w:rFonts w:ascii="Times New Roman" w:eastAsia="Times New Roman" w:hAnsi="Times New Roman" w:cs="Times New Roman"/>
                <w:b/>
                <w:color w:val="000000"/>
                <w:sz w:val="20"/>
                <w:szCs w:val="20"/>
                <w:lang w:eastAsia="ru-RU"/>
              </w:rPr>
            </w:pPr>
            <w:r w:rsidRPr="00522104">
              <w:rPr>
                <w:rFonts w:ascii="Times New Roman" w:eastAsia="Times New Roman" w:hAnsi="Times New Roman" w:cs="Times New Roman"/>
                <w:b/>
                <w:color w:val="000000"/>
                <w:sz w:val="20"/>
                <w:szCs w:val="20"/>
                <w:lang w:eastAsia="ru-RU"/>
              </w:rPr>
              <w:t>1044,56</w:t>
            </w:r>
          </w:p>
        </w:tc>
        <w:tc>
          <w:tcPr>
            <w:tcW w:w="992" w:type="dxa"/>
            <w:tcBorders>
              <w:top w:val="nil"/>
              <w:left w:val="nil"/>
              <w:bottom w:val="single" w:sz="4" w:space="0" w:color="auto"/>
              <w:right w:val="single" w:sz="4" w:space="0" w:color="auto"/>
            </w:tcBorders>
            <w:shd w:val="clear" w:color="000000" w:fill="FFFFFF"/>
            <w:noWrap/>
            <w:vAlign w:val="bottom"/>
            <w:hideMark/>
          </w:tcPr>
          <w:p w14:paraId="742CCA31" w14:textId="77777777" w:rsidR="00827437" w:rsidRPr="00522104" w:rsidRDefault="00827437" w:rsidP="00E40BEE">
            <w:pPr>
              <w:spacing w:after="0" w:line="240" w:lineRule="auto"/>
              <w:jc w:val="right"/>
              <w:rPr>
                <w:rFonts w:ascii="Times New Roman" w:hAnsi="Times New Roman" w:cs="Times New Roman"/>
                <w:b/>
                <w:bCs/>
                <w:color w:val="000000"/>
                <w:sz w:val="20"/>
                <w:szCs w:val="20"/>
              </w:rPr>
            </w:pPr>
            <w:r w:rsidRPr="00522104">
              <w:rPr>
                <w:rFonts w:ascii="Times New Roman" w:hAnsi="Times New Roman" w:cs="Times New Roman"/>
                <w:b/>
                <w:bCs/>
                <w:color w:val="000000"/>
                <w:sz w:val="20"/>
                <w:szCs w:val="20"/>
              </w:rPr>
              <w:t>1 757,1</w:t>
            </w:r>
          </w:p>
        </w:tc>
        <w:tc>
          <w:tcPr>
            <w:tcW w:w="993" w:type="dxa"/>
            <w:tcBorders>
              <w:top w:val="nil"/>
              <w:left w:val="nil"/>
              <w:bottom w:val="single" w:sz="4" w:space="0" w:color="auto"/>
              <w:right w:val="single" w:sz="4" w:space="0" w:color="auto"/>
            </w:tcBorders>
            <w:shd w:val="clear" w:color="000000" w:fill="FFFFFF"/>
            <w:noWrap/>
            <w:vAlign w:val="bottom"/>
            <w:hideMark/>
          </w:tcPr>
          <w:p w14:paraId="7555A180" w14:textId="77777777" w:rsidR="00827437" w:rsidRPr="00522104" w:rsidRDefault="00827437" w:rsidP="00E40BEE">
            <w:pPr>
              <w:spacing w:after="0" w:line="240" w:lineRule="auto"/>
              <w:jc w:val="right"/>
              <w:rPr>
                <w:rFonts w:ascii="Times New Roman" w:hAnsi="Times New Roman" w:cs="Times New Roman"/>
                <w:b/>
                <w:bCs/>
                <w:color w:val="000000"/>
                <w:sz w:val="20"/>
                <w:szCs w:val="20"/>
              </w:rPr>
            </w:pPr>
            <w:r w:rsidRPr="00522104">
              <w:rPr>
                <w:rFonts w:ascii="Times New Roman" w:hAnsi="Times New Roman" w:cs="Times New Roman"/>
                <w:b/>
                <w:bCs/>
                <w:color w:val="000000"/>
                <w:sz w:val="20"/>
                <w:szCs w:val="20"/>
              </w:rPr>
              <w:t>1 215,78</w:t>
            </w:r>
          </w:p>
        </w:tc>
        <w:tc>
          <w:tcPr>
            <w:tcW w:w="888" w:type="dxa"/>
            <w:tcBorders>
              <w:top w:val="nil"/>
              <w:left w:val="nil"/>
              <w:bottom w:val="single" w:sz="4" w:space="0" w:color="auto"/>
              <w:right w:val="single" w:sz="4" w:space="0" w:color="auto"/>
            </w:tcBorders>
            <w:shd w:val="clear" w:color="000000" w:fill="FFFFFF"/>
            <w:noWrap/>
            <w:vAlign w:val="bottom"/>
            <w:hideMark/>
          </w:tcPr>
          <w:p w14:paraId="71219452" w14:textId="77777777" w:rsidR="00827437" w:rsidRPr="00522104" w:rsidRDefault="00827437" w:rsidP="00DE312D">
            <w:pPr>
              <w:spacing w:after="0" w:line="240" w:lineRule="auto"/>
              <w:jc w:val="center"/>
              <w:rPr>
                <w:rFonts w:ascii="Times New Roman" w:hAnsi="Times New Roman" w:cs="Times New Roman"/>
                <w:b/>
                <w:bCs/>
                <w:color w:val="000000"/>
                <w:sz w:val="20"/>
                <w:szCs w:val="20"/>
              </w:rPr>
            </w:pPr>
            <w:r w:rsidRPr="00522104">
              <w:rPr>
                <w:rFonts w:ascii="Times New Roman" w:hAnsi="Times New Roman" w:cs="Times New Roman"/>
                <w:b/>
                <w:bCs/>
                <w:color w:val="000000"/>
                <w:sz w:val="20"/>
                <w:szCs w:val="20"/>
              </w:rPr>
              <w:t>515, 84</w:t>
            </w:r>
          </w:p>
        </w:tc>
        <w:tc>
          <w:tcPr>
            <w:tcW w:w="954" w:type="dxa"/>
            <w:tcBorders>
              <w:top w:val="nil"/>
              <w:left w:val="nil"/>
              <w:bottom w:val="single" w:sz="4" w:space="0" w:color="auto"/>
              <w:right w:val="single" w:sz="4" w:space="0" w:color="auto"/>
            </w:tcBorders>
            <w:shd w:val="clear" w:color="000000" w:fill="FFFFFF"/>
            <w:noWrap/>
            <w:vAlign w:val="bottom"/>
          </w:tcPr>
          <w:p w14:paraId="3044127D" w14:textId="77777777" w:rsidR="00827437" w:rsidRPr="00522104" w:rsidRDefault="00827437" w:rsidP="00E40BEE">
            <w:pPr>
              <w:spacing w:after="0" w:line="240" w:lineRule="auto"/>
              <w:jc w:val="right"/>
              <w:rPr>
                <w:rFonts w:ascii="Times New Roman" w:eastAsia="Times New Roman" w:hAnsi="Times New Roman" w:cs="Times New Roman"/>
                <w:b/>
                <w:color w:val="000000"/>
                <w:sz w:val="20"/>
                <w:szCs w:val="20"/>
                <w:lang w:eastAsia="ru-RU"/>
              </w:rPr>
            </w:pPr>
            <w:r w:rsidRPr="00522104">
              <w:rPr>
                <w:rFonts w:ascii="Times New Roman" w:eastAsia="Times New Roman" w:hAnsi="Times New Roman" w:cs="Times New Roman"/>
                <w:b/>
                <w:color w:val="000000"/>
                <w:sz w:val="20"/>
                <w:szCs w:val="20"/>
                <w:lang w:eastAsia="ru-RU"/>
              </w:rPr>
              <w:t>712,54</w:t>
            </w:r>
          </w:p>
        </w:tc>
        <w:tc>
          <w:tcPr>
            <w:tcW w:w="810" w:type="dxa"/>
            <w:tcBorders>
              <w:top w:val="nil"/>
              <w:left w:val="nil"/>
              <w:bottom w:val="single" w:sz="4" w:space="0" w:color="auto"/>
              <w:right w:val="single" w:sz="4" w:space="0" w:color="auto"/>
            </w:tcBorders>
            <w:shd w:val="clear" w:color="000000" w:fill="FFFFFF"/>
            <w:noWrap/>
            <w:vAlign w:val="bottom"/>
          </w:tcPr>
          <w:p w14:paraId="3E861343" w14:textId="77777777" w:rsidR="00827437" w:rsidRPr="00522104" w:rsidRDefault="00827437" w:rsidP="00E40BEE">
            <w:pPr>
              <w:spacing w:after="0" w:line="240" w:lineRule="auto"/>
              <w:jc w:val="right"/>
              <w:rPr>
                <w:rFonts w:ascii="Times New Roman" w:eastAsia="Times New Roman" w:hAnsi="Times New Roman" w:cs="Times New Roman"/>
                <w:b/>
                <w:color w:val="000000"/>
                <w:sz w:val="20"/>
                <w:szCs w:val="20"/>
                <w:lang w:eastAsia="ru-RU"/>
              </w:rPr>
            </w:pPr>
            <w:r w:rsidRPr="00522104">
              <w:rPr>
                <w:rFonts w:ascii="Times New Roman" w:eastAsia="Times New Roman" w:hAnsi="Times New Roman" w:cs="Times New Roman"/>
                <w:b/>
                <w:color w:val="000000"/>
                <w:sz w:val="20"/>
                <w:szCs w:val="20"/>
                <w:lang w:eastAsia="ru-RU"/>
              </w:rPr>
              <w:t>168,21</w:t>
            </w:r>
          </w:p>
        </w:tc>
      </w:tr>
      <w:tr w:rsidR="00827437" w:rsidRPr="00522104" w14:paraId="22848B4F" w14:textId="77777777" w:rsidTr="00E61B50">
        <w:trPr>
          <w:trHeight w:val="499"/>
        </w:trPr>
        <w:tc>
          <w:tcPr>
            <w:tcW w:w="2978" w:type="dxa"/>
            <w:tcBorders>
              <w:top w:val="nil"/>
              <w:left w:val="single" w:sz="4" w:space="0" w:color="auto"/>
              <w:bottom w:val="single" w:sz="4" w:space="0" w:color="auto"/>
              <w:right w:val="single" w:sz="4" w:space="0" w:color="auto"/>
            </w:tcBorders>
            <w:shd w:val="clear" w:color="000000" w:fill="FFFFFF"/>
            <w:hideMark/>
          </w:tcPr>
          <w:p w14:paraId="16F3279F" w14:textId="77777777" w:rsidR="00827437" w:rsidRPr="00074B2C" w:rsidRDefault="00827437" w:rsidP="00E40BEE">
            <w:pPr>
              <w:spacing w:after="0" w:line="240" w:lineRule="auto"/>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"Создание и развитие системы газоснабжения Приморского края"</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0943B769"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859,00</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5DFF6EA"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585,73</w:t>
            </w:r>
          </w:p>
        </w:tc>
        <w:tc>
          <w:tcPr>
            <w:tcW w:w="992" w:type="dxa"/>
            <w:tcBorders>
              <w:top w:val="nil"/>
              <w:left w:val="nil"/>
              <w:bottom w:val="single" w:sz="4" w:space="0" w:color="auto"/>
              <w:right w:val="single" w:sz="4" w:space="0" w:color="auto"/>
            </w:tcBorders>
            <w:shd w:val="clear" w:color="000000" w:fill="FFFFFF"/>
            <w:noWrap/>
            <w:vAlign w:val="bottom"/>
          </w:tcPr>
          <w:p w14:paraId="7C101239"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1246,51</w:t>
            </w:r>
          </w:p>
        </w:tc>
        <w:tc>
          <w:tcPr>
            <w:tcW w:w="993" w:type="dxa"/>
            <w:tcBorders>
              <w:top w:val="nil"/>
              <w:left w:val="nil"/>
              <w:bottom w:val="single" w:sz="4" w:space="0" w:color="auto"/>
              <w:right w:val="single" w:sz="4" w:space="0" w:color="auto"/>
            </w:tcBorders>
            <w:shd w:val="clear" w:color="000000" w:fill="FFFFFF"/>
            <w:noWrap/>
            <w:vAlign w:val="bottom"/>
          </w:tcPr>
          <w:p w14:paraId="0F97FCC9"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1042,55</w:t>
            </w:r>
          </w:p>
        </w:tc>
        <w:tc>
          <w:tcPr>
            <w:tcW w:w="888" w:type="dxa"/>
            <w:tcBorders>
              <w:top w:val="nil"/>
              <w:left w:val="nil"/>
              <w:bottom w:val="single" w:sz="4" w:space="0" w:color="auto"/>
              <w:right w:val="single" w:sz="4" w:space="0" w:color="auto"/>
            </w:tcBorders>
            <w:shd w:val="clear" w:color="000000" w:fill="FFFFFF"/>
            <w:noWrap/>
            <w:vAlign w:val="bottom"/>
          </w:tcPr>
          <w:p w14:paraId="54C96A09" w14:textId="77777777" w:rsidR="00827437" w:rsidRPr="00074B2C" w:rsidRDefault="00827437" w:rsidP="00DE312D">
            <w:pPr>
              <w:spacing w:after="0" w:line="240" w:lineRule="auto"/>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346,50</w:t>
            </w:r>
          </w:p>
        </w:tc>
        <w:tc>
          <w:tcPr>
            <w:tcW w:w="954" w:type="dxa"/>
            <w:tcBorders>
              <w:top w:val="nil"/>
              <w:left w:val="nil"/>
              <w:bottom w:val="single" w:sz="4" w:space="0" w:color="auto"/>
              <w:right w:val="single" w:sz="4" w:space="0" w:color="auto"/>
            </w:tcBorders>
            <w:shd w:val="clear" w:color="000000" w:fill="FFFFFF"/>
            <w:noWrap/>
            <w:vAlign w:val="bottom"/>
          </w:tcPr>
          <w:p w14:paraId="4DF5ABE4"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660,78</w:t>
            </w:r>
          </w:p>
        </w:tc>
        <w:tc>
          <w:tcPr>
            <w:tcW w:w="810" w:type="dxa"/>
            <w:tcBorders>
              <w:top w:val="nil"/>
              <w:left w:val="nil"/>
              <w:bottom w:val="single" w:sz="4" w:space="0" w:color="auto"/>
              <w:right w:val="single" w:sz="4" w:space="0" w:color="auto"/>
            </w:tcBorders>
            <w:shd w:val="clear" w:color="000000" w:fill="FFFFFF"/>
            <w:noWrap/>
            <w:vAlign w:val="bottom"/>
          </w:tcPr>
          <w:p w14:paraId="64D034C0"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212,81</w:t>
            </w:r>
          </w:p>
        </w:tc>
      </w:tr>
      <w:tr w:rsidR="00827437" w:rsidRPr="00522104" w14:paraId="1C23623F" w14:textId="77777777" w:rsidTr="00E61B50">
        <w:trPr>
          <w:trHeight w:val="273"/>
        </w:trPr>
        <w:tc>
          <w:tcPr>
            <w:tcW w:w="2978" w:type="dxa"/>
            <w:tcBorders>
              <w:top w:val="nil"/>
              <w:left w:val="single" w:sz="4" w:space="0" w:color="auto"/>
              <w:bottom w:val="single" w:sz="4" w:space="0" w:color="auto"/>
              <w:right w:val="single" w:sz="4" w:space="0" w:color="auto"/>
            </w:tcBorders>
            <w:shd w:val="clear" w:color="000000" w:fill="FFFFFF"/>
            <w:hideMark/>
          </w:tcPr>
          <w:p w14:paraId="51E11C35" w14:textId="77777777" w:rsidR="00827437" w:rsidRPr="00074B2C" w:rsidRDefault="00827437" w:rsidP="00E40BEE">
            <w:pPr>
              <w:spacing w:after="0" w:line="240" w:lineRule="auto"/>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"Развитие энергетики в Приморском крае"</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4403F42C"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26,52</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6BB0A6F"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15,72</w:t>
            </w:r>
          </w:p>
        </w:tc>
        <w:tc>
          <w:tcPr>
            <w:tcW w:w="992" w:type="dxa"/>
            <w:tcBorders>
              <w:top w:val="nil"/>
              <w:left w:val="nil"/>
              <w:bottom w:val="single" w:sz="4" w:space="0" w:color="auto"/>
              <w:right w:val="single" w:sz="4" w:space="0" w:color="auto"/>
            </w:tcBorders>
            <w:shd w:val="clear" w:color="000000" w:fill="FFFFFF"/>
            <w:noWrap/>
            <w:vAlign w:val="bottom"/>
          </w:tcPr>
          <w:p w14:paraId="308C24FC"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32,24</w:t>
            </w:r>
          </w:p>
        </w:tc>
        <w:tc>
          <w:tcPr>
            <w:tcW w:w="993" w:type="dxa"/>
            <w:tcBorders>
              <w:top w:val="nil"/>
              <w:left w:val="nil"/>
              <w:bottom w:val="single" w:sz="4" w:space="0" w:color="auto"/>
              <w:right w:val="single" w:sz="4" w:space="0" w:color="auto"/>
            </w:tcBorders>
            <w:shd w:val="clear" w:color="000000" w:fill="FFFFFF"/>
            <w:noWrap/>
            <w:vAlign w:val="bottom"/>
          </w:tcPr>
          <w:p w14:paraId="0B73972A"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33,23</w:t>
            </w:r>
          </w:p>
        </w:tc>
        <w:tc>
          <w:tcPr>
            <w:tcW w:w="888" w:type="dxa"/>
            <w:tcBorders>
              <w:top w:val="nil"/>
              <w:left w:val="nil"/>
              <w:bottom w:val="single" w:sz="4" w:space="0" w:color="auto"/>
              <w:right w:val="single" w:sz="4" w:space="0" w:color="auto"/>
            </w:tcBorders>
            <w:shd w:val="clear" w:color="000000" w:fill="FFFFFF"/>
            <w:noWrap/>
            <w:vAlign w:val="bottom"/>
          </w:tcPr>
          <w:p w14:paraId="6C7AE1E6" w14:textId="77777777" w:rsidR="00827437" w:rsidRPr="00074B2C" w:rsidRDefault="00827437" w:rsidP="00DE312D">
            <w:pPr>
              <w:spacing w:after="0" w:line="240" w:lineRule="auto"/>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29,34</w:t>
            </w:r>
          </w:p>
        </w:tc>
        <w:tc>
          <w:tcPr>
            <w:tcW w:w="954" w:type="dxa"/>
            <w:tcBorders>
              <w:top w:val="nil"/>
              <w:left w:val="nil"/>
              <w:bottom w:val="single" w:sz="4" w:space="0" w:color="auto"/>
              <w:right w:val="single" w:sz="4" w:space="0" w:color="auto"/>
            </w:tcBorders>
            <w:shd w:val="clear" w:color="000000" w:fill="FFFFFF"/>
            <w:noWrap/>
            <w:vAlign w:val="bottom"/>
          </w:tcPr>
          <w:p w14:paraId="413924DF"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16,52</w:t>
            </w:r>
          </w:p>
        </w:tc>
        <w:tc>
          <w:tcPr>
            <w:tcW w:w="810" w:type="dxa"/>
            <w:tcBorders>
              <w:top w:val="nil"/>
              <w:left w:val="nil"/>
              <w:bottom w:val="single" w:sz="4" w:space="0" w:color="auto"/>
              <w:right w:val="single" w:sz="4" w:space="0" w:color="auto"/>
            </w:tcBorders>
            <w:shd w:val="clear" w:color="000000" w:fill="FFFFFF"/>
            <w:noWrap/>
            <w:vAlign w:val="bottom"/>
          </w:tcPr>
          <w:p w14:paraId="484863A4"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205,09</w:t>
            </w:r>
          </w:p>
        </w:tc>
      </w:tr>
      <w:tr w:rsidR="00827437" w:rsidRPr="00522104" w14:paraId="603A69DF" w14:textId="77777777" w:rsidTr="00E61B50">
        <w:trPr>
          <w:trHeight w:val="473"/>
        </w:trPr>
        <w:tc>
          <w:tcPr>
            <w:tcW w:w="2978" w:type="dxa"/>
            <w:tcBorders>
              <w:top w:val="nil"/>
              <w:left w:val="single" w:sz="4" w:space="0" w:color="auto"/>
              <w:bottom w:val="single" w:sz="4" w:space="0" w:color="auto"/>
              <w:right w:val="single" w:sz="4" w:space="0" w:color="auto"/>
            </w:tcBorders>
            <w:shd w:val="clear" w:color="000000" w:fill="FFFFFF"/>
            <w:hideMark/>
          </w:tcPr>
          <w:p w14:paraId="147CD24C" w14:textId="77777777" w:rsidR="00827437" w:rsidRPr="00074B2C" w:rsidRDefault="00827437" w:rsidP="00E40BEE">
            <w:pPr>
              <w:spacing w:after="0" w:line="240" w:lineRule="auto"/>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"Энергосбережение и повышение энергетической эффективности в Приморском крае"</w:t>
            </w:r>
          </w:p>
        </w:tc>
        <w:tc>
          <w:tcPr>
            <w:tcW w:w="992" w:type="dxa"/>
            <w:tcBorders>
              <w:top w:val="single" w:sz="4" w:space="0" w:color="auto"/>
              <w:left w:val="nil"/>
              <w:bottom w:val="single" w:sz="4" w:space="0" w:color="auto"/>
              <w:right w:val="single" w:sz="4" w:space="0" w:color="auto"/>
            </w:tcBorders>
            <w:shd w:val="clear" w:color="000000" w:fill="FFFFFF"/>
            <w:vAlign w:val="bottom"/>
          </w:tcPr>
          <w:p w14:paraId="139C650F"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1004,81</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1DDB3CF"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443,11</w:t>
            </w:r>
          </w:p>
        </w:tc>
        <w:tc>
          <w:tcPr>
            <w:tcW w:w="992" w:type="dxa"/>
            <w:tcBorders>
              <w:top w:val="nil"/>
              <w:left w:val="nil"/>
              <w:bottom w:val="single" w:sz="4" w:space="0" w:color="auto"/>
              <w:right w:val="single" w:sz="4" w:space="0" w:color="auto"/>
            </w:tcBorders>
            <w:shd w:val="clear" w:color="000000" w:fill="FFFFFF"/>
            <w:noWrap/>
            <w:vAlign w:val="bottom"/>
          </w:tcPr>
          <w:p w14:paraId="6147F15A"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478,35</w:t>
            </w:r>
          </w:p>
        </w:tc>
        <w:tc>
          <w:tcPr>
            <w:tcW w:w="993" w:type="dxa"/>
            <w:tcBorders>
              <w:top w:val="nil"/>
              <w:left w:val="nil"/>
              <w:bottom w:val="single" w:sz="4" w:space="0" w:color="auto"/>
              <w:right w:val="single" w:sz="4" w:space="0" w:color="auto"/>
            </w:tcBorders>
            <w:shd w:val="clear" w:color="000000" w:fill="FFFFFF"/>
            <w:noWrap/>
            <w:vAlign w:val="bottom"/>
          </w:tcPr>
          <w:p w14:paraId="2002EBEE"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140,00</w:t>
            </w:r>
          </w:p>
        </w:tc>
        <w:tc>
          <w:tcPr>
            <w:tcW w:w="888" w:type="dxa"/>
            <w:tcBorders>
              <w:top w:val="nil"/>
              <w:left w:val="nil"/>
              <w:bottom w:val="single" w:sz="4" w:space="0" w:color="auto"/>
              <w:right w:val="single" w:sz="4" w:space="0" w:color="auto"/>
            </w:tcBorders>
            <w:shd w:val="clear" w:color="000000" w:fill="FFFFFF"/>
            <w:noWrap/>
            <w:vAlign w:val="bottom"/>
          </w:tcPr>
          <w:p w14:paraId="2B21C1F5" w14:textId="1A500E64" w:rsidR="00827437" w:rsidRPr="00074B2C" w:rsidRDefault="00827437" w:rsidP="00E40BEE">
            <w:pPr>
              <w:tabs>
                <w:tab w:val="left" w:pos="335"/>
              </w:tabs>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140,00</w:t>
            </w:r>
          </w:p>
        </w:tc>
        <w:tc>
          <w:tcPr>
            <w:tcW w:w="954" w:type="dxa"/>
            <w:tcBorders>
              <w:top w:val="nil"/>
              <w:left w:val="nil"/>
              <w:bottom w:val="single" w:sz="4" w:space="0" w:color="auto"/>
              <w:right w:val="single" w:sz="4" w:space="0" w:color="auto"/>
            </w:tcBorders>
            <w:shd w:val="clear" w:color="000000" w:fill="FFFFFF"/>
            <w:noWrap/>
            <w:vAlign w:val="bottom"/>
          </w:tcPr>
          <w:p w14:paraId="491AAC32"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35,24</w:t>
            </w:r>
          </w:p>
        </w:tc>
        <w:tc>
          <w:tcPr>
            <w:tcW w:w="810" w:type="dxa"/>
            <w:tcBorders>
              <w:top w:val="nil"/>
              <w:left w:val="nil"/>
              <w:bottom w:val="single" w:sz="4" w:space="0" w:color="auto"/>
              <w:right w:val="single" w:sz="4" w:space="0" w:color="auto"/>
            </w:tcBorders>
            <w:shd w:val="clear" w:color="000000" w:fill="FFFFFF"/>
            <w:noWrap/>
            <w:vAlign w:val="bottom"/>
          </w:tcPr>
          <w:p w14:paraId="1F4CCBFD" w14:textId="77777777" w:rsidR="00827437" w:rsidRPr="00074B2C"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107,95</w:t>
            </w:r>
          </w:p>
        </w:tc>
      </w:tr>
    </w:tbl>
    <w:p w14:paraId="3BFC7C5C" w14:textId="77777777" w:rsidR="00827437" w:rsidRPr="00522104" w:rsidRDefault="00827437" w:rsidP="00827437">
      <w:pPr>
        <w:spacing w:after="0" w:line="240" w:lineRule="auto"/>
        <w:jc w:val="both"/>
        <w:outlineLvl w:val="4"/>
        <w:rPr>
          <w:rFonts w:ascii="Times New Roman" w:eastAsia="Times New Roman" w:hAnsi="Times New Roman" w:cs="Times New Roman"/>
          <w:sz w:val="28"/>
          <w:szCs w:val="28"/>
          <w:lang w:eastAsia="ru-RU"/>
        </w:rPr>
      </w:pPr>
    </w:p>
    <w:p w14:paraId="603BA1EC" w14:textId="4C37A16F"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
          <w:i/>
          <w:sz w:val="28"/>
          <w:szCs w:val="28"/>
        </w:rPr>
        <w:t>По подпрограмме "Создание и развитие системы газоснабжения Приморского края"</w:t>
      </w:r>
      <w:r w:rsidRPr="00522104">
        <w:rPr>
          <w:rFonts w:ascii="Times New Roman" w:eastAsia="Times New Roman" w:hAnsi="Times New Roman" w:cs="Times New Roman"/>
          <w:sz w:val="28"/>
          <w:szCs w:val="28"/>
          <w:lang w:eastAsia="ru-RU"/>
        </w:rPr>
        <w:t xml:space="preserve"> законопроектом на 2022 год планируются бюджетные ассигнования </w:t>
      </w:r>
      <w:r w:rsidRPr="00522104">
        <w:rPr>
          <w:rFonts w:ascii="Times New Roman" w:hAnsi="Times New Roman" w:cs="Times New Roman"/>
          <w:bCs/>
          <w:iCs/>
          <w:sz w:val="28"/>
          <w:szCs w:val="28"/>
        </w:rPr>
        <w:t>министерству энергетики и газоснабжения Приморского края</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в размере 1246,51 млн рублей с увеличением на 660,78 млн рублей, или в 2,12 раза к утвержденным назначениям (585,73 млн рублей). Средства планируются направить на с</w:t>
      </w:r>
      <w:r w:rsidRPr="00522104">
        <w:rPr>
          <w:rFonts w:ascii="Times New Roman" w:hAnsi="Times New Roman" w:cs="Times New Roman"/>
          <w:sz w:val="28"/>
          <w:szCs w:val="28"/>
        </w:rPr>
        <w:t>оздание и развитие системы газоснабжения 6 муниципальных образований</w:t>
      </w:r>
      <w:r w:rsidRPr="00522104">
        <w:t xml:space="preserve"> </w:t>
      </w:r>
      <w:r w:rsidRPr="00522104">
        <w:rPr>
          <w:rFonts w:ascii="Times New Roman" w:hAnsi="Times New Roman" w:cs="Times New Roman"/>
          <w:sz w:val="28"/>
          <w:szCs w:val="28"/>
        </w:rPr>
        <w:t>по 13 объектам, входящим в адресную инвестиционную программу Приморского края, из них по 6 объектам отсутствует ПСД (Владивостокскому ГО – 30,33 млн рублей на распределительный газопровод от ГРП "Пригород-1" для газоснабжения муниципальной котельной № 61 и распределительный газопровод до муниципальной котельной № 79; Находкинско</w:t>
      </w:r>
      <w:r w:rsidR="00D64DB7" w:rsidRPr="00522104">
        <w:rPr>
          <w:rFonts w:ascii="Times New Roman" w:hAnsi="Times New Roman" w:cs="Times New Roman"/>
          <w:sz w:val="28"/>
          <w:szCs w:val="28"/>
        </w:rPr>
        <w:t>му</w:t>
      </w:r>
      <w:r w:rsidRPr="00522104">
        <w:rPr>
          <w:rFonts w:ascii="Times New Roman" w:hAnsi="Times New Roman" w:cs="Times New Roman"/>
          <w:sz w:val="28"/>
          <w:szCs w:val="28"/>
        </w:rPr>
        <w:t xml:space="preserve"> ГО; Надеждинск</w:t>
      </w:r>
      <w:r w:rsidR="00D64DB7" w:rsidRPr="00522104">
        <w:rPr>
          <w:rFonts w:ascii="Times New Roman" w:hAnsi="Times New Roman" w:cs="Times New Roman"/>
          <w:sz w:val="28"/>
          <w:szCs w:val="28"/>
        </w:rPr>
        <w:t>ому</w:t>
      </w:r>
      <w:r w:rsidRPr="00522104">
        <w:rPr>
          <w:rFonts w:ascii="Times New Roman" w:hAnsi="Times New Roman" w:cs="Times New Roman"/>
          <w:sz w:val="28"/>
          <w:szCs w:val="28"/>
        </w:rPr>
        <w:t xml:space="preserve"> МР); </w:t>
      </w:r>
    </w:p>
    <w:p w14:paraId="6ABFC608" w14:textId="77777777" w:rsidR="00827437" w:rsidRPr="00522104" w:rsidRDefault="00827437" w:rsidP="00827437">
      <w:pPr>
        <w:spacing w:after="0" w:line="240" w:lineRule="auto"/>
        <w:ind w:firstLine="709"/>
        <w:jc w:val="both"/>
        <w:rPr>
          <w:rFonts w:ascii="Times New Roman" w:hAnsi="Times New Roman" w:cs="Times New Roman"/>
          <w:i/>
          <w:color w:val="000000" w:themeColor="text1"/>
          <w:sz w:val="28"/>
          <w:szCs w:val="28"/>
        </w:rPr>
      </w:pPr>
      <w:r w:rsidRPr="00522104">
        <w:rPr>
          <w:rFonts w:ascii="Times New Roman" w:hAnsi="Times New Roman" w:cs="Times New Roman"/>
          <w:i/>
          <w:color w:val="000000" w:themeColor="text1"/>
          <w:sz w:val="28"/>
          <w:szCs w:val="28"/>
        </w:rPr>
        <w:t>Справочно:</w:t>
      </w:r>
      <w:r w:rsidRPr="00522104">
        <w:rPr>
          <w:rFonts w:ascii="Times New Roman" w:hAnsi="Times New Roman" w:cs="Times New Roman"/>
          <w:sz w:val="28"/>
          <w:szCs w:val="28"/>
        </w:rPr>
        <w:t xml:space="preserve"> </w:t>
      </w:r>
      <w:r w:rsidRPr="00522104">
        <w:rPr>
          <w:rFonts w:ascii="Times New Roman" w:hAnsi="Times New Roman" w:cs="Times New Roman"/>
          <w:i/>
          <w:color w:val="000000" w:themeColor="text1"/>
          <w:sz w:val="28"/>
          <w:szCs w:val="28"/>
        </w:rPr>
        <w:t>на исполнение мероприятий по подпрограмме "Создание и развитие системы газоснабжения Приморского края" на 2021 год по министерству энергетики и газоснабжения Приморского края предусмотрены бюджетные ассигнования в сумме 859,0 млн рублей.</w:t>
      </w:r>
    </w:p>
    <w:p w14:paraId="5A1CFEF1" w14:textId="77777777" w:rsidR="00827437" w:rsidRPr="00522104" w:rsidRDefault="00827437" w:rsidP="00827437">
      <w:pPr>
        <w:spacing w:after="0" w:line="240" w:lineRule="auto"/>
        <w:ind w:firstLine="709"/>
        <w:jc w:val="both"/>
        <w:rPr>
          <w:rFonts w:ascii="Times New Roman" w:hAnsi="Times New Roman" w:cs="Times New Roman"/>
          <w:i/>
          <w:color w:val="000000" w:themeColor="text1"/>
          <w:sz w:val="28"/>
          <w:szCs w:val="28"/>
        </w:rPr>
      </w:pPr>
      <w:r w:rsidRPr="00522104">
        <w:rPr>
          <w:rFonts w:ascii="Times New Roman" w:hAnsi="Times New Roman" w:cs="Times New Roman"/>
          <w:i/>
          <w:color w:val="000000" w:themeColor="text1"/>
          <w:sz w:val="28"/>
          <w:szCs w:val="28"/>
        </w:rPr>
        <w:t xml:space="preserve">По состоянию на 01.10.2021 исполнение мероприятия </w:t>
      </w:r>
      <w:r w:rsidRPr="00522104">
        <w:rPr>
          <w:rFonts w:ascii="Times New Roman" w:hAnsi="Times New Roman" w:cs="Times New Roman"/>
          <w:i/>
          <w:sz w:val="28"/>
          <w:szCs w:val="28"/>
        </w:rPr>
        <w:t>составило 9,1 % (53,45 млн рублей). Не исполнены назначения в сумме 532,28 млн рублей, из них:</w:t>
      </w:r>
    </w:p>
    <w:p w14:paraId="256D3BD1" w14:textId="760C3509"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i/>
          <w:color w:val="000000" w:themeColor="text1"/>
          <w:sz w:val="28"/>
          <w:szCs w:val="28"/>
        </w:rPr>
        <w:t xml:space="preserve">по переводу котельных на использование природного газа по Уссурийскому городскому округу </w:t>
      </w:r>
      <w:r w:rsidR="00D64DB7" w:rsidRPr="00522104">
        <w:rPr>
          <w:rFonts w:ascii="Times New Roman" w:hAnsi="Times New Roman" w:cs="Times New Roman"/>
          <w:i/>
          <w:color w:val="000000" w:themeColor="text1"/>
          <w:sz w:val="28"/>
          <w:szCs w:val="28"/>
        </w:rPr>
        <w:t>–</w:t>
      </w:r>
      <w:r w:rsidRPr="00522104">
        <w:rPr>
          <w:rFonts w:ascii="Times New Roman" w:hAnsi="Times New Roman" w:cs="Times New Roman"/>
          <w:i/>
          <w:color w:val="000000" w:themeColor="text1"/>
          <w:sz w:val="28"/>
          <w:szCs w:val="28"/>
        </w:rPr>
        <w:t xml:space="preserve"> 53,45 млн рублей, срок выполнения работ по условиям соглашений до конца 2021 год</w:t>
      </w:r>
      <w:r w:rsidR="00D64DB7" w:rsidRPr="00522104">
        <w:rPr>
          <w:rFonts w:ascii="Times New Roman" w:hAnsi="Times New Roman" w:cs="Times New Roman"/>
          <w:i/>
          <w:color w:val="000000" w:themeColor="text1"/>
          <w:sz w:val="28"/>
          <w:szCs w:val="28"/>
        </w:rPr>
        <w:t>а</w:t>
      </w:r>
      <w:r w:rsidRPr="00522104">
        <w:rPr>
          <w:rFonts w:ascii="Times New Roman" w:hAnsi="Times New Roman" w:cs="Times New Roman"/>
          <w:i/>
          <w:color w:val="000000" w:themeColor="text1"/>
          <w:sz w:val="28"/>
          <w:szCs w:val="28"/>
        </w:rPr>
        <w:t>;</w:t>
      </w:r>
    </w:p>
    <w:p w14:paraId="6A9C99B7"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i/>
          <w:sz w:val="28"/>
          <w:szCs w:val="28"/>
        </w:rPr>
        <w:t>по с</w:t>
      </w:r>
      <w:r w:rsidRPr="00522104">
        <w:rPr>
          <w:rFonts w:ascii="Times New Roman" w:hAnsi="Times New Roman" w:cs="Times New Roman"/>
          <w:i/>
          <w:color w:val="000000" w:themeColor="text1"/>
          <w:sz w:val="28"/>
          <w:szCs w:val="28"/>
        </w:rPr>
        <w:t>троительству газопроводов в городских округах Большой Камень, Спасск-Дальний, Уссурийском, Находкинском,</w:t>
      </w:r>
      <w:r w:rsidRPr="00522104">
        <w:rPr>
          <w:rFonts w:ascii="Times New Roman" w:hAnsi="Times New Roman" w:cs="Times New Roman"/>
          <w:sz w:val="28"/>
          <w:szCs w:val="28"/>
        </w:rPr>
        <w:t xml:space="preserve"> </w:t>
      </w:r>
      <w:r w:rsidRPr="00522104">
        <w:rPr>
          <w:rFonts w:ascii="Times New Roman" w:hAnsi="Times New Roman" w:cs="Times New Roman"/>
          <w:i/>
          <w:color w:val="000000" w:themeColor="text1"/>
          <w:sz w:val="28"/>
          <w:szCs w:val="28"/>
        </w:rPr>
        <w:t>Надеждинском и Спасском муниципальных районах не выполнены. В течение 9 месяцев 2021 года производилась разработка графиков выполнения работ и графиков оплаты, вносились изменения в план-график выполнения работ, проводились аукционы, заключались контракты на строительство газопроводов.</w:t>
      </w:r>
      <w:r w:rsidRPr="00522104">
        <w:rPr>
          <w:rFonts w:ascii="Times New Roman" w:hAnsi="Times New Roman" w:cs="Times New Roman"/>
          <w:sz w:val="28"/>
          <w:szCs w:val="28"/>
        </w:rPr>
        <w:t xml:space="preserve"> </w:t>
      </w:r>
    </w:p>
    <w:p w14:paraId="14C1E4B0" w14:textId="4AD80D05" w:rsidR="00827437" w:rsidRPr="00522104" w:rsidRDefault="00827437" w:rsidP="00827437">
      <w:pPr>
        <w:spacing w:after="0" w:line="240" w:lineRule="auto"/>
        <w:ind w:firstLine="709"/>
        <w:jc w:val="both"/>
        <w:rPr>
          <w:rFonts w:ascii="Times New Roman" w:hAnsi="Times New Roman" w:cs="Times New Roman"/>
          <w:b/>
          <w:i/>
          <w:color w:val="000000" w:themeColor="text1"/>
          <w:sz w:val="28"/>
          <w:szCs w:val="28"/>
        </w:rPr>
      </w:pPr>
      <w:r w:rsidRPr="00522104">
        <w:rPr>
          <w:rFonts w:ascii="Times New Roman" w:hAnsi="Times New Roman" w:cs="Times New Roman"/>
          <w:b/>
          <w:i/>
          <w:color w:val="000000" w:themeColor="text1"/>
          <w:sz w:val="28"/>
          <w:szCs w:val="28"/>
        </w:rPr>
        <w:t xml:space="preserve">По подпрограмме "Развитие энергетики в Приморском крае" </w:t>
      </w:r>
      <w:r w:rsidRPr="00522104">
        <w:rPr>
          <w:rFonts w:ascii="Times New Roman" w:eastAsia="Times New Roman" w:hAnsi="Times New Roman" w:cs="Times New Roman"/>
          <w:sz w:val="28"/>
          <w:szCs w:val="28"/>
          <w:lang w:eastAsia="ru-RU"/>
        </w:rPr>
        <w:t xml:space="preserve">на 2022 год планируются бюджетные ассигнования </w:t>
      </w:r>
      <w:r w:rsidRPr="00522104">
        <w:rPr>
          <w:rFonts w:ascii="Times New Roman" w:hAnsi="Times New Roman" w:cs="Times New Roman"/>
          <w:bCs/>
          <w:iCs/>
          <w:sz w:val="28"/>
          <w:szCs w:val="28"/>
        </w:rPr>
        <w:t>министерству энергетики и газоснабжения Приморского края</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8"/>
          <w:lang w:eastAsia="ru-RU"/>
        </w:rPr>
        <w:t>в размере 32,24 млн рублей с увеличением на 16,52 млн рублей, в 2,0 раза к утвержденным назначениям (15,72 млн рублей) и на 5,72 млн рублей к утвержденным назначениям на 2021 год (26,52</w:t>
      </w:r>
      <w:r w:rsidR="00D64DB7"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млн рублей).</w:t>
      </w:r>
    </w:p>
    <w:p w14:paraId="6D6EFA4B" w14:textId="77777777" w:rsidR="00827437" w:rsidRPr="00522104" w:rsidRDefault="00827437" w:rsidP="00827437">
      <w:pPr>
        <w:spacing w:after="0" w:line="240" w:lineRule="auto"/>
        <w:ind w:firstLine="709"/>
        <w:jc w:val="both"/>
        <w:rPr>
          <w:rFonts w:ascii="Times New Roman" w:eastAsia="Times New Roman" w:hAnsi="Times New Roman" w:cs="Times New Roman"/>
          <w:color w:val="000000" w:themeColor="text1"/>
          <w:sz w:val="28"/>
          <w:szCs w:val="24"/>
          <w:lang w:eastAsia="ru-RU"/>
        </w:rPr>
      </w:pPr>
      <w:r w:rsidRPr="00522104">
        <w:rPr>
          <w:rFonts w:ascii="Times New Roman" w:eastAsia="Times New Roman" w:hAnsi="Times New Roman" w:cs="Times New Roman"/>
          <w:color w:val="000000" w:themeColor="text1"/>
          <w:sz w:val="28"/>
          <w:szCs w:val="24"/>
          <w:lang w:eastAsia="ru-RU"/>
        </w:rPr>
        <w:t>В законопроекте на 2022 год запланированы расходы за счет средств краевого бюджета на</w:t>
      </w:r>
      <w:r w:rsidRPr="00522104">
        <w:rPr>
          <w:rFonts w:ascii="Times New Roman" w:eastAsia="Times New Roman" w:hAnsi="Times New Roman" w:cs="Times New Roman"/>
          <w:color w:val="FF0000"/>
          <w:sz w:val="28"/>
          <w:szCs w:val="24"/>
          <w:lang w:eastAsia="ru-RU"/>
        </w:rPr>
        <w:t xml:space="preserve"> </w:t>
      </w:r>
      <w:r w:rsidRPr="00522104">
        <w:rPr>
          <w:rFonts w:ascii="Times New Roman" w:eastAsia="Times New Roman" w:hAnsi="Times New Roman" w:cs="Times New Roman"/>
          <w:color w:val="000000" w:themeColor="text1"/>
          <w:sz w:val="28"/>
          <w:szCs w:val="24"/>
          <w:lang w:eastAsia="ru-RU"/>
        </w:rPr>
        <w:t xml:space="preserve">выполнение научно-исследовательской работы по разработке схемы и программы развития электроэнергетики Приморского края на 5-летний период в сумме 4,99 млн рублей (на уровне утвержденных назначений на 2021 год). </w:t>
      </w:r>
    </w:p>
    <w:p w14:paraId="5584FE97" w14:textId="70F056FE" w:rsidR="00827437" w:rsidRPr="00522104" w:rsidRDefault="00827437" w:rsidP="00827437">
      <w:pPr>
        <w:spacing w:after="0" w:line="240" w:lineRule="auto"/>
        <w:ind w:firstLine="709"/>
        <w:jc w:val="both"/>
      </w:pPr>
      <w:r w:rsidRPr="00522104">
        <w:rPr>
          <w:rFonts w:ascii="Times New Roman" w:hAnsi="Times New Roman" w:cs="Times New Roman"/>
          <w:sz w:val="28"/>
          <w:szCs w:val="28"/>
        </w:rPr>
        <w:t xml:space="preserve">Министерством </w:t>
      </w:r>
      <w:r w:rsidRPr="00522104">
        <w:rPr>
          <w:rFonts w:ascii="Times New Roman" w:hAnsi="Times New Roman" w:cs="Times New Roman"/>
          <w:bCs/>
          <w:iCs/>
          <w:sz w:val="28"/>
          <w:szCs w:val="28"/>
        </w:rPr>
        <w:t>энергетики и газоснабжения Приморского края</w:t>
      </w:r>
      <w:r w:rsidRPr="00522104">
        <w:rPr>
          <w:rFonts w:ascii="Times New Roman" w:hAnsi="Times New Roman" w:cs="Times New Roman"/>
          <w:sz w:val="28"/>
          <w:szCs w:val="28"/>
        </w:rPr>
        <w:t xml:space="preserve"> планируется заключить долгосрочный контракт на 2022-2023 годы на выполнение научно-исследовательской работы по разработке схемы и программы развития энергетики Приморского края на 5-летний период с ресурсным обеспечением реализации </w:t>
      </w:r>
      <w:bookmarkStart w:id="6" w:name="__DdeLink__38776_2838190389"/>
      <w:r w:rsidRPr="00522104">
        <w:rPr>
          <w:rFonts w:ascii="Times New Roman" w:hAnsi="Times New Roman" w:cs="Times New Roman"/>
          <w:sz w:val="28"/>
          <w:szCs w:val="28"/>
        </w:rPr>
        <w:t>мероприятия 9,98</w:t>
      </w:r>
      <w:bookmarkEnd w:id="6"/>
      <w:r w:rsidRPr="00522104">
        <w:rPr>
          <w:rFonts w:ascii="Times New Roman" w:hAnsi="Times New Roman" w:cs="Times New Roman"/>
          <w:sz w:val="28"/>
          <w:szCs w:val="28"/>
        </w:rPr>
        <w:t xml:space="preserve"> млн рублей. Работы планируются в 2 этапа: 1 этап </w:t>
      </w:r>
      <w:bookmarkStart w:id="7" w:name="__DdeLink__38634_2838190389"/>
      <w:r w:rsidRPr="00522104">
        <w:rPr>
          <w:rFonts w:ascii="Times New Roman" w:hAnsi="Times New Roman" w:cs="Times New Roman"/>
          <w:sz w:val="28"/>
          <w:szCs w:val="28"/>
        </w:rPr>
        <w:t>выполняется в 2022 году на период 2023-2027 годы</w:t>
      </w:r>
      <w:bookmarkEnd w:id="7"/>
      <w:r w:rsidRPr="00522104">
        <w:rPr>
          <w:rFonts w:ascii="Times New Roman" w:hAnsi="Times New Roman" w:cs="Times New Roman"/>
          <w:sz w:val="28"/>
          <w:szCs w:val="28"/>
        </w:rPr>
        <w:t xml:space="preserve">, срок выполнения работ 120 дней с момента заключения контракта Стоимость 4,99 млн рублей; 2 этап выполняется в 2023 году для периода 2024-2028 годы, срок выполнения работ 120 дней с </w:t>
      </w:r>
      <w:r w:rsidRPr="00522104">
        <w:rPr>
          <w:rFonts w:ascii="Times New Roman" w:eastAsia="Times New Roman" w:hAnsi="Times New Roman" w:cs="Times New Roman"/>
          <w:sz w:val="28"/>
          <w:szCs w:val="28"/>
          <w:lang w:eastAsia="ru-RU"/>
        </w:rPr>
        <w:t>01</w:t>
      </w:r>
      <w:r w:rsidR="00AD5260">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06</w:t>
      </w:r>
      <w:r w:rsidR="00AD5260">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2023, </w:t>
      </w:r>
      <w:r w:rsidRPr="00522104">
        <w:rPr>
          <w:rFonts w:ascii="Times New Roman" w:hAnsi="Times New Roman" w:cs="Times New Roman"/>
          <w:sz w:val="28"/>
          <w:szCs w:val="28"/>
        </w:rPr>
        <w:t>стоимость 4,99 млн рублей.</w:t>
      </w:r>
    </w:p>
    <w:p w14:paraId="6A27BDB2" w14:textId="46D9E5D6" w:rsidR="00827437" w:rsidRPr="00522104" w:rsidRDefault="00827437" w:rsidP="00827437">
      <w:pPr>
        <w:spacing w:after="0" w:line="240" w:lineRule="auto"/>
        <w:ind w:firstLine="709"/>
        <w:jc w:val="both"/>
        <w:rPr>
          <w:rFonts w:ascii="Times New Roman" w:hAnsi="Times New Roman" w:cs="Times New Roman"/>
          <w:color w:val="000000" w:themeColor="text1"/>
          <w:sz w:val="28"/>
          <w:szCs w:val="28"/>
        </w:rPr>
      </w:pPr>
      <w:r w:rsidRPr="00522104">
        <w:rPr>
          <w:rFonts w:ascii="Times New Roman" w:hAnsi="Times New Roman" w:cs="Times New Roman"/>
          <w:color w:val="000000" w:themeColor="text1"/>
          <w:sz w:val="28"/>
          <w:szCs w:val="28"/>
        </w:rPr>
        <w:t xml:space="preserve">Основная цель разработки схем и программ перспективного развития электроэнергетики </w:t>
      </w:r>
      <w:r w:rsidR="00D64DB7" w:rsidRPr="00522104">
        <w:rPr>
          <w:rFonts w:ascii="Times New Roman" w:hAnsi="Times New Roman" w:cs="Times New Roman"/>
          <w:color w:val="000000" w:themeColor="text1"/>
          <w:sz w:val="28"/>
          <w:szCs w:val="28"/>
        </w:rPr>
        <w:t>–</w:t>
      </w:r>
      <w:r w:rsidRPr="00522104">
        <w:rPr>
          <w:rFonts w:ascii="Times New Roman" w:hAnsi="Times New Roman" w:cs="Times New Roman"/>
          <w:color w:val="000000" w:themeColor="text1"/>
          <w:sz w:val="28"/>
          <w:szCs w:val="28"/>
        </w:rPr>
        <w:t xml:space="preserve"> развитие сетевой инфраструктуры и генерирующих мощностей, обеспечение удовлетворения долгосрочного и среднесрочного спроса на электрическую энергию и мощность, формирование стабильных и благоприятных условий для привлечения инвестиций в строительство объектов электроэнергетики. В этой связи р</w:t>
      </w:r>
      <w:r w:rsidRPr="00522104">
        <w:rPr>
          <w:rFonts w:ascii="Times New Roman" w:eastAsia="Times New Roman" w:hAnsi="Times New Roman" w:cs="Times New Roman"/>
          <w:color w:val="000000" w:themeColor="text1"/>
          <w:sz w:val="28"/>
          <w:szCs w:val="28"/>
          <w:lang w:eastAsia="ru-RU"/>
        </w:rPr>
        <w:t>асходы</w:t>
      </w:r>
      <w:r w:rsidRPr="00522104">
        <w:rPr>
          <w:rFonts w:ascii="Times New Roman" w:hAnsi="Times New Roman" w:cs="Times New Roman"/>
          <w:color w:val="000000" w:themeColor="text1"/>
          <w:sz w:val="28"/>
          <w:szCs w:val="28"/>
        </w:rPr>
        <w:t xml:space="preserve"> на руководство и управление в сфере установленных функций </w:t>
      </w:r>
      <w:r w:rsidRPr="00522104">
        <w:rPr>
          <w:rFonts w:ascii="Times New Roman" w:hAnsi="Times New Roman" w:cs="Times New Roman"/>
          <w:bCs/>
          <w:iCs/>
          <w:color w:val="000000" w:themeColor="text1"/>
          <w:sz w:val="28"/>
          <w:szCs w:val="28"/>
        </w:rPr>
        <w:t>министерству энергетики и газоснабжения Приморского края</w:t>
      </w:r>
      <w:r w:rsidRPr="00522104">
        <w:rPr>
          <w:rFonts w:ascii="Times New Roman" w:hAnsi="Times New Roman" w:cs="Times New Roman"/>
          <w:color w:val="000000" w:themeColor="text1"/>
          <w:sz w:val="28"/>
          <w:szCs w:val="28"/>
        </w:rPr>
        <w:t xml:space="preserve"> </w:t>
      </w:r>
      <w:r w:rsidRPr="00522104">
        <w:rPr>
          <w:rFonts w:ascii="Times New Roman" w:eastAsia="Times New Roman" w:hAnsi="Times New Roman" w:cs="Times New Roman"/>
          <w:color w:val="000000" w:themeColor="text1"/>
          <w:sz w:val="28"/>
          <w:szCs w:val="28"/>
          <w:lang w:eastAsia="ru-RU"/>
        </w:rPr>
        <w:t xml:space="preserve">увеличены с </w:t>
      </w:r>
      <w:r w:rsidRPr="00522104">
        <w:rPr>
          <w:rFonts w:ascii="Times New Roman" w:hAnsi="Times New Roman" w:cs="Times New Roman"/>
          <w:color w:val="000000" w:themeColor="text1"/>
          <w:sz w:val="28"/>
          <w:szCs w:val="28"/>
        </w:rPr>
        <w:t>15,72 млн рублей до 27,25 млн рублей, или на 73,34 %.</w:t>
      </w:r>
    </w:p>
    <w:p w14:paraId="11A54383" w14:textId="5CBE5CAF" w:rsidR="00827437" w:rsidRPr="00522104" w:rsidRDefault="00827437" w:rsidP="0082743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22104">
        <w:rPr>
          <w:rFonts w:ascii="Times New Roman" w:hAnsi="Times New Roman" w:cs="Times New Roman"/>
          <w:b/>
          <w:i/>
          <w:color w:val="000000" w:themeColor="text1"/>
          <w:sz w:val="28"/>
          <w:szCs w:val="28"/>
        </w:rPr>
        <w:t>По подпрограмме "Энергосбережение и повышение энергетической эффективности в Приморском крае"</w:t>
      </w:r>
      <w:r w:rsidRPr="00522104">
        <w:rPr>
          <w:rFonts w:ascii="Times New Roman" w:eastAsia="Times New Roman" w:hAnsi="Times New Roman" w:cs="Times New Roman"/>
          <w:color w:val="000000" w:themeColor="text1"/>
          <w:sz w:val="28"/>
          <w:szCs w:val="28"/>
          <w:lang w:eastAsia="ru-RU"/>
        </w:rPr>
        <w:t xml:space="preserve"> в законопроекте на 2022 год предусмотрены </w:t>
      </w:r>
      <w:r w:rsidRPr="00522104">
        <w:rPr>
          <w:rFonts w:ascii="Times New Roman" w:hAnsi="Times New Roman" w:cs="Times New Roman"/>
          <w:sz w:val="28"/>
          <w:szCs w:val="28"/>
        </w:rPr>
        <w:t xml:space="preserve">министерству жилищно-коммунального хозяйства Приморского края </w:t>
      </w:r>
      <w:r w:rsidRPr="00522104">
        <w:rPr>
          <w:rFonts w:ascii="Times New Roman" w:eastAsia="Times New Roman" w:hAnsi="Times New Roman" w:cs="Times New Roman"/>
          <w:color w:val="000000" w:themeColor="text1"/>
          <w:sz w:val="28"/>
          <w:szCs w:val="28"/>
          <w:lang w:eastAsia="ru-RU"/>
        </w:rPr>
        <w:t>бюджетные ассигнования в размере 478,35</w:t>
      </w:r>
      <w:r w:rsidRPr="00522104">
        <w:rPr>
          <w:color w:val="000000" w:themeColor="text1"/>
        </w:rPr>
        <w:t xml:space="preserve"> </w:t>
      </w:r>
      <w:r w:rsidRPr="00522104">
        <w:rPr>
          <w:rFonts w:ascii="Times New Roman" w:eastAsia="Times New Roman" w:hAnsi="Times New Roman" w:cs="Times New Roman"/>
          <w:color w:val="000000" w:themeColor="text1"/>
          <w:sz w:val="28"/>
          <w:szCs w:val="28"/>
          <w:lang w:eastAsia="ru-RU"/>
        </w:rPr>
        <w:t>млн рублей, что на 35,24</w:t>
      </w:r>
      <w:r w:rsidRPr="00522104">
        <w:rPr>
          <w:color w:val="000000" w:themeColor="text1"/>
        </w:rPr>
        <w:t xml:space="preserve"> </w:t>
      </w:r>
      <w:r w:rsidRPr="00522104">
        <w:rPr>
          <w:rFonts w:ascii="Times New Roman" w:eastAsia="Times New Roman" w:hAnsi="Times New Roman" w:cs="Times New Roman"/>
          <w:color w:val="000000" w:themeColor="text1"/>
          <w:sz w:val="28"/>
          <w:szCs w:val="28"/>
          <w:lang w:eastAsia="ru-RU"/>
        </w:rPr>
        <w:t>млн рублей, или на 7,95 %</w:t>
      </w:r>
      <w:r w:rsidR="00D64DB7" w:rsidRPr="00522104">
        <w:rPr>
          <w:rFonts w:ascii="Times New Roman" w:eastAsia="Times New Roman" w:hAnsi="Times New Roman" w:cs="Times New Roman"/>
          <w:color w:val="000000" w:themeColor="text1"/>
          <w:sz w:val="28"/>
          <w:szCs w:val="28"/>
          <w:lang w:eastAsia="ru-RU"/>
        </w:rPr>
        <w:t>,</w:t>
      </w:r>
      <w:r w:rsidRPr="00522104">
        <w:rPr>
          <w:rFonts w:ascii="Times New Roman" w:eastAsia="Times New Roman" w:hAnsi="Times New Roman" w:cs="Times New Roman"/>
          <w:color w:val="000000" w:themeColor="text1"/>
          <w:sz w:val="28"/>
          <w:szCs w:val="28"/>
          <w:lang w:eastAsia="ru-RU"/>
        </w:rPr>
        <w:t xml:space="preserve"> выше утвержденных назначений (443,11</w:t>
      </w:r>
      <w:r w:rsidR="00D64DB7" w:rsidRPr="00522104">
        <w:rPr>
          <w:rFonts w:ascii="Times New Roman" w:eastAsia="Times New Roman" w:hAnsi="Times New Roman" w:cs="Times New Roman"/>
          <w:color w:val="000000" w:themeColor="text1"/>
          <w:sz w:val="28"/>
          <w:szCs w:val="28"/>
          <w:lang w:eastAsia="ru-RU"/>
        </w:rPr>
        <w:t> </w:t>
      </w:r>
      <w:r w:rsidRPr="00522104">
        <w:rPr>
          <w:rFonts w:ascii="Times New Roman" w:eastAsia="Times New Roman" w:hAnsi="Times New Roman" w:cs="Times New Roman"/>
          <w:color w:val="000000" w:themeColor="text1"/>
          <w:sz w:val="28"/>
          <w:szCs w:val="28"/>
          <w:lang w:eastAsia="ru-RU"/>
        </w:rPr>
        <w:t>млн рублей), в том числе:</w:t>
      </w:r>
    </w:p>
    <w:p w14:paraId="0C1BB702" w14:textId="77777777" w:rsidR="00827437" w:rsidRPr="00522104" w:rsidRDefault="00827437" w:rsidP="00827437">
      <w:pPr>
        <w:spacing w:after="0" w:line="240" w:lineRule="auto"/>
        <w:ind w:firstLine="709"/>
        <w:jc w:val="both"/>
        <w:rPr>
          <w:rFonts w:ascii="Times New Roman" w:hAnsi="Times New Roman" w:cs="Times New Roman"/>
          <w:color w:val="000000" w:themeColor="text1"/>
          <w:sz w:val="28"/>
          <w:szCs w:val="28"/>
        </w:rPr>
      </w:pPr>
      <w:r w:rsidRPr="00522104">
        <w:rPr>
          <w:rFonts w:ascii="Times New Roman" w:hAnsi="Times New Roman" w:cs="Times New Roman"/>
          <w:color w:val="000000" w:themeColor="text1"/>
          <w:sz w:val="28"/>
          <w:szCs w:val="28"/>
        </w:rPr>
        <w:t>на уровне утвержденных назначений:</w:t>
      </w:r>
    </w:p>
    <w:p w14:paraId="1E4886F8" w14:textId="7A17644D" w:rsidR="00827437" w:rsidRPr="00522104" w:rsidRDefault="00827437" w:rsidP="00827437">
      <w:pPr>
        <w:spacing w:after="0" w:line="240" w:lineRule="auto"/>
        <w:ind w:firstLine="709"/>
        <w:jc w:val="both"/>
        <w:rPr>
          <w:rFonts w:ascii="Times New Roman" w:hAnsi="Times New Roman" w:cs="Times New Roman"/>
          <w:sz w:val="28"/>
          <w:szCs w:val="28"/>
          <w:lang w:eastAsia="x-none"/>
        </w:rPr>
      </w:pPr>
      <w:r w:rsidRPr="00522104">
        <w:rPr>
          <w:rFonts w:ascii="Times New Roman" w:eastAsia="Times New Roman" w:hAnsi="Times New Roman" w:cs="Times New Roman"/>
          <w:color w:val="000000" w:themeColor="text1"/>
          <w:sz w:val="28"/>
          <w:szCs w:val="28"/>
          <w:lang w:eastAsia="ru-RU"/>
        </w:rPr>
        <w:t xml:space="preserve">на обеспечение мероприятий по модернизации систем коммунальной инфраструктуры для </w:t>
      </w:r>
      <w:r w:rsidRPr="00522104">
        <w:rPr>
          <w:rFonts w:ascii="Times New Roman" w:hAnsi="Times New Roman" w:cs="Times New Roman"/>
          <w:color w:val="000000" w:themeColor="text1"/>
          <w:sz w:val="28"/>
          <w:szCs w:val="28"/>
        </w:rPr>
        <w:t>КГУП "Примтеплоэнерго"</w:t>
      </w:r>
      <w:r w:rsidRPr="00522104">
        <w:rPr>
          <w:rFonts w:ascii="Times New Roman" w:eastAsia="Times New Roman" w:hAnsi="Times New Roman" w:cs="Times New Roman"/>
          <w:color w:val="000000" w:themeColor="text1"/>
          <w:sz w:val="28"/>
          <w:szCs w:val="28"/>
          <w:lang w:eastAsia="ru-RU"/>
        </w:rPr>
        <w:t xml:space="preserve">: за счет средств Фонда содействия реформированию жилищно-коммунального хозяйства – 255,43 млн рублей, </w:t>
      </w:r>
      <w:r w:rsidRPr="00522104">
        <w:rPr>
          <w:rFonts w:ascii="Times New Roman" w:hAnsi="Times New Roman" w:cs="Times New Roman"/>
          <w:sz w:val="28"/>
          <w:szCs w:val="28"/>
          <w:lang w:eastAsia="x-none"/>
        </w:rPr>
        <w:t xml:space="preserve">за счет средств краевого бюджета – 42,55 млн рублей. Расходы планируются на завершение строительства </w:t>
      </w:r>
      <w:r w:rsidRPr="00522104">
        <w:rPr>
          <w:rFonts w:ascii="Times New Roman" w:hAnsi="Times New Roman" w:cs="Times New Roman"/>
          <w:color w:val="000000" w:themeColor="text1"/>
          <w:sz w:val="28"/>
          <w:szCs w:val="28"/>
        </w:rPr>
        <w:t>котельных в п. Смоляниново, п.</w:t>
      </w:r>
      <w:r w:rsidR="00F648B2" w:rsidRPr="00522104">
        <w:rPr>
          <w:rFonts w:ascii="Times New Roman" w:hAnsi="Times New Roman" w:cs="Times New Roman"/>
          <w:color w:val="000000" w:themeColor="text1"/>
          <w:sz w:val="28"/>
          <w:szCs w:val="28"/>
        </w:rPr>
        <w:t> </w:t>
      </w:r>
      <w:r w:rsidRPr="00522104">
        <w:rPr>
          <w:rFonts w:ascii="Times New Roman" w:hAnsi="Times New Roman" w:cs="Times New Roman"/>
          <w:color w:val="000000" w:themeColor="text1"/>
          <w:sz w:val="28"/>
          <w:szCs w:val="28"/>
        </w:rPr>
        <w:t>Липовцы</w:t>
      </w:r>
      <w:r w:rsidRPr="00522104">
        <w:rPr>
          <w:rFonts w:ascii="Times New Roman" w:hAnsi="Times New Roman" w:cs="Times New Roman"/>
          <w:sz w:val="28"/>
          <w:szCs w:val="28"/>
          <w:lang w:eastAsia="x-none"/>
        </w:rPr>
        <w:t>;</w:t>
      </w:r>
    </w:p>
    <w:p w14:paraId="5F6E9742" w14:textId="5115DD0C" w:rsidR="00827437" w:rsidRPr="00522104" w:rsidRDefault="00827437" w:rsidP="00827437">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522104">
        <w:rPr>
          <w:rFonts w:ascii="Times New Roman" w:hAnsi="Times New Roman" w:cs="Times New Roman"/>
          <w:sz w:val="28"/>
          <w:szCs w:val="28"/>
          <w:lang w:eastAsia="x-none"/>
        </w:rPr>
        <w:t>за счет средств Фонда содействия реформированию жилищно-коммунального хозяйства для КГУП "Примтеплоэнерго": на обеспечение мероприятий по модернизации систем коммунальной инфраструктуры – 5,0</w:t>
      </w:r>
      <w:r w:rsidR="00654DAF">
        <w:rPr>
          <w:rFonts w:ascii="Times New Roman" w:hAnsi="Times New Roman" w:cs="Times New Roman"/>
          <w:sz w:val="28"/>
          <w:szCs w:val="28"/>
          <w:lang w:eastAsia="x-none"/>
        </w:rPr>
        <w:t>0</w:t>
      </w:r>
      <w:r w:rsidRPr="00522104">
        <w:rPr>
          <w:rFonts w:ascii="Times New Roman" w:hAnsi="Times New Roman" w:cs="Times New Roman"/>
          <w:sz w:val="28"/>
          <w:szCs w:val="28"/>
          <w:lang w:eastAsia="x-none"/>
        </w:rPr>
        <w:t xml:space="preserve"> млн рублей (в соответствии с концессионным соглашением); </w:t>
      </w:r>
      <w:r w:rsidRPr="00522104">
        <w:rPr>
          <w:rFonts w:ascii="Times New Roman" w:hAnsi="Times New Roman" w:cs="Times New Roman"/>
          <w:color w:val="000000" w:themeColor="text1"/>
          <w:sz w:val="28"/>
          <w:szCs w:val="28"/>
        </w:rPr>
        <w:t>на 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w:t>
      </w:r>
      <w:r w:rsidR="00F648B2" w:rsidRPr="00522104">
        <w:rPr>
          <w:rFonts w:ascii="Times New Roman" w:hAnsi="Times New Roman" w:cs="Times New Roman"/>
          <w:color w:val="000000" w:themeColor="text1"/>
          <w:sz w:val="28"/>
          <w:szCs w:val="28"/>
        </w:rPr>
        <w:t>фраструктуры – 0,25 млн рублей;</w:t>
      </w:r>
    </w:p>
    <w:p w14:paraId="30AD9D8A" w14:textId="4ECE0514" w:rsidR="00827437" w:rsidRPr="00522104" w:rsidRDefault="00827437" w:rsidP="0082743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22104">
        <w:rPr>
          <w:rFonts w:ascii="Times New Roman" w:eastAsia="Times New Roman" w:hAnsi="Times New Roman" w:cs="Times New Roman"/>
          <w:color w:val="000000" w:themeColor="text1"/>
          <w:sz w:val="28"/>
          <w:szCs w:val="28"/>
          <w:lang w:eastAsia="ru-RU"/>
        </w:rPr>
        <w:t>с увеличением суммы ассигнований на 35,24 млн рублей планируется на субсидии организациям (КГУП "Примтеплоэнерго"),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(со 140,0</w:t>
      </w:r>
      <w:r w:rsidR="00654DAF">
        <w:rPr>
          <w:rFonts w:ascii="Times New Roman" w:eastAsia="Times New Roman" w:hAnsi="Times New Roman" w:cs="Times New Roman"/>
          <w:color w:val="000000" w:themeColor="text1"/>
          <w:sz w:val="28"/>
          <w:szCs w:val="28"/>
          <w:lang w:eastAsia="ru-RU"/>
        </w:rPr>
        <w:t>0</w:t>
      </w:r>
      <w:r w:rsidRPr="00522104">
        <w:rPr>
          <w:rFonts w:ascii="Times New Roman" w:eastAsia="Times New Roman" w:hAnsi="Times New Roman" w:cs="Times New Roman"/>
          <w:color w:val="000000" w:themeColor="text1"/>
          <w:sz w:val="28"/>
          <w:szCs w:val="28"/>
          <w:lang w:eastAsia="ru-RU"/>
        </w:rPr>
        <w:t xml:space="preserve"> млн рублей до 175,24 млн рублей). </w:t>
      </w:r>
    </w:p>
    <w:p w14:paraId="0F817374" w14:textId="77777777" w:rsidR="00827437" w:rsidRPr="00522104" w:rsidRDefault="00827437" w:rsidP="00827437">
      <w:pPr>
        <w:spacing w:after="0" w:line="240" w:lineRule="auto"/>
        <w:jc w:val="both"/>
        <w:rPr>
          <w:rFonts w:ascii="Times New Roman" w:hAnsi="Times New Roman" w:cs="Times New Roman"/>
          <w:color w:val="000000" w:themeColor="text1"/>
          <w:sz w:val="28"/>
          <w:szCs w:val="28"/>
        </w:rPr>
      </w:pPr>
    </w:p>
    <w:p w14:paraId="7436E515" w14:textId="77777777" w:rsidR="00827437" w:rsidRPr="00522104" w:rsidRDefault="00827437" w:rsidP="00827437">
      <w:pPr>
        <w:spacing w:after="0" w:line="240" w:lineRule="auto"/>
        <w:ind w:firstLine="709"/>
        <w:jc w:val="center"/>
        <w:rPr>
          <w:rFonts w:ascii="Times New Roman" w:hAnsi="Times New Roman" w:cs="Times New Roman"/>
          <w:b/>
          <w:sz w:val="28"/>
          <w:szCs w:val="28"/>
        </w:rPr>
      </w:pPr>
      <w:r w:rsidRPr="00522104">
        <w:rPr>
          <w:rFonts w:ascii="Times New Roman" w:hAnsi="Times New Roman" w:cs="Times New Roman"/>
          <w:noProof/>
          <w:lang w:eastAsia="ru-RU"/>
        </w:rPr>
        <w:drawing>
          <wp:anchor distT="0" distB="0" distL="114300" distR="114300" simplePos="0" relativeHeight="251719680" behindDoc="0" locked="0" layoutInCell="1" allowOverlap="1" wp14:anchorId="5F94AF23" wp14:editId="660FBF09">
            <wp:simplePos x="0" y="0"/>
            <wp:positionH relativeFrom="column">
              <wp:posOffset>86995</wp:posOffset>
            </wp:positionH>
            <wp:positionV relativeFrom="paragraph">
              <wp:posOffset>87630</wp:posOffset>
            </wp:positionV>
            <wp:extent cx="1497965" cy="1089025"/>
            <wp:effectExtent l="0" t="0" r="0" b="0"/>
            <wp:wrapSquare wrapText="bothSides"/>
            <wp:docPr id="26" name="Рисунок 26" descr="C:\Users\zavzyataya_sv\Desktop\Картинки\depositphotos_73505929-stock-illustration-абстрактный-фон-сельского-хозяйства-мельница.jpg"/>
            <wp:cNvGraphicFramePr/>
            <a:graphic xmlns:a="http://schemas.openxmlformats.org/drawingml/2006/main">
              <a:graphicData uri="http://schemas.openxmlformats.org/drawingml/2006/picture">
                <pic:pic xmlns:pic="http://schemas.openxmlformats.org/drawingml/2006/picture">
                  <pic:nvPicPr>
                    <pic:cNvPr id="23" name="Рисунок 23" descr="C:\Users\zavzyataya_sv\Desktop\Картинки\depositphotos_73505929-stock-illustration-абстрактный-фон-сельского-хозяйства-мельница.jpg"/>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9796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w:t>
      </w:r>
      <w:r w:rsidRPr="00522104">
        <w:rPr>
          <w:rFonts w:ascii="Times New Roman" w:hAnsi="Times New Roman" w:cs="Times New Roman"/>
          <w:b/>
          <w:sz w:val="28"/>
          <w:szCs w:val="28"/>
        </w:rPr>
        <w:t xml:space="preserve"> "Развитие сельского хозяйства и регулирование рынков сельскохозяйственной продукции, сырья и продовольствия"</w:t>
      </w:r>
    </w:p>
    <w:p w14:paraId="78FF3C74" w14:textId="2310B1FA"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Законопроектом бюджетные ассигнования на реализацию ГП на 2022 год предусмотрены в объеме 5161,28 млн рублей, из них за счет средств федерального бюджета – 2605,74</w:t>
      </w:r>
      <w:r w:rsidR="00F648B2" w:rsidRPr="00522104">
        <w:rPr>
          <w:rFonts w:ascii="Times New Roman" w:hAnsi="Times New Roman" w:cs="Times New Roman"/>
          <w:sz w:val="28"/>
          <w:szCs w:val="28"/>
        </w:rPr>
        <w:t> </w:t>
      </w:r>
      <w:r w:rsidRPr="00522104">
        <w:rPr>
          <w:rFonts w:ascii="Times New Roman" w:hAnsi="Times New Roman" w:cs="Times New Roman"/>
          <w:sz w:val="28"/>
          <w:szCs w:val="28"/>
        </w:rPr>
        <w:t>млн рублей, краевого бюджета – 2555,54 млн рублей, что на 869,43</w:t>
      </w:r>
      <w:r w:rsidR="00F648B2" w:rsidRPr="00522104">
        <w:rPr>
          <w:rFonts w:ascii="Times New Roman" w:hAnsi="Times New Roman" w:cs="Times New Roman"/>
          <w:sz w:val="28"/>
          <w:szCs w:val="28"/>
        </w:rPr>
        <w:t> </w:t>
      </w:r>
      <w:r w:rsidRPr="00522104">
        <w:rPr>
          <w:rFonts w:ascii="Times New Roman" w:hAnsi="Times New Roman" w:cs="Times New Roman"/>
          <w:sz w:val="28"/>
          <w:szCs w:val="28"/>
        </w:rPr>
        <w:t xml:space="preserve">млн рублей выше утвержденных назначений (4291,84 млн рублей). На плановый период 2022-2023 годов предусмотрено соответственно 4560,54 млн рублей и 4185,51 млн рублей. </w:t>
      </w:r>
    </w:p>
    <w:p w14:paraId="72BF28A5"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По министерству сельского хозяйства Приморского края расходы на 2022 год составят 4660,11 млн рублей (утверждено 3958,87 млн рублей), по Государственной ветеринарной инспекции Приморского края 501,17 млн рублей (332,97 млн рублей).</w:t>
      </w:r>
    </w:p>
    <w:p w14:paraId="2A87418C" w14:textId="671DE72E"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на 2022 год в рамках исполнения мероприятий ГП предусмотрена реализация НП "Малое и среднее предпринимательство и поддержка индивидуальной предпринимательской инициативы" через ФП "Акселерация субъектов малого и среднего предпринимательства" в сумме 52,08 млн рублей (утверждено 43,57 млн рублей) и НП "Международная кооперация и экспорт" через ФП "Экспорт продукции агропромышленного комплекса" в сумме 1746,25 млн рублей (утверждено 1440,47 млн рублей).</w:t>
      </w:r>
    </w:p>
    <w:p w14:paraId="21EA583A"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Распределение бюджетных ассигнований на финансовое обеспечение ГП в разрезе подпрограмм с указанием федеральных проектов приведено в таблице.</w:t>
      </w:r>
    </w:p>
    <w:tbl>
      <w:tblPr>
        <w:tblW w:w="10349" w:type="dxa"/>
        <w:tblInd w:w="-851" w:type="dxa"/>
        <w:tblLayout w:type="fixed"/>
        <w:tblLook w:val="04A0" w:firstRow="1" w:lastRow="0" w:firstColumn="1" w:lastColumn="0" w:noHBand="0" w:noVBand="1"/>
      </w:tblPr>
      <w:tblGrid>
        <w:gridCol w:w="2269"/>
        <w:gridCol w:w="851"/>
        <w:gridCol w:w="850"/>
        <w:gridCol w:w="851"/>
        <w:gridCol w:w="850"/>
        <w:gridCol w:w="851"/>
        <w:gridCol w:w="850"/>
        <w:gridCol w:w="851"/>
        <w:gridCol w:w="708"/>
        <w:gridCol w:w="709"/>
        <w:gridCol w:w="709"/>
      </w:tblGrid>
      <w:tr w:rsidR="00827437" w:rsidRPr="00074B2C" w14:paraId="01BFCF89" w14:textId="77777777" w:rsidTr="00917711">
        <w:trPr>
          <w:trHeight w:val="300"/>
          <w:tblHeader/>
        </w:trPr>
        <w:tc>
          <w:tcPr>
            <w:tcW w:w="2269" w:type="dxa"/>
            <w:tcBorders>
              <w:bottom w:val="single" w:sz="4" w:space="0" w:color="auto"/>
            </w:tcBorders>
            <w:shd w:val="clear" w:color="auto" w:fill="auto"/>
            <w:vAlign w:val="center"/>
          </w:tcPr>
          <w:p w14:paraId="36475DAC" w14:textId="77777777" w:rsidR="00827437" w:rsidRPr="00522104" w:rsidRDefault="00827437" w:rsidP="00E40BEE">
            <w:pPr>
              <w:spacing w:after="0" w:line="240" w:lineRule="auto"/>
              <w:jc w:val="center"/>
              <w:rPr>
                <w:rFonts w:ascii="Times New Roman" w:eastAsia="Times New Roman" w:hAnsi="Times New Roman" w:cs="Times New Roman"/>
                <w:b/>
                <w:bCs/>
                <w:color w:val="000000"/>
                <w:sz w:val="18"/>
                <w:szCs w:val="18"/>
                <w:lang w:eastAsia="ru-RU"/>
              </w:rPr>
            </w:pPr>
          </w:p>
        </w:tc>
        <w:tc>
          <w:tcPr>
            <w:tcW w:w="2552" w:type="dxa"/>
            <w:gridSpan w:val="3"/>
            <w:tcBorders>
              <w:bottom w:val="single" w:sz="4" w:space="0" w:color="auto"/>
            </w:tcBorders>
            <w:shd w:val="clear" w:color="auto" w:fill="auto"/>
            <w:vAlign w:val="center"/>
          </w:tcPr>
          <w:p w14:paraId="6AE15697" w14:textId="77777777" w:rsidR="00827437" w:rsidRPr="00522104" w:rsidRDefault="00827437" w:rsidP="00E40BEE">
            <w:pPr>
              <w:spacing w:after="0" w:line="240" w:lineRule="auto"/>
              <w:jc w:val="center"/>
              <w:rPr>
                <w:rFonts w:ascii="Times New Roman" w:eastAsia="Times New Roman" w:hAnsi="Times New Roman" w:cs="Times New Roman"/>
                <w:b/>
                <w:bCs/>
                <w:color w:val="000000"/>
                <w:sz w:val="18"/>
                <w:szCs w:val="18"/>
                <w:lang w:eastAsia="ru-RU"/>
              </w:rPr>
            </w:pPr>
          </w:p>
        </w:tc>
        <w:tc>
          <w:tcPr>
            <w:tcW w:w="2551" w:type="dxa"/>
            <w:gridSpan w:val="3"/>
            <w:tcBorders>
              <w:bottom w:val="single" w:sz="4" w:space="0" w:color="auto"/>
            </w:tcBorders>
            <w:shd w:val="clear" w:color="auto" w:fill="auto"/>
            <w:vAlign w:val="center"/>
          </w:tcPr>
          <w:p w14:paraId="61C3C727" w14:textId="77777777" w:rsidR="00827437" w:rsidRPr="00522104" w:rsidRDefault="00827437" w:rsidP="00E40BEE">
            <w:pPr>
              <w:spacing w:after="0" w:line="240" w:lineRule="auto"/>
              <w:jc w:val="center"/>
              <w:rPr>
                <w:rFonts w:ascii="Times New Roman" w:eastAsia="Times New Roman" w:hAnsi="Times New Roman" w:cs="Times New Roman"/>
                <w:b/>
                <w:bCs/>
                <w:color w:val="000000"/>
                <w:sz w:val="18"/>
                <w:szCs w:val="18"/>
                <w:lang w:eastAsia="ru-RU"/>
              </w:rPr>
            </w:pPr>
          </w:p>
        </w:tc>
        <w:tc>
          <w:tcPr>
            <w:tcW w:w="2977" w:type="dxa"/>
            <w:gridSpan w:val="4"/>
            <w:tcBorders>
              <w:bottom w:val="single" w:sz="4" w:space="0" w:color="auto"/>
            </w:tcBorders>
            <w:shd w:val="clear" w:color="auto" w:fill="auto"/>
            <w:vAlign w:val="center"/>
          </w:tcPr>
          <w:p w14:paraId="2EBC1D61" w14:textId="77777777" w:rsidR="00827437" w:rsidRPr="00074B2C" w:rsidRDefault="00827437" w:rsidP="00E40BEE">
            <w:pPr>
              <w:spacing w:after="0" w:line="240" w:lineRule="auto"/>
              <w:jc w:val="right"/>
              <w:rPr>
                <w:rFonts w:ascii="Times New Roman" w:eastAsia="Times New Roman" w:hAnsi="Times New Roman" w:cs="Times New Roman"/>
                <w:b/>
                <w:bCs/>
                <w:color w:val="000000"/>
                <w:sz w:val="20"/>
                <w:szCs w:val="20"/>
                <w:lang w:eastAsia="ru-RU"/>
              </w:rPr>
            </w:pPr>
            <w:r w:rsidRPr="00074B2C">
              <w:rPr>
                <w:rFonts w:ascii="Times New Roman" w:eastAsia="Times New Roman" w:hAnsi="Times New Roman" w:cs="Times New Roman"/>
                <w:sz w:val="20"/>
                <w:szCs w:val="20"/>
                <w:lang w:eastAsia="ru-RU"/>
              </w:rPr>
              <w:t>(млн рублей)</w:t>
            </w:r>
          </w:p>
        </w:tc>
      </w:tr>
      <w:tr w:rsidR="00827437" w:rsidRPr="00522104" w14:paraId="753F9CAC" w14:textId="77777777" w:rsidTr="00917711">
        <w:trPr>
          <w:trHeight w:val="300"/>
          <w:tblHeader/>
        </w:trPr>
        <w:tc>
          <w:tcPr>
            <w:tcW w:w="22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895E36"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Наименование</w:t>
            </w:r>
          </w:p>
        </w:tc>
        <w:tc>
          <w:tcPr>
            <w:tcW w:w="2552" w:type="dxa"/>
            <w:gridSpan w:val="3"/>
            <w:tcBorders>
              <w:top w:val="single" w:sz="4" w:space="0" w:color="auto"/>
              <w:left w:val="nil"/>
              <w:bottom w:val="single" w:sz="4" w:space="0" w:color="auto"/>
              <w:right w:val="single" w:sz="4" w:space="0" w:color="000000"/>
            </w:tcBorders>
            <w:shd w:val="clear" w:color="auto" w:fill="auto"/>
            <w:vAlign w:val="center"/>
            <w:hideMark/>
          </w:tcPr>
          <w:p w14:paraId="4EF0143C"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Закон № 969-КЗ</w:t>
            </w:r>
          </w:p>
        </w:tc>
        <w:tc>
          <w:tcPr>
            <w:tcW w:w="2551" w:type="dxa"/>
            <w:gridSpan w:val="3"/>
            <w:tcBorders>
              <w:top w:val="single" w:sz="4" w:space="0" w:color="auto"/>
              <w:left w:val="nil"/>
              <w:bottom w:val="single" w:sz="4" w:space="0" w:color="auto"/>
              <w:right w:val="single" w:sz="4" w:space="0" w:color="000000"/>
            </w:tcBorders>
            <w:shd w:val="clear" w:color="auto" w:fill="auto"/>
            <w:vAlign w:val="center"/>
            <w:hideMark/>
          </w:tcPr>
          <w:p w14:paraId="6B4531BD"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Законопроект</w:t>
            </w:r>
          </w:p>
        </w:tc>
        <w:tc>
          <w:tcPr>
            <w:tcW w:w="2977" w:type="dxa"/>
            <w:gridSpan w:val="4"/>
            <w:tcBorders>
              <w:top w:val="single" w:sz="4" w:space="0" w:color="auto"/>
              <w:left w:val="nil"/>
              <w:bottom w:val="single" w:sz="4" w:space="0" w:color="auto"/>
              <w:right w:val="single" w:sz="4" w:space="0" w:color="000000"/>
            </w:tcBorders>
            <w:shd w:val="clear" w:color="auto" w:fill="auto"/>
            <w:vAlign w:val="center"/>
            <w:hideMark/>
          </w:tcPr>
          <w:p w14:paraId="589207BC"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Отклонения законопроекта от утвержденных назначений</w:t>
            </w:r>
          </w:p>
        </w:tc>
      </w:tr>
      <w:tr w:rsidR="00827437" w:rsidRPr="00522104" w14:paraId="69FDA144" w14:textId="77777777" w:rsidTr="00917711">
        <w:trPr>
          <w:trHeight w:val="586"/>
          <w:tblHeader/>
        </w:trPr>
        <w:tc>
          <w:tcPr>
            <w:tcW w:w="2269" w:type="dxa"/>
            <w:vMerge/>
            <w:tcBorders>
              <w:top w:val="single" w:sz="4" w:space="0" w:color="auto"/>
              <w:left w:val="single" w:sz="4" w:space="0" w:color="auto"/>
              <w:bottom w:val="single" w:sz="4" w:space="0" w:color="000000"/>
              <w:right w:val="single" w:sz="4" w:space="0" w:color="auto"/>
            </w:tcBorders>
            <w:vAlign w:val="center"/>
            <w:hideMark/>
          </w:tcPr>
          <w:p w14:paraId="246A6979" w14:textId="77777777" w:rsidR="00827437" w:rsidRPr="00522104" w:rsidRDefault="00827437" w:rsidP="00E40BEE">
            <w:pPr>
              <w:spacing w:after="0" w:line="240" w:lineRule="auto"/>
              <w:rPr>
                <w:rFonts w:ascii="Times New Roman" w:eastAsia="Times New Roman" w:hAnsi="Times New Roman" w:cs="Times New Roman"/>
                <w:bCs/>
                <w:color w:val="000000"/>
                <w:sz w:val="18"/>
                <w:szCs w:val="18"/>
                <w:lang w:eastAsia="ru-RU"/>
              </w:rPr>
            </w:pPr>
          </w:p>
        </w:tc>
        <w:tc>
          <w:tcPr>
            <w:tcW w:w="851" w:type="dxa"/>
            <w:vMerge w:val="restart"/>
            <w:tcBorders>
              <w:top w:val="nil"/>
              <w:left w:val="nil"/>
              <w:right w:val="single" w:sz="4" w:space="0" w:color="auto"/>
            </w:tcBorders>
            <w:shd w:val="clear" w:color="auto" w:fill="auto"/>
            <w:vAlign w:val="center"/>
            <w:hideMark/>
          </w:tcPr>
          <w:p w14:paraId="215D0B85" w14:textId="77777777" w:rsidR="00827437" w:rsidRPr="00522104" w:rsidRDefault="00827437" w:rsidP="00DE312D">
            <w:pPr>
              <w:spacing w:after="0" w:line="240" w:lineRule="auto"/>
              <w:ind w:left="-108"/>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 xml:space="preserve">Первона-чальная </w:t>
            </w:r>
          </w:p>
          <w:p w14:paraId="098FA883" w14:textId="77777777" w:rsidR="00827437" w:rsidRPr="00522104" w:rsidRDefault="00827437" w:rsidP="00DE312D">
            <w:pPr>
              <w:spacing w:after="0" w:line="240" w:lineRule="auto"/>
              <w:ind w:left="-108"/>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редакция</w:t>
            </w:r>
          </w:p>
          <w:p w14:paraId="67407018" w14:textId="77777777" w:rsidR="00827437" w:rsidRPr="00522104" w:rsidRDefault="00827437" w:rsidP="00DE312D">
            <w:pPr>
              <w:spacing w:after="0" w:line="240" w:lineRule="auto"/>
              <w:ind w:left="-108"/>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2021 год</w:t>
            </w:r>
          </w:p>
        </w:tc>
        <w:tc>
          <w:tcPr>
            <w:tcW w:w="1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E194600"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8 редакция</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9F3C74"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 год</w:t>
            </w: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DEE86F"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2023 год</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87D04E"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2024 год</w:t>
            </w:r>
          </w:p>
        </w:tc>
        <w:tc>
          <w:tcPr>
            <w:tcW w:w="1559"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04EFBFB"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2022/2021</w:t>
            </w:r>
          </w:p>
        </w:tc>
        <w:tc>
          <w:tcPr>
            <w:tcW w:w="141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1259624"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2022/2022</w:t>
            </w:r>
          </w:p>
        </w:tc>
      </w:tr>
      <w:tr w:rsidR="00827437" w:rsidRPr="00522104" w14:paraId="225352FA" w14:textId="77777777" w:rsidTr="00917711">
        <w:trPr>
          <w:trHeight w:val="383"/>
          <w:tblHeader/>
        </w:trPr>
        <w:tc>
          <w:tcPr>
            <w:tcW w:w="2269" w:type="dxa"/>
            <w:vMerge/>
            <w:tcBorders>
              <w:top w:val="single" w:sz="4" w:space="0" w:color="auto"/>
              <w:left w:val="single" w:sz="4" w:space="0" w:color="auto"/>
              <w:bottom w:val="single" w:sz="4" w:space="0" w:color="000000"/>
              <w:right w:val="single" w:sz="4" w:space="0" w:color="auto"/>
            </w:tcBorders>
            <w:vAlign w:val="center"/>
            <w:hideMark/>
          </w:tcPr>
          <w:p w14:paraId="4220A4C4" w14:textId="77777777" w:rsidR="00827437" w:rsidRPr="00522104" w:rsidRDefault="00827437" w:rsidP="00E40BEE">
            <w:pPr>
              <w:spacing w:after="0" w:line="240" w:lineRule="auto"/>
              <w:rPr>
                <w:rFonts w:ascii="Times New Roman" w:eastAsia="Times New Roman" w:hAnsi="Times New Roman" w:cs="Times New Roman"/>
                <w:bCs/>
                <w:color w:val="000000"/>
                <w:sz w:val="18"/>
                <w:szCs w:val="18"/>
                <w:lang w:eastAsia="ru-RU"/>
              </w:rPr>
            </w:pPr>
          </w:p>
        </w:tc>
        <w:tc>
          <w:tcPr>
            <w:tcW w:w="851" w:type="dxa"/>
            <w:vMerge/>
            <w:tcBorders>
              <w:left w:val="nil"/>
              <w:bottom w:val="single" w:sz="4" w:space="0" w:color="auto"/>
              <w:right w:val="single" w:sz="4" w:space="0" w:color="auto"/>
            </w:tcBorders>
            <w:shd w:val="clear" w:color="auto" w:fill="auto"/>
            <w:vAlign w:val="center"/>
            <w:hideMark/>
          </w:tcPr>
          <w:p w14:paraId="795DBEBA"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1C6AE95F"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2021 год</w:t>
            </w:r>
          </w:p>
        </w:tc>
        <w:tc>
          <w:tcPr>
            <w:tcW w:w="851" w:type="dxa"/>
            <w:tcBorders>
              <w:top w:val="nil"/>
              <w:left w:val="nil"/>
              <w:bottom w:val="single" w:sz="4" w:space="0" w:color="auto"/>
              <w:right w:val="nil"/>
            </w:tcBorders>
            <w:shd w:val="clear" w:color="auto" w:fill="auto"/>
            <w:noWrap/>
            <w:vAlign w:val="center"/>
            <w:hideMark/>
          </w:tcPr>
          <w:p w14:paraId="4C87A878"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 год</w:t>
            </w:r>
          </w:p>
        </w:tc>
        <w:tc>
          <w:tcPr>
            <w:tcW w:w="850" w:type="dxa"/>
            <w:vMerge/>
            <w:tcBorders>
              <w:top w:val="nil"/>
              <w:left w:val="single" w:sz="4" w:space="0" w:color="auto"/>
              <w:bottom w:val="single" w:sz="4" w:space="0" w:color="000000"/>
              <w:right w:val="single" w:sz="4" w:space="0" w:color="auto"/>
            </w:tcBorders>
            <w:vAlign w:val="center"/>
            <w:hideMark/>
          </w:tcPr>
          <w:p w14:paraId="0B56DDF6" w14:textId="77777777" w:rsidR="00827437" w:rsidRPr="00522104" w:rsidRDefault="00827437" w:rsidP="00E40BEE">
            <w:pPr>
              <w:spacing w:after="0" w:line="240" w:lineRule="auto"/>
              <w:rPr>
                <w:rFonts w:ascii="Times New Roman" w:eastAsia="Times New Roman" w:hAnsi="Times New Roman" w:cs="Times New Roman"/>
                <w:bCs/>
                <w:color w:val="000000"/>
                <w:sz w:val="18"/>
                <w:szCs w:val="18"/>
                <w:lang w:eastAsia="ru-RU"/>
              </w:rPr>
            </w:pPr>
          </w:p>
        </w:tc>
        <w:tc>
          <w:tcPr>
            <w:tcW w:w="851" w:type="dxa"/>
            <w:vMerge/>
            <w:tcBorders>
              <w:top w:val="nil"/>
              <w:left w:val="single" w:sz="4" w:space="0" w:color="auto"/>
              <w:bottom w:val="single" w:sz="4" w:space="0" w:color="000000"/>
              <w:right w:val="single" w:sz="4" w:space="0" w:color="auto"/>
            </w:tcBorders>
            <w:vAlign w:val="center"/>
            <w:hideMark/>
          </w:tcPr>
          <w:p w14:paraId="1E8DDC18" w14:textId="77777777" w:rsidR="00827437" w:rsidRPr="00522104" w:rsidRDefault="00827437" w:rsidP="00E40BEE">
            <w:pPr>
              <w:spacing w:after="0" w:line="240" w:lineRule="auto"/>
              <w:rPr>
                <w:rFonts w:ascii="Times New Roman" w:eastAsia="Times New Roman" w:hAnsi="Times New Roman" w:cs="Times New Roman"/>
                <w:bCs/>
                <w:color w:val="000000"/>
                <w:sz w:val="18"/>
                <w:szCs w:val="18"/>
                <w:lang w:eastAsia="ru-RU"/>
              </w:rPr>
            </w:pPr>
          </w:p>
        </w:tc>
        <w:tc>
          <w:tcPr>
            <w:tcW w:w="850" w:type="dxa"/>
            <w:vMerge/>
            <w:tcBorders>
              <w:top w:val="nil"/>
              <w:left w:val="single" w:sz="4" w:space="0" w:color="auto"/>
              <w:bottom w:val="single" w:sz="4" w:space="0" w:color="000000"/>
              <w:right w:val="single" w:sz="4" w:space="0" w:color="auto"/>
            </w:tcBorders>
            <w:vAlign w:val="center"/>
            <w:hideMark/>
          </w:tcPr>
          <w:p w14:paraId="43414143" w14:textId="77777777" w:rsidR="00827437" w:rsidRPr="00522104" w:rsidRDefault="00827437" w:rsidP="00E40BEE">
            <w:pPr>
              <w:spacing w:after="0" w:line="240" w:lineRule="auto"/>
              <w:rPr>
                <w:rFonts w:ascii="Times New Roman" w:eastAsia="Times New Roman" w:hAnsi="Times New Roman" w:cs="Times New Roman"/>
                <w:bCs/>
                <w:color w:val="000000"/>
                <w:sz w:val="18"/>
                <w:szCs w:val="18"/>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14:paraId="39717830"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сумма</w:t>
            </w:r>
          </w:p>
        </w:tc>
        <w:tc>
          <w:tcPr>
            <w:tcW w:w="708" w:type="dxa"/>
            <w:tcBorders>
              <w:top w:val="nil"/>
              <w:left w:val="nil"/>
              <w:bottom w:val="single" w:sz="4" w:space="0" w:color="auto"/>
              <w:right w:val="single" w:sz="4" w:space="0" w:color="auto"/>
            </w:tcBorders>
            <w:shd w:val="clear" w:color="auto" w:fill="auto"/>
            <w:noWrap/>
            <w:vAlign w:val="center"/>
            <w:hideMark/>
          </w:tcPr>
          <w:p w14:paraId="511CA2E7"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w:t>
            </w:r>
          </w:p>
        </w:tc>
        <w:tc>
          <w:tcPr>
            <w:tcW w:w="709" w:type="dxa"/>
            <w:tcBorders>
              <w:top w:val="nil"/>
              <w:left w:val="nil"/>
              <w:bottom w:val="single" w:sz="4" w:space="0" w:color="auto"/>
              <w:right w:val="single" w:sz="4" w:space="0" w:color="auto"/>
            </w:tcBorders>
            <w:shd w:val="clear" w:color="auto" w:fill="auto"/>
            <w:noWrap/>
            <w:vAlign w:val="center"/>
            <w:hideMark/>
          </w:tcPr>
          <w:p w14:paraId="52A24D1C" w14:textId="77777777" w:rsidR="00827437" w:rsidRPr="00522104" w:rsidRDefault="00827437" w:rsidP="00DE312D">
            <w:pPr>
              <w:spacing w:after="0" w:line="240" w:lineRule="auto"/>
              <w:ind w:lef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14:paraId="3775192B"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w:t>
            </w:r>
          </w:p>
        </w:tc>
      </w:tr>
      <w:tr w:rsidR="00827437" w:rsidRPr="00522104" w14:paraId="3B13069C" w14:textId="77777777" w:rsidTr="00917711">
        <w:trPr>
          <w:trHeight w:val="91"/>
          <w:tblHeader/>
        </w:trPr>
        <w:tc>
          <w:tcPr>
            <w:tcW w:w="2269" w:type="dxa"/>
            <w:tcBorders>
              <w:top w:val="nil"/>
              <w:left w:val="single" w:sz="4" w:space="0" w:color="auto"/>
              <w:bottom w:val="single" w:sz="4" w:space="0" w:color="auto"/>
              <w:right w:val="single" w:sz="4" w:space="0" w:color="auto"/>
            </w:tcBorders>
            <w:shd w:val="clear" w:color="DDEBF7" w:fill="FFFFFF"/>
            <w:vAlign w:val="bottom"/>
            <w:hideMark/>
          </w:tcPr>
          <w:p w14:paraId="71A2F7D1"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1409F335"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2</w:t>
            </w:r>
          </w:p>
        </w:tc>
        <w:tc>
          <w:tcPr>
            <w:tcW w:w="850" w:type="dxa"/>
            <w:tcBorders>
              <w:top w:val="nil"/>
              <w:left w:val="nil"/>
              <w:bottom w:val="single" w:sz="4" w:space="0" w:color="auto"/>
              <w:right w:val="single" w:sz="4" w:space="0" w:color="auto"/>
            </w:tcBorders>
            <w:shd w:val="clear" w:color="auto" w:fill="auto"/>
            <w:vAlign w:val="center"/>
            <w:hideMark/>
          </w:tcPr>
          <w:p w14:paraId="5CC3E97B"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14:paraId="62E0FA7C"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4</w:t>
            </w:r>
          </w:p>
        </w:tc>
        <w:tc>
          <w:tcPr>
            <w:tcW w:w="850" w:type="dxa"/>
            <w:tcBorders>
              <w:top w:val="nil"/>
              <w:left w:val="nil"/>
              <w:bottom w:val="single" w:sz="4" w:space="0" w:color="auto"/>
              <w:right w:val="single" w:sz="4" w:space="0" w:color="auto"/>
            </w:tcBorders>
            <w:shd w:val="clear" w:color="auto" w:fill="auto"/>
            <w:vAlign w:val="center"/>
            <w:hideMark/>
          </w:tcPr>
          <w:p w14:paraId="6BF648FA"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5</w:t>
            </w:r>
          </w:p>
        </w:tc>
        <w:tc>
          <w:tcPr>
            <w:tcW w:w="851" w:type="dxa"/>
            <w:tcBorders>
              <w:top w:val="nil"/>
              <w:left w:val="nil"/>
              <w:bottom w:val="single" w:sz="4" w:space="0" w:color="auto"/>
              <w:right w:val="single" w:sz="4" w:space="0" w:color="auto"/>
            </w:tcBorders>
            <w:shd w:val="clear" w:color="auto" w:fill="auto"/>
            <w:vAlign w:val="center"/>
            <w:hideMark/>
          </w:tcPr>
          <w:p w14:paraId="625A882B"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6</w:t>
            </w:r>
          </w:p>
        </w:tc>
        <w:tc>
          <w:tcPr>
            <w:tcW w:w="850" w:type="dxa"/>
            <w:tcBorders>
              <w:top w:val="nil"/>
              <w:left w:val="nil"/>
              <w:bottom w:val="single" w:sz="4" w:space="0" w:color="auto"/>
              <w:right w:val="single" w:sz="4" w:space="0" w:color="auto"/>
            </w:tcBorders>
            <w:shd w:val="clear" w:color="auto" w:fill="auto"/>
            <w:vAlign w:val="center"/>
            <w:hideMark/>
          </w:tcPr>
          <w:p w14:paraId="4626C272"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7</w:t>
            </w:r>
          </w:p>
        </w:tc>
        <w:tc>
          <w:tcPr>
            <w:tcW w:w="851" w:type="dxa"/>
            <w:tcBorders>
              <w:top w:val="nil"/>
              <w:left w:val="nil"/>
              <w:bottom w:val="single" w:sz="4" w:space="0" w:color="auto"/>
              <w:right w:val="single" w:sz="4" w:space="0" w:color="auto"/>
            </w:tcBorders>
            <w:shd w:val="clear" w:color="auto" w:fill="auto"/>
            <w:vAlign w:val="center"/>
            <w:hideMark/>
          </w:tcPr>
          <w:p w14:paraId="57FE6DAC"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8=5-3</w:t>
            </w:r>
          </w:p>
        </w:tc>
        <w:tc>
          <w:tcPr>
            <w:tcW w:w="708" w:type="dxa"/>
            <w:tcBorders>
              <w:top w:val="nil"/>
              <w:left w:val="nil"/>
              <w:bottom w:val="single" w:sz="4" w:space="0" w:color="auto"/>
              <w:right w:val="single" w:sz="4" w:space="0" w:color="auto"/>
            </w:tcBorders>
            <w:shd w:val="clear" w:color="auto" w:fill="auto"/>
            <w:vAlign w:val="center"/>
            <w:hideMark/>
          </w:tcPr>
          <w:p w14:paraId="56C24CA7"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9=5/3</w:t>
            </w:r>
          </w:p>
        </w:tc>
        <w:tc>
          <w:tcPr>
            <w:tcW w:w="709" w:type="dxa"/>
            <w:tcBorders>
              <w:top w:val="nil"/>
              <w:left w:val="nil"/>
              <w:bottom w:val="single" w:sz="4" w:space="0" w:color="auto"/>
              <w:right w:val="single" w:sz="4" w:space="0" w:color="auto"/>
            </w:tcBorders>
            <w:shd w:val="clear" w:color="auto" w:fill="auto"/>
            <w:vAlign w:val="center"/>
            <w:hideMark/>
          </w:tcPr>
          <w:p w14:paraId="77039574" w14:textId="77777777" w:rsidR="00827437" w:rsidRPr="00917711" w:rsidRDefault="00827437" w:rsidP="00DE312D">
            <w:pPr>
              <w:spacing w:after="0" w:line="240" w:lineRule="auto"/>
              <w:ind w:left="-108"/>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10=5-4</w:t>
            </w:r>
          </w:p>
        </w:tc>
        <w:tc>
          <w:tcPr>
            <w:tcW w:w="709" w:type="dxa"/>
            <w:tcBorders>
              <w:top w:val="nil"/>
              <w:left w:val="nil"/>
              <w:bottom w:val="single" w:sz="4" w:space="0" w:color="auto"/>
              <w:right w:val="single" w:sz="4" w:space="0" w:color="auto"/>
            </w:tcBorders>
            <w:shd w:val="clear" w:color="auto" w:fill="auto"/>
            <w:vAlign w:val="center"/>
            <w:hideMark/>
          </w:tcPr>
          <w:p w14:paraId="5F898DD5" w14:textId="77777777" w:rsidR="00827437" w:rsidRPr="00917711" w:rsidRDefault="00827437" w:rsidP="00E40BEE">
            <w:pPr>
              <w:spacing w:after="0" w:line="240" w:lineRule="auto"/>
              <w:jc w:val="center"/>
              <w:rPr>
                <w:rFonts w:ascii="Times New Roman" w:eastAsia="Times New Roman" w:hAnsi="Times New Roman" w:cs="Times New Roman"/>
                <w:bCs/>
                <w:color w:val="000000"/>
                <w:sz w:val="16"/>
                <w:szCs w:val="16"/>
                <w:lang w:eastAsia="ru-RU"/>
              </w:rPr>
            </w:pPr>
            <w:r w:rsidRPr="00917711">
              <w:rPr>
                <w:rFonts w:ascii="Times New Roman" w:eastAsia="Times New Roman" w:hAnsi="Times New Roman" w:cs="Times New Roman"/>
                <w:bCs/>
                <w:color w:val="000000"/>
                <w:sz w:val="16"/>
                <w:szCs w:val="16"/>
                <w:lang w:eastAsia="ru-RU"/>
              </w:rPr>
              <w:t>11=5/4</w:t>
            </w:r>
          </w:p>
        </w:tc>
      </w:tr>
      <w:tr w:rsidR="00827437" w:rsidRPr="00522104" w14:paraId="425C03FC" w14:textId="77777777" w:rsidTr="00917711">
        <w:trPr>
          <w:trHeight w:val="144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63F16D87" w14:textId="77777777" w:rsidR="00827437" w:rsidRPr="00522104" w:rsidRDefault="00827437" w:rsidP="00E40BEE">
            <w:pPr>
              <w:spacing w:after="0" w:line="240" w:lineRule="auto"/>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ГП "Развитие сельского хозяйства и регулирование рынков сельскохозяйственной продукции, сырья и продовольствия"</w:t>
            </w:r>
            <w:r w:rsidRPr="00522104">
              <w:t xml:space="preserve"> </w:t>
            </w:r>
            <w:r w:rsidRPr="00522104">
              <w:rPr>
                <w:rFonts w:ascii="Times New Roman" w:eastAsia="Times New Roman" w:hAnsi="Times New Roman" w:cs="Times New Roman"/>
                <w:b/>
                <w:bCs/>
                <w:color w:val="000000"/>
                <w:sz w:val="18"/>
                <w:szCs w:val="18"/>
                <w:lang w:eastAsia="ru-RU"/>
              </w:rPr>
              <w:t xml:space="preserve">на 2020 - 2027 годы </w:t>
            </w:r>
          </w:p>
        </w:tc>
        <w:tc>
          <w:tcPr>
            <w:tcW w:w="851" w:type="dxa"/>
            <w:tcBorders>
              <w:top w:val="nil"/>
              <w:left w:val="nil"/>
              <w:bottom w:val="single" w:sz="4" w:space="0" w:color="auto"/>
              <w:right w:val="single" w:sz="4" w:space="0" w:color="auto"/>
            </w:tcBorders>
            <w:shd w:val="clear" w:color="auto" w:fill="auto"/>
            <w:noWrap/>
            <w:vAlign w:val="bottom"/>
            <w:hideMark/>
          </w:tcPr>
          <w:p w14:paraId="4003D299"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4 214,71</w:t>
            </w:r>
          </w:p>
        </w:tc>
        <w:tc>
          <w:tcPr>
            <w:tcW w:w="850" w:type="dxa"/>
            <w:tcBorders>
              <w:top w:val="nil"/>
              <w:left w:val="nil"/>
              <w:bottom w:val="single" w:sz="4" w:space="0" w:color="auto"/>
              <w:right w:val="single" w:sz="4" w:space="0" w:color="auto"/>
            </w:tcBorders>
            <w:shd w:val="clear" w:color="auto" w:fill="auto"/>
            <w:noWrap/>
            <w:vAlign w:val="bottom"/>
            <w:hideMark/>
          </w:tcPr>
          <w:p w14:paraId="6DB30967"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4 268,15</w:t>
            </w:r>
          </w:p>
        </w:tc>
        <w:tc>
          <w:tcPr>
            <w:tcW w:w="851" w:type="dxa"/>
            <w:tcBorders>
              <w:top w:val="nil"/>
              <w:left w:val="nil"/>
              <w:bottom w:val="single" w:sz="4" w:space="0" w:color="auto"/>
              <w:right w:val="single" w:sz="4" w:space="0" w:color="auto"/>
            </w:tcBorders>
            <w:shd w:val="clear" w:color="auto" w:fill="auto"/>
            <w:noWrap/>
            <w:vAlign w:val="bottom"/>
            <w:hideMark/>
          </w:tcPr>
          <w:p w14:paraId="087C9BBF"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4 291,84</w:t>
            </w:r>
          </w:p>
        </w:tc>
        <w:tc>
          <w:tcPr>
            <w:tcW w:w="850" w:type="dxa"/>
            <w:tcBorders>
              <w:top w:val="nil"/>
              <w:left w:val="nil"/>
              <w:bottom w:val="single" w:sz="4" w:space="0" w:color="auto"/>
              <w:right w:val="single" w:sz="4" w:space="0" w:color="auto"/>
            </w:tcBorders>
            <w:shd w:val="clear" w:color="auto" w:fill="auto"/>
            <w:noWrap/>
            <w:vAlign w:val="bottom"/>
            <w:hideMark/>
          </w:tcPr>
          <w:p w14:paraId="2F6FB472"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5 161,28</w:t>
            </w:r>
          </w:p>
        </w:tc>
        <w:tc>
          <w:tcPr>
            <w:tcW w:w="851" w:type="dxa"/>
            <w:tcBorders>
              <w:top w:val="nil"/>
              <w:left w:val="nil"/>
              <w:bottom w:val="single" w:sz="4" w:space="0" w:color="auto"/>
              <w:right w:val="single" w:sz="4" w:space="0" w:color="auto"/>
            </w:tcBorders>
            <w:shd w:val="clear" w:color="auto" w:fill="auto"/>
            <w:noWrap/>
            <w:vAlign w:val="bottom"/>
            <w:hideMark/>
          </w:tcPr>
          <w:p w14:paraId="6B6A4CE2"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4 560,54</w:t>
            </w:r>
          </w:p>
        </w:tc>
        <w:tc>
          <w:tcPr>
            <w:tcW w:w="850" w:type="dxa"/>
            <w:tcBorders>
              <w:top w:val="nil"/>
              <w:left w:val="nil"/>
              <w:bottom w:val="single" w:sz="4" w:space="0" w:color="auto"/>
              <w:right w:val="single" w:sz="4" w:space="0" w:color="auto"/>
            </w:tcBorders>
            <w:shd w:val="clear" w:color="auto" w:fill="auto"/>
            <w:noWrap/>
            <w:vAlign w:val="bottom"/>
            <w:hideMark/>
          </w:tcPr>
          <w:p w14:paraId="68146147"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4 185,51</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0E4BF46"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893,13</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128AE282"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120,93</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520554A"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869,44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474DD55" w14:textId="77777777" w:rsidR="00827437" w:rsidRPr="00522104" w:rsidRDefault="00827437" w:rsidP="00E40BEE">
            <w:pPr>
              <w:spacing w:after="0" w:line="240" w:lineRule="auto"/>
              <w:jc w:val="right"/>
              <w:rPr>
                <w:rFonts w:ascii="Times New Roman" w:eastAsia="Times New Roman" w:hAnsi="Times New Roman" w:cs="Times New Roman"/>
                <w:b/>
                <w:bCs/>
                <w:color w:val="000000"/>
                <w:sz w:val="16"/>
                <w:szCs w:val="16"/>
                <w:lang w:eastAsia="ru-RU"/>
              </w:rPr>
            </w:pPr>
            <w:r w:rsidRPr="00522104">
              <w:rPr>
                <w:rFonts w:ascii="Times New Roman" w:eastAsia="Times New Roman" w:hAnsi="Times New Roman" w:cs="Times New Roman"/>
                <w:b/>
                <w:bCs/>
                <w:color w:val="000000"/>
                <w:sz w:val="16"/>
                <w:szCs w:val="16"/>
                <w:lang w:eastAsia="ru-RU"/>
              </w:rPr>
              <w:t>120,26</w:t>
            </w:r>
          </w:p>
        </w:tc>
      </w:tr>
      <w:tr w:rsidR="00827437" w:rsidRPr="00522104" w14:paraId="3E3B4C53" w14:textId="77777777" w:rsidTr="00917711">
        <w:trPr>
          <w:trHeight w:val="237"/>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5F11A8FF"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"Техническая и технологическая модернизация агропромышленного комплекса"</w:t>
            </w:r>
          </w:p>
        </w:tc>
        <w:tc>
          <w:tcPr>
            <w:tcW w:w="851" w:type="dxa"/>
            <w:tcBorders>
              <w:top w:val="nil"/>
              <w:left w:val="nil"/>
              <w:bottom w:val="single" w:sz="4" w:space="0" w:color="auto"/>
              <w:right w:val="single" w:sz="4" w:space="0" w:color="auto"/>
            </w:tcBorders>
            <w:shd w:val="clear" w:color="auto" w:fill="auto"/>
            <w:noWrap/>
            <w:vAlign w:val="bottom"/>
            <w:hideMark/>
          </w:tcPr>
          <w:p w14:paraId="438D1F4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707,47</w:t>
            </w:r>
          </w:p>
        </w:tc>
        <w:tc>
          <w:tcPr>
            <w:tcW w:w="850" w:type="dxa"/>
            <w:tcBorders>
              <w:top w:val="nil"/>
              <w:left w:val="nil"/>
              <w:bottom w:val="single" w:sz="4" w:space="0" w:color="auto"/>
              <w:right w:val="single" w:sz="4" w:space="0" w:color="auto"/>
            </w:tcBorders>
            <w:shd w:val="clear" w:color="auto" w:fill="auto"/>
            <w:noWrap/>
            <w:vAlign w:val="bottom"/>
            <w:hideMark/>
          </w:tcPr>
          <w:p w14:paraId="17F6663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586,56</w:t>
            </w:r>
          </w:p>
        </w:tc>
        <w:tc>
          <w:tcPr>
            <w:tcW w:w="851" w:type="dxa"/>
            <w:tcBorders>
              <w:top w:val="nil"/>
              <w:left w:val="nil"/>
              <w:bottom w:val="single" w:sz="4" w:space="0" w:color="auto"/>
              <w:right w:val="single" w:sz="4" w:space="0" w:color="auto"/>
            </w:tcBorders>
            <w:shd w:val="clear" w:color="auto" w:fill="auto"/>
            <w:noWrap/>
            <w:vAlign w:val="bottom"/>
            <w:hideMark/>
          </w:tcPr>
          <w:p w14:paraId="62BC7AB6"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711,86</w:t>
            </w:r>
          </w:p>
        </w:tc>
        <w:tc>
          <w:tcPr>
            <w:tcW w:w="850" w:type="dxa"/>
            <w:tcBorders>
              <w:top w:val="nil"/>
              <w:left w:val="nil"/>
              <w:bottom w:val="single" w:sz="4" w:space="0" w:color="auto"/>
              <w:right w:val="single" w:sz="4" w:space="0" w:color="auto"/>
            </w:tcBorders>
            <w:shd w:val="clear" w:color="auto" w:fill="auto"/>
            <w:noWrap/>
            <w:vAlign w:val="bottom"/>
            <w:hideMark/>
          </w:tcPr>
          <w:p w14:paraId="73BC886F"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751,86</w:t>
            </w:r>
          </w:p>
        </w:tc>
        <w:tc>
          <w:tcPr>
            <w:tcW w:w="851" w:type="dxa"/>
            <w:tcBorders>
              <w:top w:val="nil"/>
              <w:left w:val="nil"/>
              <w:bottom w:val="single" w:sz="4" w:space="0" w:color="auto"/>
              <w:right w:val="single" w:sz="4" w:space="0" w:color="auto"/>
            </w:tcBorders>
            <w:shd w:val="clear" w:color="auto" w:fill="auto"/>
            <w:noWrap/>
            <w:vAlign w:val="bottom"/>
            <w:hideMark/>
          </w:tcPr>
          <w:p w14:paraId="22CAEEE1"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841,70</w:t>
            </w:r>
          </w:p>
        </w:tc>
        <w:tc>
          <w:tcPr>
            <w:tcW w:w="850" w:type="dxa"/>
            <w:tcBorders>
              <w:top w:val="nil"/>
              <w:left w:val="nil"/>
              <w:bottom w:val="single" w:sz="4" w:space="0" w:color="auto"/>
              <w:right w:val="single" w:sz="4" w:space="0" w:color="auto"/>
            </w:tcBorders>
            <w:shd w:val="clear" w:color="auto" w:fill="auto"/>
            <w:noWrap/>
            <w:vAlign w:val="bottom"/>
            <w:hideMark/>
          </w:tcPr>
          <w:p w14:paraId="5E3AFE96"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841,70</w:t>
            </w:r>
          </w:p>
        </w:tc>
        <w:tc>
          <w:tcPr>
            <w:tcW w:w="851" w:type="dxa"/>
            <w:tcBorders>
              <w:top w:val="nil"/>
              <w:left w:val="nil"/>
              <w:bottom w:val="single" w:sz="4" w:space="0" w:color="auto"/>
              <w:right w:val="single" w:sz="4" w:space="0" w:color="auto"/>
            </w:tcBorders>
            <w:shd w:val="clear" w:color="auto" w:fill="auto"/>
            <w:noWrap/>
            <w:vAlign w:val="bottom"/>
            <w:hideMark/>
          </w:tcPr>
          <w:p w14:paraId="184599F6"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165,30</w:t>
            </w:r>
          </w:p>
        </w:tc>
        <w:tc>
          <w:tcPr>
            <w:tcW w:w="708" w:type="dxa"/>
            <w:tcBorders>
              <w:top w:val="nil"/>
              <w:left w:val="nil"/>
              <w:bottom w:val="single" w:sz="4" w:space="0" w:color="auto"/>
              <w:right w:val="single" w:sz="4" w:space="0" w:color="auto"/>
            </w:tcBorders>
            <w:shd w:val="clear" w:color="auto" w:fill="auto"/>
            <w:noWrap/>
            <w:vAlign w:val="bottom"/>
            <w:hideMark/>
          </w:tcPr>
          <w:p w14:paraId="4130213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128,18</w:t>
            </w:r>
          </w:p>
        </w:tc>
        <w:tc>
          <w:tcPr>
            <w:tcW w:w="709" w:type="dxa"/>
            <w:tcBorders>
              <w:top w:val="nil"/>
              <w:left w:val="nil"/>
              <w:bottom w:val="single" w:sz="4" w:space="0" w:color="auto"/>
              <w:right w:val="single" w:sz="4" w:space="0" w:color="auto"/>
            </w:tcBorders>
            <w:shd w:val="clear" w:color="auto" w:fill="auto"/>
            <w:noWrap/>
            <w:vAlign w:val="bottom"/>
            <w:hideMark/>
          </w:tcPr>
          <w:p w14:paraId="6E76692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40,00</w:t>
            </w:r>
          </w:p>
        </w:tc>
        <w:tc>
          <w:tcPr>
            <w:tcW w:w="709" w:type="dxa"/>
            <w:tcBorders>
              <w:top w:val="nil"/>
              <w:left w:val="nil"/>
              <w:bottom w:val="single" w:sz="4" w:space="0" w:color="auto"/>
              <w:right w:val="single" w:sz="4" w:space="0" w:color="auto"/>
            </w:tcBorders>
            <w:shd w:val="clear" w:color="auto" w:fill="auto"/>
            <w:noWrap/>
            <w:vAlign w:val="bottom"/>
            <w:hideMark/>
          </w:tcPr>
          <w:p w14:paraId="4FAD163F"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105,62</w:t>
            </w:r>
          </w:p>
        </w:tc>
      </w:tr>
      <w:tr w:rsidR="00827437" w:rsidRPr="00522104" w14:paraId="329FED0B" w14:textId="77777777" w:rsidTr="00917711">
        <w:trPr>
          <w:trHeight w:val="60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03EBD30A" w14:textId="77777777" w:rsidR="00827437" w:rsidRPr="00522104" w:rsidRDefault="00827437" w:rsidP="00E40BEE">
            <w:pPr>
              <w:spacing w:after="0" w:line="240" w:lineRule="auto"/>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Федеральный проект "Экспорт продукции агропромышленного комплекса"</w:t>
            </w:r>
          </w:p>
        </w:tc>
        <w:tc>
          <w:tcPr>
            <w:tcW w:w="851" w:type="dxa"/>
            <w:tcBorders>
              <w:top w:val="nil"/>
              <w:left w:val="nil"/>
              <w:bottom w:val="single" w:sz="4" w:space="0" w:color="auto"/>
              <w:right w:val="single" w:sz="4" w:space="0" w:color="auto"/>
            </w:tcBorders>
            <w:shd w:val="clear" w:color="auto" w:fill="auto"/>
            <w:noWrap/>
            <w:vAlign w:val="bottom"/>
            <w:hideMark/>
          </w:tcPr>
          <w:p w14:paraId="090BD3AB"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5C400F8"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0,20</w:t>
            </w:r>
          </w:p>
        </w:tc>
        <w:tc>
          <w:tcPr>
            <w:tcW w:w="851" w:type="dxa"/>
            <w:tcBorders>
              <w:top w:val="nil"/>
              <w:left w:val="nil"/>
              <w:bottom w:val="single" w:sz="4" w:space="0" w:color="auto"/>
              <w:right w:val="single" w:sz="4" w:space="0" w:color="auto"/>
            </w:tcBorders>
            <w:shd w:val="clear" w:color="auto" w:fill="auto"/>
            <w:noWrap/>
            <w:vAlign w:val="bottom"/>
            <w:hideMark/>
          </w:tcPr>
          <w:p w14:paraId="6B65E642"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F3F6CB6"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F3A49F8"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A34B6B6"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3525BA1"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-0,20</w:t>
            </w:r>
          </w:p>
        </w:tc>
        <w:tc>
          <w:tcPr>
            <w:tcW w:w="708" w:type="dxa"/>
            <w:tcBorders>
              <w:top w:val="nil"/>
              <w:left w:val="nil"/>
              <w:bottom w:val="single" w:sz="4" w:space="0" w:color="auto"/>
              <w:right w:val="single" w:sz="4" w:space="0" w:color="auto"/>
            </w:tcBorders>
            <w:shd w:val="clear" w:color="auto" w:fill="auto"/>
            <w:noWrap/>
            <w:vAlign w:val="bottom"/>
            <w:hideMark/>
          </w:tcPr>
          <w:p w14:paraId="1991FE8A"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10DEBFD0"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C715392"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r>
      <w:tr w:rsidR="00827437" w:rsidRPr="00522104" w14:paraId="5FACDC43" w14:textId="77777777" w:rsidTr="00917711">
        <w:trPr>
          <w:trHeight w:val="439"/>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3C559324"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"Повышение финансовой устойчивости"</w:t>
            </w:r>
          </w:p>
        </w:tc>
        <w:tc>
          <w:tcPr>
            <w:tcW w:w="851" w:type="dxa"/>
            <w:tcBorders>
              <w:top w:val="nil"/>
              <w:left w:val="nil"/>
              <w:bottom w:val="single" w:sz="4" w:space="0" w:color="auto"/>
              <w:right w:val="single" w:sz="4" w:space="0" w:color="auto"/>
            </w:tcBorders>
            <w:shd w:val="clear" w:color="auto" w:fill="auto"/>
            <w:noWrap/>
            <w:vAlign w:val="bottom"/>
            <w:hideMark/>
          </w:tcPr>
          <w:p w14:paraId="39FAA53E"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517,96</w:t>
            </w:r>
          </w:p>
        </w:tc>
        <w:tc>
          <w:tcPr>
            <w:tcW w:w="850" w:type="dxa"/>
            <w:tcBorders>
              <w:top w:val="nil"/>
              <w:left w:val="nil"/>
              <w:bottom w:val="single" w:sz="4" w:space="0" w:color="auto"/>
              <w:right w:val="single" w:sz="4" w:space="0" w:color="auto"/>
            </w:tcBorders>
            <w:shd w:val="clear" w:color="auto" w:fill="auto"/>
            <w:noWrap/>
            <w:vAlign w:val="bottom"/>
            <w:hideMark/>
          </w:tcPr>
          <w:p w14:paraId="5FA21B35"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489,35</w:t>
            </w:r>
          </w:p>
        </w:tc>
        <w:tc>
          <w:tcPr>
            <w:tcW w:w="851" w:type="dxa"/>
            <w:tcBorders>
              <w:top w:val="nil"/>
              <w:left w:val="nil"/>
              <w:bottom w:val="single" w:sz="4" w:space="0" w:color="auto"/>
              <w:right w:val="single" w:sz="4" w:space="0" w:color="auto"/>
            </w:tcBorders>
            <w:shd w:val="clear" w:color="auto" w:fill="auto"/>
            <w:noWrap/>
            <w:vAlign w:val="bottom"/>
            <w:hideMark/>
          </w:tcPr>
          <w:p w14:paraId="68FA985E"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405,08</w:t>
            </w:r>
          </w:p>
        </w:tc>
        <w:tc>
          <w:tcPr>
            <w:tcW w:w="850" w:type="dxa"/>
            <w:tcBorders>
              <w:top w:val="nil"/>
              <w:left w:val="nil"/>
              <w:bottom w:val="single" w:sz="4" w:space="0" w:color="auto"/>
              <w:right w:val="single" w:sz="4" w:space="0" w:color="auto"/>
            </w:tcBorders>
            <w:shd w:val="clear" w:color="auto" w:fill="auto"/>
            <w:noWrap/>
            <w:vAlign w:val="bottom"/>
            <w:hideMark/>
          </w:tcPr>
          <w:p w14:paraId="70B43F5D"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540,37</w:t>
            </w:r>
          </w:p>
        </w:tc>
        <w:tc>
          <w:tcPr>
            <w:tcW w:w="851" w:type="dxa"/>
            <w:tcBorders>
              <w:top w:val="nil"/>
              <w:left w:val="nil"/>
              <w:bottom w:val="single" w:sz="4" w:space="0" w:color="auto"/>
              <w:right w:val="single" w:sz="4" w:space="0" w:color="auto"/>
            </w:tcBorders>
            <w:shd w:val="clear" w:color="auto" w:fill="auto"/>
            <w:noWrap/>
            <w:vAlign w:val="bottom"/>
            <w:hideMark/>
          </w:tcPr>
          <w:p w14:paraId="4DEFBE3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350,53</w:t>
            </w:r>
          </w:p>
        </w:tc>
        <w:tc>
          <w:tcPr>
            <w:tcW w:w="850" w:type="dxa"/>
            <w:tcBorders>
              <w:top w:val="nil"/>
              <w:left w:val="nil"/>
              <w:bottom w:val="single" w:sz="4" w:space="0" w:color="auto"/>
              <w:right w:val="single" w:sz="4" w:space="0" w:color="auto"/>
            </w:tcBorders>
            <w:shd w:val="clear" w:color="auto" w:fill="auto"/>
            <w:noWrap/>
            <w:vAlign w:val="bottom"/>
            <w:hideMark/>
          </w:tcPr>
          <w:p w14:paraId="0161C98F"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306,60</w:t>
            </w:r>
          </w:p>
        </w:tc>
        <w:tc>
          <w:tcPr>
            <w:tcW w:w="851" w:type="dxa"/>
            <w:tcBorders>
              <w:top w:val="nil"/>
              <w:left w:val="nil"/>
              <w:bottom w:val="single" w:sz="4" w:space="0" w:color="auto"/>
              <w:right w:val="single" w:sz="4" w:space="0" w:color="auto"/>
            </w:tcBorders>
            <w:shd w:val="clear" w:color="auto" w:fill="auto"/>
            <w:noWrap/>
            <w:vAlign w:val="bottom"/>
            <w:hideMark/>
          </w:tcPr>
          <w:p w14:paraId="1F7E2A8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51,02</w:t>
            </w:r>
          </w:p>
        </w:tc>
        <w:tc>
          <w:tcPr>
            <w:tcW w:w="708" w:type="dxa"/>
            <w:tcBorders>
              <w:top w:val="nil"/>
              <w:left w:val="nil"/>
              <w:bottom w:val="single" w:sz="4" w:space="0" w:color="auto"/>
              <w:right w:val="single" w:sz="4" w:space="0" w:color="auto"/>
            </w:tcBorders>
            <w:shd w:val="clear" w:color="auto" w:fill="auto"/>
            <w:noWrap/>
            <w:vAlign w:val="bottom"/>
            <w:hideMark/>
          </w:tcPr>
          <w:p w14:paraId="46330E2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110,42</w:t>
            </w:r>
          </w:p>
        </w:tc>
        <w:tc>
          <w:tcPr>
            <w:tcW w:w="709" w:type="dxa"/>
            <w:tcBorders>
              <w:top w:val="nil"/>
              <w:left w:val="nil"/>
              <w:bottom w:val="single" w:sz="4" w:space="0" w:color="auto"/>
              <w:right w:val="single" w:sz="4" w:space="0" w:color="auto"/>
            </w:tcBorders>
            <w:shd w:val="clear" w:color="auto" w:fill="auto"/>
            <w:noWrap/>
            <w:vAlign w:val="bottom"/>
            <w:hideMark/>
          </w:tcPr>
          <w:p w14:paraId="2FB2FCF2"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135,29</w:t>
            </w:r>
          </w:p>
        </w:tc>
        <w:tc>
          <w:tcPr>
            <w:tcW w:w="709" w:type="dxa"/>
            <w:tcBorders>
              <w:top w:val="nil"/>
              <w:left w:val="nil"/>
              <w:bottom w:val="single" w:sz="4" w:space="0" w:color="auto"/>
              <w:right w:val="single" w:sz="4" w:space="0" w:color="auto"/>
            </w:tcBorders>
            <w:shd w:val="clear" w:color="auto" w:fill="auto"/>
            <w:noWrap/>
            <w:vAlign w:val="bottom"/>
            <w:hideMark/>
          </w:tcPr>
          <w:p w14:paraId="009E9AFF"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133,40</w:t>
            </w:r>
          </w:p>
        </w:tc>
      </w:tr>
      <w:tr w:rsidR="00827437" w:rsidRPr="00522104" w14:paraId="5D4C5B71" w14:textId="77777777" w:rsidTr="00917711">
        <w:trPr>
          <w:trHeight w:val="347"/>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058AD5F4"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"Развитие подотрасли растениеводства, переработки и реализации продукции растениеводства</w:t>
            </w:r>
          </w:p>
        </w:tc>
        <w:tc>
          <w:tcPr>
            <w:tcW w:w="851" w:type="dxa"/>
            <w:tcBorders>
              <w:top w:val="nil"/>
              <w:left w:val="nil"/>
              <w:bottom w:val="single" w:sz="4" w:space="0" w:color="auto"/>
              <w:right w:val="single" w:sz="4" w:space="0" w:color="auto"/>
            </w:tcBorders>
            <w:shd w:val="clear" w:color="auto" w:fill="auto"/>
            <w:noWrap/>
            <w:vAlign w:val="bottom"/>
            <w:hideMark/>
          </w:tcPr>
          <w:p w14:paraId="3A3EA7E4"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378,83</w:t>
            </w:r>
          </w:p>
        </w:tc>
        <w:tc>
          <w:tcPr>
            <w:tcW w:w="850" w:type="dxa"/>
            <w:tcBorders>
              <w:top w:val="nil"/>
              <w:left w:val="nil"/>
              <w:bottom w:val="single" w:sz="4" w:space="0" w:color="auto"/>
              <w:right w:val="single" w:sz="4" w:space="0" w:color="auto"/>
            </w:tcBorders>
            <w:shd w:val="clear" w:color="auto" w:fill="auto"/>
            <w:noWrap/>
            <w:vAlign w:val="bottom"/>
            <w:hideMark/>
          </w:tcPr>
          <w:p w14:paraId="10BB9CC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403,13</w:t>
            </w:r>
          </w:p>
        </w:tc>
        <w:tc>
          <w:tcPr>
            <w:tcW w:w="851" w:type="dxa"/>
            <w:tcBorders>
              <w:top w:val="nil"/>
              <w:left w:val="nil"/>
              <w:bottom w:val="single" w:sz="4" w:space="0" w:color="auto"/>
              <w:right w:val="single" w:sz="4" w:space="0" w:color="auto"/>
            </w:tcBorders>
            <w:shd w:val="clear" w:color="auto" w:fill="auto"/>
            <w:noWrap/>
            <w:vAlign w:val="bottom"/>
            <w:hideMark/>
          </w:tcPr>
          <w:p w14:paraId="087AA56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282,27</w:t>
            </w:r>
          </w:p>
        </w:tc>
        <w:tc>
          <w:tcPr>
            <w:tcW w:w="850" w:type="dxa"/>
            <w:tcBorders>
              <w:top w:val="nil"/>
              <w:left w:val="nil"/>
              <w:bottom w:val="single" w:sz="4" w:space="0" w:color="auto"/>
              <w:right w:val="single" w:sz="4" w:space="0" w:color="auto"/>
            </w:tcBorders>
            <w:shd w:val="clear" w:color="auto" w:fill="auto"/>
            <w:noWrap/>
            <w:vAlign w:val="bottom"/>
            <w:hideMark/>
          </w:tcPr>
          <w:p w14:paraId="64277CB0"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367,41</w:t>
            </w:r>
          </w:p>
        </w:tc>
        <w:tc>
          <w:tcPr>
            <w:tcW w:w="851" w:type="dxa"/>
            <w:tcBorders>
              <w:top w:val="nil"/>
              <w:left w:val="nil"/>
              <w:bottom w:val="single" w:sz="4" w:space="0" w:color="auto"/>
              <w:right w:val="single" w:sz="4" w:space="0" w:color="auto"/>
            </w:tcBorders>
            <w:shd w:val="clear" w:color="auto" w:fill="auto"/>
            <w:noWrap/>
            <w:vAlign w:val="bottom"/>
            <w:hideMark/>
          </w:tcPr>
          <w:p w14:paraId="59E74ED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364,57</w:t>
            </w:r>
          </w:p>
        </w:tc>
        <w:tc>
          <w:tcPr>
            <w:tcW w:w="850" w:type="dxa"/>
            <w:tcBorders>
              <w:top w:val="nil"/>
              <w:left w:val="nil"/>
              <w:bottom w:val="single" w:sz="4" w:space="0" w:color="auto"/>
              <w:right w:val="single" w:sz="4" w:space="0" w:color="auto"/>
            </w:tcBorders>
            <w:shd w:val="clear" w:color="auto" w:fill="auto"/>
            <w:noWrap/>
            <w:vAlign w:val="bottom"/>
            <w:hideMark/>
          </w:tcPr>
          <w:p w14:paraId="19C88552"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376,95</w:t>
            </w:r>
          </w:p>
        </w:tc>
        <w:tc>
          <w:tcPr>
            <w:tcW w:w="851" w:type="dxa"/>
            <w:tcBorders>
              <w:top w:val="nil"/>
              <w:left w:val="nil"/>
              <w:bottom w:val="single" w:sz="4" w:space="0" w:color="auto"/>
              <w:right w:val="single" w:sz="4" w:space="0" w:color="auto"/>
            </w:tcBorders>
            <w:shd w:val="clear" w:color="auto" w:fill="auto"/>
            <w:noWrap/>
            <w:vAlign w:val="bottom"/>
            <w:hideMark/>
          </w:tcPr>
          <w:p w14:paraId="3CAF4DE4"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-35,72</w:t>
            </w:r>
          </w:p>
        </w:tc>
        <w:tc>
          <w:tcPr>
            <w:tcW w:w="708" w:type="dxa"/>
            <w:tcBorders>
              <w:top w:val="nil"/>
              <w:left w:val="nil"/>
              <w:bottom w:val="single" w:sz="4" w:space="0" w:color="auto"/>
              <w:right w:val="single" w:sz="4" w:space="0" w:color="auto"/>
            </w:tcBorders>
            <w:shd w:val="clear" w:color="auto" w:fill="auto"/>
            <w:noWrap/>
            <w:vAlign w:val="bottom"/>
            <w:hideMark/>
          </w:tcPr>
          <w:p w14:paraId="2C4BF906"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91,14</w:t>
            </w:r>
          </w:p>
        </w:tc>
        <w:tc>
          <w:tcPr>
            <w:tcW w:w="709" w:type="dxa"/>
            <w:tcBorders>
              <w:top w:val="nil"/>
              <w:left w:val="nil"/>
              <w:bottom w:val="single" w:sz="4" w:space="0" w:color="auto"/>
              <w:right w:val="single" w:sz="4" w:space="0" w:color="auto"/>
            </w:tcBorders>
            <w:shd w:val="clear" w:color="auto" w:fill="auto"/>
            <w:noWrap/>
            <w:vAlign w:val="bottom"/>
            <w:hideMark/>
          </w:tcPr>
          <w:p w14:paraId="799D22CF"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85,14</w:t>
            </w:r>
          </w:p>
        </w:tc>
        <w:tc>
          <w:tcPr>
            <w:tcW w:w="709" w:type="dxa"/>
            <w:tcBorders>
              <w:top w:val="nil"/>
              <w:left w:val="nil"/>
              <w:bottom w:val="single" w:sz="4" w:space="0" w:color="auto"/>
              <w:right w:val="single" w:sz="4" w:space="0" w:color="auto"/>
            </w:tcBorders>
            <w:shd w:val="clear" w:color="auto" w:fill="auto"/>
            <w:noWrap/>
            <w:vAlign w:val="bottom"/>
            <w:hideMark/>
          </w:tcPr>
          <w:p w14:paraId="1C4D51E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130,16</w:t>
            </w:r>
          </w:p>
        </w:tc>
      </w:tr>
      <w:tr w:rsidR="00827437" w:rsidRPr="00522104" w14:paraId="1371C698" w14:textId="77777777" w:rsidTr="00917711">
        <w:trPr>
          <w:trHeight w:val="1239"/>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555CEB4C"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"Развитие подотрасли животноводства, переработки и реализации продукции животноводства"</w:t>
            </w:r>
          </w:p>
        </w:tc>
        <w:tc>
          <w:tcPr>
            <w:tcW w:w="851" w:type="dxa"/>
            <w:tcBorders>
              <w:top w:val="nil"/>
              <w:left w:val="nil"/>
              <w:bottom w:val="single" w:sz="4" w:space="0" w:color="auto"/>
              <w:right w:val="single" w:sz="4" w:space="0" w:color="auto"/>
            </w:tcBorders>
            <w:shd w:val="clear" w:color="auto" w:fill="auto"/>
            <w:noWrap/>
            <w:vAlign w:val="bottom"/>
            <w:hideMark/>
          </w:tcPr>
          <w:p w14:paraId="68BB9601"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1 034,84</w:t>
            </w:r>
          </w:p>
        </w:tc>
        <w:tc>
          <w:tcPr>
            <w:tcW w:w="850" w:type="dxa"/>
            <w:tcBorders>
              <w:top w:val="nil"/>
              <w:left w:val="nil"/>
              <w:bottom w:val="single" w:sz="4" w:space="0" w:color="auto"/>
              <w:right w:val="single" w:sz="4" w:space="0" w:color="auto"/>
            </w:tcBorders>
            <w:shd w:val="clear" w:color="auto" w:fill="auto"/>
            <w:noWrap/>
            <w:vAlign w:val="bottom"/>
            <w:hideMark/>
          </w:tcPr>
          <w:p w14:paraId="7F768491"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1 700,17</w:t>
            </w:r>
          </w:p>
        </w:tc>
        <w:tc>
          <w:tcPr>
            <w:tcW w:w="851" w:type="dxa"/>
            <w:tcBorders>
              <w:top w:val="nil"/>
              <w:left w:val="nil"/>
              <w:bottom w:val="single" w:sz="4" w:space="0" w:color="auto"/>
              <w:right w:val="single" w:sz="4" w:space="0" w:color="auto"/>
            </w:tcBorders>
            <w:shd w:val="clear" w:color="auto" w:fill="auto"/>
            <w:noWrap/>
            <w:vAlign w:val="bottom"/>
            <w:hideMark/>
          </w:tcPr>
          <w:p w14:paraId="00C8B79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1 100,33</w:t>
            </w:r>
          </w:p>
        </w:tc>
        <w:tc>
          <w:tcPr>
            <w:tcW w:w="850" w:type="dxa"/>
            <w:tcBorders>
              <w:top w:val="nil"/>
              <w:left w:val="nil"/>
              <w:bottom w:val="single" w:sz="4" w:space="0" w:color="auto"/>
              <w:right w:val="single" w:sz="4" w:space="0" w:color="auto"/>
            </w:tcBorders>
            <w:shd w:val="clear" w:color="auto" w:fill="auto"/>
            <w:noWrap/>
            <w:vAlign w:val="bottom"/>
            <w:hideMark/>
          </w:tcPr>
          <w:p w14:paraId="2F37307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1 347,22</w:t>
            </w:r>
          </w:p>
        </w:tc>
        <w:tc>
          <w:tcPr>
            <w:tcW w:w="851" w:type="dxa"/>
            <w:tcBorders>
              <w:top w:val="nil"/>
              <w:left w:val="nil"/>
              <w:bottom w:val="single" w:sz="4" w:space="0" w:color="auto"/>
              <w:right w:val="single" w:sz="4" w:space="0" w:color="auto"/>
            </w:tcBorders>
            <w:shd w:val="clear" w:color="auto" w:fill="auto"/>
            <w:noWrap/>
            <w:vAlign w:val="bottom"/>
            <w:hideMark/>
          </w:tcPr>
          <w:p w14:paraId="734BD3B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1 125,09</w:t>
            </w:r>
          </w:p>
        </w:tc>
        <w:tc>
          <w:tcPr>
            <w:tcW w:w="850" w:type="dxa"/>
            <w:tcBorders>
              <w:top w:val="nil"/>
              <w:left w:val="nil"/>
              <w:bottom w:val="single" w:sz="4" w:space="0" w:color="auto"/>
              <w:right w:val="single" w:sz="4" w:space="0" w:color="auto"/>
            </w:tcBorders>
            <w:shd w:val="clear" w:color="auto" w:fill="auto"/>
            <w:noWrap/>
            <w:vAlign w:val="bottom"/>
            <w:hideMark/>
          </w:tcPr>
          <w:p w14:paraId="3F063AE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1 136,76</w:t>
            </w:r>
          </w:p>
        </w:tc>
        <w:tc>
          <w:tcPr>
            <w:tcW w:w="851" w:type="dxa"/>
            <w:tcBorders>
              <w:top w:val="nil"/>
              <w:left w:val="nil"/>
              <w:bottom w:val="single" w:sz="4" w:space="0" w:color="auto"/>
              <w:right w:val="single" w:sz="4" w:space="0" w:color="auto"/>
            </w:tcBorders>
            <w:shd w:val="clear" w:color="auto" w:fill="auto"/>
            <w:noWrap/>
            <w:vAlign w:val="bottom"/>
            <w:hideMark/>
          </w:tcPr>
          <w:p w14:paraId="6D0EBEA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-352,95</w:t>
            </w:r>
          </w:p>
        </w:tc>
        <w:tc>
          <w:tcPr>
            <w:tcW w:w="708" w:type="dxa"/>
            <w:tcBorders>
              <w:top w:val="nil"/>
              <w:left w:val="nil"/>
              <w:bottom w:val="single" w:sz="4" w:space="0" w:color="auto"/>
              <w:right w:val="single" w:sz="4" w:space="0" w:color="auto"/>
            </w:tcBorders>
            <w:shd w:val="clear" w:color="auto" w:fill="auto"/>
            <w:noWrap/>
            <w:vAlign w:val="bottom"/>
            <w:hideMark/>
          </w:tcPr>
          <w:p w14:paraId="69B50DD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79,24</w:t>
            </w:r>
          </w:p>
        </w:tc>
        <w:tc>
          <w:tcPr>
            <w:tcW w:w="709" w:type="dxa"/>
            <w:tcBorders>
              <w:top w:val="nil"/>
              <w:left w:val="nil"/>
              <w:bottom w:val="single" w:sz="4" w:space="0" w:color="auto"/>
              <w:right w:val="single" w:sz="4" w:space="0" w:color="auto"/>
            </w:tcBorders>
            <w:shd w:val="clear" w:color="auto" w:fill="auto"/>
            <w:noWrap/>
            <w:vAlign w:val="bottom"/>
            <w:hideMark/>
          </w:tcPr>
          <w:p w14:paraId="61E0F700"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246,89</w:t>
            </w:r>
          </w:p>
        </w:tc>
        <w:tc>
          <w:tcPr>
            <w:tcW w:w="709" w:type="dxa"/>
            <w:tcBorders>
              <w:top w:val="nil"/>
              <w:left w:val="nil"/>
              <w:bottom w:val="single" w:sz="4" w:space="0" w:color="auto"/>
              <w:right w:val="single" w:sz="4" w:space="0" w:color="auto"/>
            </w:tcBorders>
            <w:shd w:val="clear" w:color="auto" w:fill="auto"/>
            <w:noWrap/>
            <w:vAlign w:val="bottom"/>
            <w:hideMark/>
          </w:tcPr>
          <w:p w14:paraId="0E70AB8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122,44</w:t>
            </w:r>
          </w:p>
        </w:tc>
      </w:tr>
      <w:tr w:rsidR="00827437" w:rsidRPr="00522104" w14:paraId="1E527234" w14:textId="77777777" w:rsidTr="00917711">
        <w:trPr>
          <w:trHeight w:val="60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0EDC798F" w14:textId="77777777" w:rsidR="00827437" w:rsidRPr="00522104" w:rsidRDefault="00827437" w:rsidP="00E40BEE">
            <w:pPr>
              <w:spacing w:after="0" w:line="240" w:lineRule="auto"/>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Федеральный проект "Экспорт продукции агропромышленного комплекса"</w:t>
            </w:r>
          </w:p>
        </w:tc>
        <w:tc>
          <w:tcPr>
            <w:tcW w:w="851" w:type="dxa"/>
            <w:tcBorders>
              <w:top w:val="nil"/>
              <w:left w:val="nil"/>
              <w:bottom w:val="single" w:sz="4" w:space="0" w:color="auto"/>
              <w:right w:val="single" w:sz="4" w:space="0" w:color="auto"/>
            </w:tcBorders>
            <w:shd w:val="clear" w:color="auto" w:fill="auto"/>
            <w:noWrap/>
            <w:vAlign w:val="bottom"/>
            <w:hideMark/>
          </w:tcPr>
          <w:p w14:paraId="3B30093D"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CDF3C08"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B0ED4B3"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42,98</w:t>
            </w:r>
          </w:p>
        </w:tc>
        <w:tc>
          <w:tcPr>
            <w:tcW w:w="850" w:type="dxa"/>
            <w:tcBorders>
              <w:top w:val="nil"/>
              <w:left w:val="nil"/>
              <w:bottom w:val="single" w:sz="4" w:space="0" w:color="auto"/>
              <w:right w:val="single" w:sz="4" w:space="0" w:color="auto"/>
            </w:tcBorders>
            <w:shd w:val="clear" w:color="auto" w:fill="auto"/>
            <w:noWrap/>
            <w:vAlign w:val="bottom"/>
            <w:hideMark/>
          </w:tcPr>
          <w:p w14:paraId="6302B00A"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92867BD"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E20C462"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A1AADDA"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8" w:type="dxa"/>
            <w:tcBorders>
              <w:top w:val="nil"/>
              <w:left w:val="nil"/>
              <w:bottom w:val="single" w:sz="4" w:space="0" w:color="auto"/>
              <w:right w:val="single" w:sz="4" w:space="0" w:color="auto"/>
            </w:tcBorders>
            <w:shd w:val="clear" w:color="auto" w:fill="auto"/>
            <w:noWrap/>
            <w:vAlign w:val="bottom"/>
            <w:hideMark/>
          </w:tcPr>
          <w:p w14:paraId="1C8C84A0"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55C8AE56"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-42,98</w:t>
            </w:r>
          </w:p>
        </w:tc>
        <w:tc>
          <w:tcPr>
            <w:tcW w:w="709" w:type="dxa"/>
            <w:tcBorders>
              <w:top w:val="nil"/>
              <w:left w:val="nil"/>
              <w:bottom w:val="single" w:sz="4" w:space="0" w:color="auto"/>
              <w:right w:val="single" w:sz="4" w:space="0" w:color="auto"/>
            </w:tcBorders>
            <w:shd w:val="clear" w:color="auto" w:fill="auto"/>
            <w:noWrap/>
            <w:vAlign w:val="bottom"/>
            <w:hideMark/>
          </w:tcPr>
          <w:p w14:paraId="0ED50CA3"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r>
      <w:tr w:rsidR="00827437" w:rsidRPr="00522104" w14:paraId="74EF9E65" w14:textId="77777777" w:rsidTr="00917711">
        <w:trPr>
          <w:trHeight w:val="585"/>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5BF3F614"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"Развитие пищевой и перерабатывающей промышленности"</w:t>
            </w:r>
          </w:p>
        </w:tc>
        <w:tc>
          <w:tcPr>
            <w:tcW w:w="851" w:type="dxa"/>
            <w:tcBorders>
              <w:top w:val="nil"/>
              <w:left w:val="nil"/>
              <w:bottom w:val="single" w:sz="4" w:space="0" w:color="auto"/>
              <w:right w:val="single" w:sz="4" w:space="0" w:color="auto"/>
            </w:tcBorders>
            <w:shd w:val="clear" w:color="auto" w:fill="auto"/>
            <w:noWrap/>
            <w:vAlign w:val="bottom"/>
            <w:hideMark/>
          </w:tcPr>
          <w:p w14:paraId="3934382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78,47</w:t>
            </w:r>
          </w:p>
        </w:tc>
        <w:tc>
          <w:tcPr>
            <w:tcW w:w="850" w:type="dxa"/>
            <w:tcBorders>
              <w:top w:val="nil"/>
              <w:left w:val="nil"/>
              <w:bottom w:val="single" w:sz="4" w:space="0" w:color="auto"/>
              <w:right w:val="single" w:sz="4" w:space="0" w:color="auto"/>
            </w:tcBorders>
            <w:shd w:val="clear" w:color="auto" w:fill="auto"/>
            <w:noWrap/>
            <w:vAlign w:val="bottom"/>
            <w:hideMark/>
          </w:tcPr>
          <w:p w14:paraId="235B16A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113,64</w:t>
            </w:r>
          </w:p>
        </w:tc>
        <w:tc>
          <w:tcPr>
            <w:tcW w:w="851" w:type="dxa"/>
            <w:tcBorders>
              <w:top w:val="nil"/>
              <w:left w:val="nil"/>
              <w:bottom w:val="single" w:sz="4" w:space="0" w:color="auto"/>
              <w:right w:val="single" w:sz="4" w:space="0" w:color="auto"/>
            </w:tcBorders>
            <w:shd w:val="clear" w:color="auto" w:fill="auto"/>
            <w:noWrap/>
            <w:vAlign w:val="bottom"/>
            <w:hideMark/>
          </w:tcPr>
          <w:p w14:paraId="78818A8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78,47</w:t>
            </w:r>
          </w:p>
        </w:tc>
        <w:tc>
          <w:tcPr>
            <w:tcW w:w="850" w:type="dxa"/>
            <w:tcBorders>
              <w:top w:val="nil"/>
              <w:left w:val="nil"/>
              <w:bottom w:val="single" w:sz="4" w:space="0" w:color="auto"/>
              <w:right w:val="single" w:sz="4" w:space="0" w:color="auto"/>
            </w:tcBorders>
            <w:shd w:val="clear" w:color="auto" w:fill="auto"/>
            <w:noWrap/>
            <w:vAlign w:val="bottom"/>
            <w:hideMark/>
          </w:tcPr>
          <w:p w14:paraId="1CACC9F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105,00</w:t>
            </w:r>
          </w:p>
        </w:tc>
        <w:tc>
          <w:tcPr>
            <w:tcW w:w="851" w:type="dxa"/>
            <w:tcBorders>
              <w:top w:val="nil"/>
              <w:left w:val="nil"/>
              <w:bottom w:val="single" w:sz="4" w:space="0" w:color="auto"/>
              <w:right w:val="single" w:sz="4" w:space="0" w:color="auto"/>
            </w:tcBorders>
            <w:shd w:val="clear" w:color="auto" w:fill="auto"/>
            <w:noWrap/>
            <w:vAlign w:val="bottom"/>
            <w:hideMark/>
          </w:tcPr>
          <w:p w14:paraId="2BCCF00F"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78,47</w:t>
            </w:r>
          </w:p>
        </w:tc>
        <w:tc>
          <w:tcPr>
            <w:tcW w:w="850" w:type="dxa"/>
            <w:tcBorders>
              <w:top w:val="nil"/>
              <w:left w:val="nil"/>
              <w:bottom w:val="single" w:sz="4" w:space="0" w:color="auto"/>
              <w:right w:val="single" w:sz="4" w:space="0" w:color="auto"/>
            </w:tcBorders>
            <w:shd w:val="clear" w:color="auto" w:fill="auto"/>
            <w:noWrap/>
            <w:vAlign w:val="bottom"/>
            <w:hideMark/>
          </w:tcPr>
          <w:p w14:paraId="7022356E"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78,47</w:t>
            </w:r>
          </w:p>
        </w:tc>
        <w:tc>
          <w:tcPr>
            <w:tcW w:w="851" w:type="dxa"/>
            <w:tcBorders>
              <w:top w:val="nil"/>
              <w:left w:val="nil"/>
              <w:bottom w:val="single" w:sz="4" w:space="0" w:color="auto"/>
              <w:right w:val="single" w:sz="4" w:space="0" w:color="auto"/>
            </w:tcBorders>
            <w:shd w:val="clear" w:color="auto" w:fill="auto"/>
            <w:noWrap/>
            <w:vAlign w:val="bottom"/>
            <w:hideMark/>
          </w:tcPr>
          <w:p w14:paraId="6B68AFD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-8,64</w:t>
            </w:r>
          </w:p>
        </w:tc>
        <w:tc>
          <w:tcPr>
            <w:tcW w:w="708" w:type="dxa"/>
            <w:tcBorders>
              <w:top w:val="nil"/>
              <w:left w:val="nil"/>
              <w:bottom w:val="single" w:sz="4" w:space="0" w:color="auto"/>
              <w:right w:val="single" w:sz="4" w:space="0" w:color="auto"/>
            </w:tcBorders>
            <w:shd w:val="clear" w:color="auto" w:fill="auto"/>
            <w:noWrap/>
            <w:vAlign w:val="bottom"/>
            <w:hideMark/>
          </w:tcPr>
          <w:p w14:paraId="2A2E1D0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92,40</w:t>
            </w:r>
          </w:p>
        </w:tc>
        <w:tc>
          <w:tcPr>
            <w:tcW w:w="709" w:type="dxa"/>
            <w:tcBorders>
              <w:top w:val="nil"/>
              <w:left w:val="nil"/>
              <w:bottom w:val="single" w:sz="4" w:space="0" w:color="auto"/>
              <w:right w:val="single" w:sz="4" w:space="0" w:color="auto"/>
            </w:tcBorders>
            <w:shd w:val="clear" w:color="auto" w:fill="auto"/>
            <w:noWrap/>
            <w:vAlign w:val="bottom"/>
            <w:hideMark/>
          </w:tcPr>
          <w:p w14:paraId="461C5442"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26,54</w:t>
            </w:r>
          </w:p>
        </w:tc>
        <w:tc>
          <w:tcPr>
            <w:tcW w:w="709" w:type="dxa"/>
            <w:tcBorders>
              <w:top w:val="nil"/>
              <w:left w:val="nil"/>
              <w:bottom w:val="single" w:sz="4" w:space="0" w:color="auto"/>
              <w:right w:val="single" w:sz="4" w:space="0" w:color="auto"/>
            </w:tcBorders>
            <w:shd w:val="clear" w:color="auto" w:fill="auto"/>
            <w:noWrap/>
            <w:vAlign w:val="bottom"/>
            <w:hideMark/>
          </w:tcPr>
          <w:p w14:paraId="47D9431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133,82</w:t>
            </w:r>
          </w:p>
        </w:tc>
      </w:tr>
      <w:tr w:rsidR="00827437" w:rsidRPr="00522104" w14:paraId="662C1ACB" w14:textId="77777777" w:rsidTr="00917711">
        <w:trPr>
          <w:trHeight w:val="87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279C8F1D"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"Развитие сельскохозяйственной кооперации и малых форм хозяйствования"</w:t>
            </w:r>
          </w:p>
        </w:tc>
        <w:tc>
          <w:tcPr>
            <w:tcW w:w="851" w:type="dxa"/>
            <w:tcBorders>
              <w:top w:val="nil"/>
              <w:left w:val="nil"/>
              <w:bottom w:val="single" w:sz="4" w:space="0" w:color="auto"/>
              <w:right w:val="single" w:sz="4" w:space="0" w:color="auto"/>
            </w:tcBorders>
            <w:shd w:val="clear" w:color="auto" w:fill="auto"/>
            <w:noWrap/>
            <w:vAlign w:val="bottom"/>
            <w:hideMark/>
          </w:tcPr>
          <w:p w14:paraId="3C2B204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222,24</w:t>
            </w:r>
          </w:p>
        </w:tc>
        <w:tc>
          <w:tcPr>
            <w:tcW w:w="850" w:type="dxa"/>
            <w:tcBorders>
              <w:top w:val="nil"/>
              <w:left w:val="nil"/>
              <w:bottom w:val="single" w:sz="4" w:space="0" w:color="auto"/>
              <w:right w:val="single" w:sz="4" w:space="0" w:color="auto"/>
            </w:tcBorders>
            <w:shd w:val="clear" w:color="auto" w:fill="auto"/>
            <w:noWrap/>
            <w:vAlign w:val="bottom"/>
            <w:hideMark/>
          </w:tcPr>
          <w:p w14:paraId="5D822E5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291,90</w:t>
            </w:r>
          </w:p>
        </w:tc>
        <w:tc>
          <w:tcPr>
            <w:tcW w:w="851" w:type="dxa"/>
            <w:tcBorders>
              <w:top w:val="nil"/>
              <w:left w:val="nil"/>
              <w:bottom w:val="single" w:sz="4" w:space="0" w:color="auto"/>
              <w:right w:val="single" w:sz="4" w:space="0" w:color="auto"/>
            </w:tcBorders>
            <w:shd w:val="clear" w:color="auto" w:fill="auto"/>
            <w:noWrap/>
            <w:vAlign w:val="bottom"/>
            <w:hideMark/>
          </w:tcPr>
          <w:p w14:paraId="6638A4AF"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203,22</w:t>
            </w:r>
          </w:p>
        </w:tc>
        <w:tc>
          <w:tcPr>
            <w:tcW w:w="850" w:type="dxa"/>
            <w:tcBorders>
              <w:top w:val="nil"/>
              <w:left w:val="nil"/>
              <w:bottom w:val="single" w:sz="4" w:space="0" w:color="auto"/>
              <w:right w:val="single" w:sz="4" w:space="0" w:color="auto"/>
            </w:tcBorders>
            <w:shd w:val="clear" w:color="auto" w:fill="auto"/>
            <w:noWrap/>
            <w:vAlign w:val="bottom"/>
            <w:hideMark/>
          </w:tcPr>
          <w:p w14:paraId="2612A8B0"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164,12</w:t>
            </w:r>
          </w:p>
        </w:tc>
        <w:tc>
          <w:tcPr>
            <w:tcW w:w="851" w:type="dxa"/>
            <w:tcBorders>
              <w:top w:val="nil"/>
              <w:left w:val="nil"/>
              <w:bottom w:val="single" w:sz="4" w:space="0" w:color="auto"/>
              <w:right w:val="single" w:sz="4" w:space="0" w:color="auto"/>
            </w:tcBorders>
            <w:shd w:val="clear" w:color="auto" w:fill="auto"/>
            <w:noWrap/>
            <w:vAlign w:val="bottom"/>
            <w:hideMark/>
          </w:tcPr>
          <w:p w14:paraId="34DE3CF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168,07</w:t>
            </w:r>
          </w:p>
        </w:tc>
        <w:tc>
          <w:tcPr>
            <w:tcW w:w="850" w:type="dxa"/>
            <w:tcBorders>
              <w:top w:val="nil"/>
              <w:left w:val="nil"/>
              <w:bottom w:val="single" w:sz="4" w:space="0" w:color="auto"/>
              <w:right w:val="single" w:sz="4" w:space="0" w:color="auto"/>
            </w:tcBorders>
            <w:shd w:val="clear" w:color="auto" w:fill="auto"/>
            <w:noWrap/>
            <w:vAlign w:val="bottom"/>
            <w:hideMark/>
          </w:tcPr>
          <w:p w14:paraId="4CD6493E"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159,87</w:t>
            </w:r>
          </w:p>
        </w:tc>
        <w:tc>
          <w:tcPr>
            <w:tcW w:w="851" w:type="dxa"/>
            <w:tcBorders>
              <w:top w:val="nil"/>
              <w:left w:val="nil"/>
              <w:bottom w:val="single" w:sz="4" w:space="0" w:color="auto"/>
              <w:right w:val="single" w:sz="4" w:space="0" w:color="auto"/>
            </w:tcBorders>
            <w:shd w:val="clear" w:color="auto" w:fill="auto"/>
            <w:noWrap/>
            <w:vAlign w:val="bottom"/>
            <w:hideMark/>
          </w:tcPr>
          <w:p w14:paraId="53C4A41E"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-127,78</w:t>
            </w:r>
          </w:p>
        </w:tc>
        <w:tc>
          <w:tcPr>
            <w:tcW w:w="708" w:type="dxa"/>
            <w:tcBorders>
              <w:top w:val="nil"/>
              <w:left w:val="nil"/>
              <w:bottom w:val="single" w:sz="4" w:space="0" w:color="auto"/>
              <w:right w:val="single" w:sz="4" w:space="0" w:color="auto"/>
            </w:tcBorders>
            <w:shd w:val="clear" w:color="auto" w:fill="auto"/>
            <w:noWrap/>
            <w:vAlign w:val="bottom"/>
            <w:hideMark/>
          </w:tcPr>
          <w:p w14:paraId="39D8EF8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56,22</w:t>
            </w:r>
          </w:p>
        </w:tc>
        <w:tc>
          <w:tcPr>
            <w:tcW w:w="709" w:type="dxa"/>
            <w:tcBorders>
              <w:top w:val="nil"/>
              <w:left w:val="nil"/>
              <w:bottom w:val="single" w:sz="4" w:space="0" w:color="auto"/>
              <w:right w:val="single" w:sz="4" w:space="0" w:color="auto"/>
            </w:tcBorders>
            <w:shd w:val="clear" w:color="auto" w:fill="auto"/>
            <w:noWrap/>
            <w:vAlign w:val="bottom"/>
            <w:hideMark/>
          </w:tcPr>
          <w:p w14:paraId="52693B8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-39,10</w:t>
            </w:r>
          </w:p>
        </w:tc>
        <w:tc>
          <w:tcPr>
            <w:tcW w:w="709" w:type="dxa"/>
            <w:tcBorders>
              <w:top w:val="nil"/>
              <w:left w:val="nil"/>
              <w:bottom w:val="single" w:sz="4" w:space="0" w:color="auto"/>
              <w:right w:val="single" w:sz="4" w:space="0" w:color="auto"/>
            </w:tcBorders>
            <w:shd w:val="clear" w:color="auto" w:fill="auto"/>
            <w:noWrap/>
            <w:vAlign w:val="bottom"/>
            <w:hideMark/>
          </w:tcPr>
          <w:p w14:paraId="2A1E4439"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80,76</w:t>
            </w:r>
          </w:p>
        </w:tc>
      </w:tr>
      <w:tr w:rsidR="00827437" w:rsidRPr="00522104" w14:paraId="3A8D7A58" w14:textId="77777777" w:rsidTr="00917711">
        <w:trPr>
          <w:trHeight w:val="585"/>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450CC0A7"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"Развитие мелиорации сельскохозяйственных земель"</w:t>
            </w:r>
          </w:p>
        </w:tc>
        <w:tc>
          <w:tcPr>
            <w:tcW w:w="851" w:type="dxa"/>
            <w:tcBorders>
              <w:top w:val="nil"/>
              <w:left w:val="nil"/>
              <w:bottom w:val="single" w:sz="4" w:space="0" w:color="auto"/>
              <w:right w:val="single" w:sz="4" w:space="0" w:color="auto"/>
            </w:tcBorders>
            <w:shd w:val="clear" w:color="auto" w:fill="auto"/>
            <w:noWrap/>
            <w:vAlign w:val="bottom"/>
            <w:hideMark/>
          </w:tcPr>
          <w:p w14:paraId="15479785"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153,99</w:t>
            </w:r>
          </w:p>
        </w:tc>
        <w:tc>
          <w:tcPr>
            <w:tcW w:w="850" w:type="dxa"/>
            <w:tcBorders>
              <w:top w:val="nil"/>
              <w:left w:val="nil"/>
              <w:bottom w:val="single" w:sz="4" w:space="0" w:color="auto"/>
              <w:right w:val="single" w:sz="4" w:space="0" w:color="auto"/>
            </w:tcBorders>
            <w:shd w:val="clear" w:color="auto" w:fill="auto"/>
            <w:noWrap/>
            <w:vAlign w:val="bottom"/>
            <w:hideMark/>
          </w:tcPr>
          <w:p w14:paraId="768C7C6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153,99</w:t>
            </w:r>
          </w:p>
        </w:tc>
        <w:tc>
          <w:tcPr>
            <w:tcW w:w="851" w:type="dxa"/>
            <w:tcBorders>
              <w:top w:val="nil"/>
              <w:left w:val="nil"/>
              <w:bottom w:val="single" w:sz="4" w:space="0" w:color="auto"/>
              <w:right w:val="single" w:sz="4" w:space="0" w:color="auto"/>
            </w:tcBorders>
            <w:shd w:val="clear" w:color="auto" w:fill="auto"/>
            <w:noWrap/>
            <w:vAlign w:val="bottom"/>
            <w:hideMark/>
          </w:tcPr>
          <w:p w14:paraId="068DEA12"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220,39</w:t>
            </w:r>
          </w:p>
        </w:tc>
        <w:tc>
          <w:tcPr>
            <w:tcW w:w="850" w:type="dxa"/>
            <w:tcBorders>
              <w:top w:val="nil"/>
              <w:left w:val="nil"/>
              <w:bottom w:val="single" w:sz="4" w:space="0" w:color="auto"/>
              <w:right w:val="single" w:sz="4" w:space="0" w:color="auto"/>
            </w:tcBorders>
            <w:shd w:val="clear" w:color="auto" w:fill="auto"/>
            <w:noWrap/>
            <w:vAlign w:val="bottom"/>
            <w:hideMark/>
          </w:tcPr>
          <w:p w14:paraId="0D5955E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225,69</w:t>
            </w:r>
          </w:p>
        </w:tc>
        <w:tc>
          <w:tcPr>
            <w:tcW w:w="851" w:type="dxa"/>
            <w:tcBorders>
              <w:top w:val="nil"/>
              <w:left w:val="nil"/>
              <w:bottom w:val="single" w:sz="4" w:space="0" w:color="auto"/>
              <w:right w:val="single" w:sz="4" w:space="0" w:color="auto"/>
            </w:tcBorders>
            <w:shd w:val="clear" w:color="auto" w:fill="auto"/>
            <w:noWrap/>
            <w:vAlign w:val="bottom"/>
            <w:hideMark/>
          </w:tcPr>
          <w:p w14:paraId="3740926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365,53</w:t>
            </w:r>
          </w:p>
        </w:tc>
        <w:tc>
          <w:tcPr>
            <w:tcW w:w="850" w:type="dxa"/>
            <w:tcBorders>
              <w:top w:val="nil"/>
              <w:left w:val="nil"/>
              <w:bottom w:val="single" w:sz="4" w:space="0" w:color="auto"/>
              <w:right w:val="single" w:sz="4" w:space="0" w:color="auto"/>
            </w:tcBorders>
            <w:shd w:val="clear" w:color="auto" w:fill="auto"/>
            <w:noWrap/>
            <w:vAlign w:val="bottom"/>
            <w:hideMark/>
          </w:tcPr>
          <w:p w14:paraId="433E1279"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365,53</w:t>
            </w:r>
          </w:p>
        </w:tc>
        <w:tc>
          <w:tcPr>
            <w:tcW w:w="851" w:type="dxa"/>
            <w:tcBorders>
              <w:top w:val="nil"/>
              <w:left w:val="nil"/>
              <w:bottom w:val="single" w:sz="4" w:space="0" w:color="auto"/>
              <w:right w:val="single" w:sz="4" w:space="0" w:color="auto"/>
            </w:tcBorders>
            <w:shd w:val="clear" w:color="auto" w:fill="auto"/>
            <w:noWrap/>
            <w:vAlign w:val="bottom"/>
            <w:hideMark/>
          </w:tcPr>
          <w:p w14:paraId="3F57929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71,70</w:t>
            </w:r>
          </w:p>
        </w:tc>
        <w:tc>
          <w:tcPr>
            <w:tcW w:w="708" w:type="dxa"/>
            <w:tcBorders>
              <w:top w:val="nil"/>
              <w:left w:val="nil"/>
              <w:bottom w:val="single" w:sz="4" w:space="0" w:color="auto"/>
              <w:right w:val="single" w:sz="4" w:space="0" w:color="auto"/>
            </w:tcBorders>
            <w:shd w:val="clear" w:color="auto" w:fill="auto"/>
            <w:noWrap/>
            <w:vAlign w:val="bottom"/>
            <w:hideMark/>
          </w:tcPr>
          <w:p w14:paraId="1DA03EA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146,56</w:t>
            </w:r>
          </w:p>
        </w:tc>
        <w:tc>
          <w:tcPr>
            <w:tcW w:w="709" w:type="dxa"/>
            <w:tcBorders>
              <w:top w:val="nil"/>
              <w:left w:val="nil"/>
              <w:bottom w:val="single" w:sz="4" w:space="0" w:color="auto"/>
              <w:right w:val="single" w:sz="4" w:space="0" w:color="auto"/>
            </w:tcBorders>
            <w:shd w:val="clear" w:color="auto" w:fill="auto"/>
            <w:noWrap/>
            <w:vAlign w:val="bottom"/>
            <w:hideMark/>
          </w:tcPr>
          <w:p w14:paraId="2790F15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5,30</w:t>
            </w:r>
          </w:p>
        </w:tc>
        <w:tc>
          <w:tcPr>
            <w:tcW w:w="709" w:type="dxa"/>
            <w:tcBorders>
              <w:top w:val="nil"/>
              <w:left w:val="nil"/>
              <w:bottom w:val="single" w:sz="4" w:space="0" w:color="auto"/>
              <w:right w:val="single" w:sz="4" w:space="0" w:color="auto"/>
            </w:tcBorders>
            <w:shd w:val="clear" w:color="auto" w:fill="auto"/>
            <w:noWrap/>
            <w:vAlign w:val="bottom"/>
            <w:hideMark/>
          </w:tcPr>
          <w:p w14:paraId="7E87CB41"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102,40</w:t>
            </w:r>
          </w:p>
        </w:tc>
      </w:tr>
      <w:tr w:rsidR="00827437" w:rsidRPr="00522104" w14:paraId="67DAA3D8" w14:textId="77777777" w:rsidTr="00917711">
        <w:trPr>
          <w:trHeight w:val="60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609B5403" w14:textId="77777777" w:rsidR="00827437" w:rsidRPr="00522104" w:rsidRDefault="00827437" w:rsidP="00E40BEE">
            <w:pPr>
              <w:spacing w:after="0" w:line="240" w:lineRule="auto"/>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Федеральный проект "Экспорт продукции агропромышленного комплекса"</w:t>
            </w:r>
          </w:p>
        </w:tc>
        <w:tc>
          <w:tcPr>
            <w:tcW w:w="851" w:type="dxa"/>
            <w:tcBorders>
              <w:top w:val="nil"/>
              <w:left w:val="nil"/>
              <w:bottom w:val="single" w:sz="4" w:space="0" w:color="auto"/>
              <w:right w:val="single" w:sz="4" w:space="0" w:color="auto"/>
            </w:tcBorders>
            <w:shd w:val="clear" w:color="auto" w:fill="auto"/>
            <w:noWrap/>
            <w:vAlign w:val="bottom"/>
            <w:hideMark/>
          </w:tcPr>
          <w:p w14:paraId="41F2F352"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145,80</w:t>
            </w:r>
          </w:p>
        </w:tc>
        <w:tc>
          <w:tcPr>
            <w:tcW w:w="850" w:type="dxa"/>
            <w:tcBorders>
              <w:top w:val="nil"/>
              <w:left w:val="nil"/>
              <w:bottom w:val="single" w:sz="4" w:space="0" w:color="auto"/>
              <w:right w:val="single" w:sz="4" w:space="0" w:color="auto"/>
            </w:tcBorders>
            <w:shd w:val="clear" w:color="auto" w:fill="auto"/>
            <w:noWrap/>
            <w:vAlign w:val="bottom"/>
            <w:hideMark/>
          </w:tcPr>
          <w:p w14:paraId="206D70C6"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145,80</w:t>
            </w:r>
          </w:p>
        </w:tc>
        <w:tc>
          <w:tcPr>
            <w:tcW w:w="851" w:type="dxa"/>
            <w:tcBorders>
              <w:top w:val="nil"/>
              <w:left w:val="nil"/>
              <w:bottom w:val="single" w:sz="4" w:space="0" w:color="auto"/>
              <w:right w:val="single" w:sz="4" w:space="0" w:color="auto"/>
            </w:tcBorders>
            <w:shd w:val="clear" w:color="auto" w:fill="auto"/>
            <w:noWrap/>
            <w:vAlign w:val="bottom"/>
            <w:hideMark/>
          </w:tcPr>
          <w:p w14:paraId="218C298F"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195,95</w:t>
            </w:r>
          </w:p>
        </w:tc>
        <w:tc>
          <w:tcPr>
            <w:tcW w:w="850" w:type="dxa"/>
            <w:tcBorders>
              <w:top w:val="nil"/>
              <w:left w:val="nil"/>
              <w:bottom w:val="single" w:sz="4" w:space="0" w:color="auto"/>
              <w:right w:val="single" w:sz="4" w:space="0" w:color="auto"/>
            </w:tcBorders>
            <w:shd w:val="clear" w:color="auto" w:fill="auto"/>
            <w:noWrap/>
            <w:vAlign w:val="bottom"/>
            <w:hideMark/>
          </w:tcPr>
          <w:p w14:paraId="19230D52"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195,95</w:t>
            </w:r>
          </w:p>
        </w:tc>
        <w:tc>
          <w:tcPr>
            <w:tcW w:w="851" w:type="dxa"/>
            <w:tcBorders>
              <w:top w:val="nil"/>
              <w:left w:val="nil"/>
              <w:bottom w:val="single" w:sz="4" w:space="0" w:color="auto"/>
              <w:right w:val="single" w:sz="4" w:space="0" w:color="auto"/>
            </w:tcBorders>
            <w:shd w:val="clear" w:color="auto" w:fill="auto"/>
            <w:noWrap/>
            <w:vAlign w:val="bottom"/>
            <w:hideMark/>
          </w:tcPr>
          <w:p w14:paraId="70C2C95E"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363,67</w:t>
            </w:r>
          </w:p>
        </w:tc>
        <w:tc>
          <w:tcPr>
            <w:tcW w:w="850" w:type="dxa"/>
            <w:tcBorders>
              <w:top w:val="nil"/>
              <w:left w:val="nil"/>
              <w:bottom w:val="single" w:sz="4" w:space="0" w:color="auto"/>
              <w:right w:val="single" w:sz="4" w:space="0" w:color="auto"/>
            </w:tcBorders>
            <w:shd w:val="clear" w:color="auto" w:fill="auto"/>
            <w:noWrap/>
            <w:vAlign w:val="bottom"/>
            <w:hideMark/>
          </w:tcPr>
          <w:p w14:paraId="7BB41F65"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363,67</w:t>
            </w:r>
          </w:p>
        </w:tc>
        <w:tc>
          <w:tcPr>
            <w:tcW w:w="851" w:type="dxa"/>
            <w:tcBorders>
              <w:top w:val="nil"/>
              <w:left w:val="nil"/>
              <w:bottom w:val="single" w:sz="4" w:space="0" w:color="auto"/>
              <w:right w:val="single" w:sz="4" w:space="0" w:color="auto"/>
            </w:tcBorders>
            <w:shd w:val="clear" w:color="auto" w:fill="auto"/>
            <w:noWrap/>
            <w:vAlign w:val="bottom"/>
            <w:hideMark/>
          </w:tcPr>
          <w:p w14:paraId="48255675"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50,15</w:t>
            </w:r>
          </w:p>
        </w:tc>
        <w:tc>
          <w:tcPr>
            <w:tcW w:w="708" w:type="dxa"/>
            <w:tcBorders>
              <w:top w:val="nil"/>
              <w:left w:val="nil"/>
              <w:bottom w:val="single" w:sz="4" w:space="0" w:color="auto"/>
              <w:right w:val="single" w:sz="4" w:space="0" w:color="auto"/>
            </w:tcBorders>
            <w:shd w:val="clear" w:color="auto" w:fill="auto"/>
            <w:noWrap/>
            <w:vAlign w:val="bottom"/>
            <w:hideMark/>
          </w:tcPr>
          <w:p w14:paraId="5B72AE94"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134,40</w:t>
            </w:r>
          </w:p>
        </w:tc>
        <w:tc>
          <w:tcPr>
            <w:tcW w:w="709" w:type="dxa"/>
            <w:tcBorders>
              <w:top w:val="nil"/>
              <w:left w:val="nil"/>
              <w:bottom w:val="single" w:sz="4" w:space="0" w:color="auto"/>
              <w:right w:val="single" w:sz="4" w:space="0" w:color="auto"/>
            </w:tcBorders>
            <w:shd w:val="clear" w:color="auto" w:fill="auto"/>
            <w:noWrap/>
            <w:vAlign w:val="bottom"/>
            <w:hideMark/>
          </w:tcPr>
          <w:p w14:paraId="59A04911"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75200131"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100,00</w:t>
            </w:r>
          </w:p>
        </w:tc>
      </w:tr>
      <w:tr w:rsidR="00827437" w:rsidRPr="00522104" w14:paraId="34CF9A92" w14:textId="77777777" w:rsidTr="00917711">
        <w:trPr>
          <w:trHeight w:val="44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49CC76CD"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"Обеспечение функций управления реализации государственной программы"</w:t>
            </w:r>
          </w:p>
        </w:tc>
        <w:tc>
          <w:tcPr>
            <w:tcW w:w="851" w:type="dxa"/>
            <w:tcBorders>
              <w:top w:val="nil"/>
              <w:left w:val="nil"/>
              <w:bottom w:val="single" w:sz="4" w:space="0" w:color="auto"/>
              <w:right w:val="single" w:sz="4" w:space="0" w:color="auto"/>
            </w:tcBorders>
            <w:shd w:val="clear" w:color="auto" w:fill="auto"/>
            <w:noWrap/>
            <w:vAlign w:val="bottom"/>
            <w:hideMark/>
          </w:tcPr>
          <w:p w14:paraId="43F66E70"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44,68</w:t>
            </w:r>
          </w:p>
        </w:tc>
        <w:tc>
          <w:tcPr>
            <w:tcW w:w="850" w:type="dxa"/>
            <w:tcBorders>
              <w:top w:val="nil"/>
              <w:left w:val="nil"/>
              <w:bottom w:val="single" w:sz="4" w:space="0" w:color="auto"/>
              <w:right w:val="single" w:sz="4" w:space="0" w:color="auto"/>
            </w:tcBorders>
            <w:shd w:val="clear" w:color="auto" w:fill="auto"/>
            <w:noWrap/>
            <w:vAlign w:val="bottom"/>
            <w:hideMark/>
          </w:tcPr>
          <w:p w14:paraId="5FF7A1F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49,39</w:t>
            </w:r>
          </w:p>
        </w:tc>
        <w:tc>
          <w:tcPr>
            <w:tcW w:w="851" w:type="dxa"/>
            <w:tcBorders>
              <w:top w:val="nil"/>
              <w:left w:val="nil"/>
              <w:bottom w:val="single" w:sz="4" w:space="0" w:color="auto"/>
              <w:right w:val="single" w:sz="4" w:space="0" w:color="auto"/>
            </w:tcBorders>
            <w:shd w:val="clear" w:color="auto" w:fill="auto"/>
            <w:noWrap/>
            <w:vAlign w:val="bottom"/>
            <w:hideMark/>
          </w:tcPr>
          <w:p w14:paraId="3A0D746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45,11</w:t>
            </w:r>
          </w:p>
        </w:tc>
        <w:tc>
          <w:tcPr>
            <w:tcW w:w="850" w:type="dxa"/>
            <w:tcBorders>
              <w:top w:val="nil"/>
              <w:left w:val="nil"/>
              <w:bottom w:val="single" w:sz="4" w:space="0" w:color="auto"/>
              <w:right w:val="single" w:sz="4" w:space="0" w:color="auto"/>
            </w:tcBorders>
            <w:shd w:val="clear" w:color="auto" w:fill="auto"/>
            <w:noWrap/>
            <w:vAlign w:val="bottom"/>
            <w:hideMark/>
          </w:tcPr>
          <w:p w14:paraId="3138181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46,82</w:t>
            </w:r>
          </w:p>
        </w:tc>
        <w:tc>
          <w:tcPr>
            <w:tcW w:w="851" w:type="dxa"/>
            <w:tcBorders>
              <w:top w:val="nil"/>
              <w:left w:val="nil"/>
              <w:bottom w:val="single" w:sz="4" w:space="0" w:color="auto"/>
              <w:right w:val="single" w:sz="4" w:space="0" w:color="auto"/>
            </w:tcBorders>
            <w:shd w:val="clear" w:color="auto" w:fill="auto"/>
            <w:noWrap/>
            <w:vAlign w:val="bottom"/>
            <w:hideMark/>
          </w:tcPr>
          <w:p w14:paraId="500127C9"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48,65</w:t>
            </w:r>
          </w:p>
        </w:tc>
        <w:tc>
          <w:tcPr>
            <w:tcW w:w="850" w:type="dxa"/>
            <w:tcBorders>
              <w:top w:val="nil"/>
              <w:left w:val="nil"/>
              <w:bottom w:val="single" w:sz="4" w:space="0" w:color="auto"/>
              <w:right w:val="single" w:sz="4" w:space="0" w:color="auto"/>
            </w:tcBorders>
            <w:shd w:val="clear" w:color="auto" w:fill="auto"/>
            <w:noWrap/>
            <w:vAlign w:val="bottom"/>
            <w:hideMark/>
          </w:tcPr>
          <w:p w14:paraId="57602668"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50,54</w:t>
            </w:r>
          </w:p>
        </w:tc>
        <w:tc>
          <w:tcPr>
            <w:tcW w:w="851" w:type="dxa"/>
            <w:tcBorders>
              <w:top w:val="nil"/>
              <w:left w:val="nil"/>
              <w:bottom w:val="single" w:sz="4" w:space="0" w:color="auto"/>
              <w:right w:val="single" w:sz="4" w:space="0" w:color="auto"/>
            </w:tcBorders>
            <w:shd w:val="clear" w:color="auto" w:fill="auto"/>
            <w:noWrap/>
            <w:vAlign w:val="bottom"/>
            <w:hideMark/>
          </w:tcPr>
          <w:p w14:paraId="1EAE3C3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-2,57</w:t>
            </w:r>
          </w:p>
        </w:tc>
        <w:tc>
          <w:tcPr>
            <w:tcW w:w="708" w:type="dxa"/>
            <w:tcBorders>
              <w:top w:val="nil"/>
              <w:left w:val="nil"/>
              <w:bottom w:val="single" w:sz="4" w:space="0" w:color="auto"/>
              <w:right w:val="single" w:sz="4" w:space="0" w:color="auto"/>
            </w:tcBorders>
            <w:shd w:val="clear" w:color="auto" w:fill="auto"/>
            <w:noWrap/>
            <w:vAlign w:val="bottom"/>
            <w:hideMark/>
          </w:tcPr>
          <w:p w14:paraId="1D4830E5"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94,81</w:t>
            </w:r>
          </w:p>
        </w:tc>
        <w:tc>
          <w:tcPr>
            <w:tcW w:w="709" w:type="dxa"/>
            <w:tcBorders>
              <w:top w:val="nil"/>
              <w:left w:val="nil"/>
              <w:bottom w:val="single" w:sz="4" w:space="0" w:color="auto"/>
              <w:right w:val="single" w:sz="4" w:space="0" w:color="auto"/>
            </w:tcBorders>
            <w:shd w:val="clear" w:color="auto" w:fill="auto"/>
            <w:noWrap/>
            <w:vAlign w:val="bottom"/>
            <w:hideMark/>
          </w:tcPr>
          <w:p w14:paraId="758875C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1,71</w:t>
            </w:r>
          </w:p>
        </w:tc>
        <w:tc>
          <w:tcPr>
            <w:tcW w:w="709" w:type="dxa"/>
            <w:tcBorders>
              <w:top w:val="nil"/>
              <w:left w:val="nil"/>
              <w:bottom w:val="single" w:sz="4" w:space="0" w:color="auto"/>
              <w:right w:val="single" w:sz="4" w:space="0" w:color="auto"/>
            </w:tcBorders>
            <w:shd w:val="clear" w:color="auto" w:fill="auto"/>
            <w:noWrap/>
            <w:vAlign w:val="bottom"/>
            <w:hideMark/>
          </w:tcPr>
          <w:p w14:paraId="0F1BB3D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103,80</w:t>
            </w:r>
          </w:p>
        </w:tc>
      </w:tr>
      <w:tr w:rsidR="00827437" w:rsidRPr="00522104" w14:paraId="75110C06" w14:textId="77777777" w:rsidTr="00917711">
        <w:trPr>
          <w:trHeight w:val="375"/>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1B69ADDB"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"Экспорт продукции агропромышленного комплекса"</w:t>
            </w:r>
          </w:p>
        </w:tc>
        <w:tc>
          <w:tcPr>
            <w:tcW w:w="851" w:type="dxa"/>
            <w:tcBorders>
              <w:top w:val="nil"/>
              <w:left w:val="nil"/>
              <w:bottom w:val="single" w:sz="4" w:space="0" w:color="auto"/>
              <w:right w:val="single" w:sz="4" w:space="0" w:color="auto"/>
            </w:tcBorders>
            <w:shd w:val="clear" w:color="auto" w:fill="auto"/>
            <w:noWrap/>
            <w:vAlign w:val="bottom"/>
            <w:hideMark/>
          </w:tcPr>
          <w:p w14:paraId="403F63B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1 018,65</w:t>
            </w:r>
          </w:p>
        </w:tc>
        <w:tc>
          <w:tcPr>
            <w:tcW w:w="850" w:type="dxa"/>
            <w:tcBorders>
              <w:top w:val="nil"/>
              <w:left w:val="nil"/>
              <w:bottom w:val="single" w:sz="4" w:space="0" w:color="auto"/>
              <w:right w:val="single" w:sz="4" w:space="0" w:color="auto"/>
            </w:tcBorders>
            <w:shd w:val="clear" w:color="auto" w:fill="auto"/>
            <w:noWrap/>
            <w:vAlign w:val="bottom"/>
            <w:hideMark/>
          </w:tcPr>
          <w:p w14:paraId="5AE1C71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413,89</w:t>
            </w:r>
          </w:p>
        </w:tc>
        <w:tc>
          <w:tcPr>
            <w:tcW w:w="851" w:type="dxa"/>
            <w:tcBorders>
              <w:top w:val="nil"/>
              <w:left w:val="nil"/>
              <w:bottom w:val="single" w:sz="4" w:space="0" w:color="auto"/>
              <w:right w:val="single" w:sz="4" w:space="0" w:color="auto"/>
            </w:tcBorders>
            <w:shd w:val="clear" w:color="auto" w:fill="auto"/>
            <w:noWrap/>
            <w:vAlign w:val="bottom"/>
            <w:hideMark/>
          </w:tcPr>
          <w:p w14:paraId="22A076A2"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1 201,54</w:t>
            </w:r>
          </w:p>
        </w:tc>
        <w:tc>
          <w:tcPr>
            <w:tcW w:w="850" w:type="dxa"/>
            <w:tcBorders>
              <w:top w:val="nil"/>
              <w:left w:val="nil"/>
              <w:bottom w:val="single" w:sz="4" w:space="0" w:color="auto"/>
              <w:right w:val="single" w:sz="4" w:space="0" w:color="auto"/>
            </w:tcBorders>
            <w:shd w:val="clear" w:color="auto" w:fill="auto"/>
            <w:noWrap/>
            <w:vAlign w:val="bottom"/>
            <w:hideMark/>
          </w:tcPr>
          <w:p w14:paraId="00F3E931"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1 550,30</w:t>
            </w:r>
          </w:p>
        </w:tc>
        <w:tc>
          <w:tcPr>
            <w:tcW w:w="851" w:type="dxa"/>
            <w:tcBorders>
              <w:top w:val="nil"/>
              <w:left w:val="nil"/>
              <w:bottom w:val="single" w:sz="4" w:space="0" w:color="auto"/>
              <w:right w:val="single" w:sz="4" w:space="0" w:color="auto"/>
            </w:tcBorders>
            <w:shd w:val="clear" w:color="auto" w:fill="auto"/>
            <w:noWrap/>
            <w:vAlign w:val="bottom"/>
            <w:hideMark/>
          </w:tcPr>
          <w:p w14:paraId="2845A31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1 175,06</w:t>
            </w:r>
          </w:p>
        </w:tc>
        <w:tc>
          <w:tcPr>
            <w:tcW w:w="850" w:type="dxa"/>
            <w:tcBorders>
              <w:top w:val="nil"/>
              <w:left w:val="nil"/>
              <w:bottom w:val="single" w:sz="4" w:space="0" w:color="auto"/>
              <w:right w:val="single" w:sz="4" w:space="0" w:color="auto"/>
            </w:tcBorders>
            <w:shd w:val="clear" w:color="auto" w:fill="auto"/>
            <w:noWrap/>
            <w:vAlign w:val="bottom"/>
            <w:hideMark/>
          </w:tcPr>
          <w:p w14:paraId="128E7C3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810,89</w:t>
            </w:r>
          </w:p>
        </w:tc>
        <w:tc>
          <w:tcPr>
            <w:tcW w:w="851" w:type="dxa"/>
            <w:tcBorders>
              <w:top w:val="nil"/>
              <w:left w:val="nil"/>
              <w:bottom w:val="single" w:sz="4" w:space="0" w:color="auto"/>
              <w:right w:val="single" w:sz="4" w:space="0" w:color="auto"/>
            </w:tcBorders>
            <w:shd w:val="clear" w:color="auto" w:fill="auto"/>
            <w:noWrap/>
            <w:vAlign w:val="bottom"/>
            <w:hideMark/>
          </w:tcPr>
          <w:p w14:paraId="7F409E5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1 136,41</w:t>
            </w:r>
          </w:p>
        </w:tc>
        <w:tc>
          <w:tcPr>
            <w:tcW w:w="708" w:type="dxa"/>
            <w:tcBorders>
              <w:top w:val="nil"/>
              <w:left w:val="nil"/>
              <w:bottom w:val="single" w:sz="4" w:space="0" w:color="auto"/>
              <w:right w:val="single" w:sz="4" w:space="0" w:color="auto"/>
            </w:tcBorders>
            <w:shd w:val="clear" w:color="auto" w:fill="auto"/>
            <w:noWrap/>
            <w:vAlign w:val="bottom"/>
            <w:hideMark/>
          </w:tcPr>
          <w:p w14:paraId="6D083D72"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374,56</w:t>
            </w:r>
          </w:p>
        </w:tc>
        <w:tc>
          <w:tcPr>
            <w:tcW w:w="709" w:type="dxa"/>
            <w:tcBorders>
              <w:top w:val="nil"/>
              <w:left w:val="nil"/>
              <w:bottom w:val="single" w:sz="4" w:space="0" w:color="auto"/>
              <w:right w:val="single" w:sz="4" w:space="0" w:color="auto"/>
            </w:tcBorders>
            <w:shd w:val="clear" w:color="auto" w:fill="auto"/>
            <w:noWrap/>
            <w:vAlign w:val="bottom"/>
            <w:hideMark/>
          </w:tcPr>
          <w:p w14:paraId="702A36F9"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348,76</w:t>
            </w:r>
          </w:p>
        </w:tc>
        <w:tc>
          <w:tcPr>
            <w:tcW w:w="709" w:type="dxa"/>
            <w:tcBorders>
              <w:top w:val="nil"/>
              <w:left w:val="nil"/>
              <w:bottom w:val="single" w:sz="4" w:space="0" w:color="auto"/>
              <w:right w:val="single" w:sz="4" w:space="0" w:color="auto"/>
            </w:tcBorders>
            <w:shd w:val="clear" w:color="auto" w:fill="auto"/>
            <w:noWrap/>
            <w:vAlign w:val="bottom"/>
            <w:hideMark/>
          </w:tcPr>
          <w:p w14:paraId="1E8BD25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129,03</w:t>
            </w:r>
          </w:p>
        </w:tc>
      </w:tr>
      <w:tr w:rsidR="00827437" w:rsidRPr="00522104" w14:paraId="58F065D3" w14:textId="77777777" w:rsidTr="00917711">
        <w:trPr>
          <w:trHeight w:val="60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2A0739C4" w14:textId="77777777" w:rsidR="00827437" w:rsidRPr="00522104" w:rsidRDefault="00827437" w:rsidP="00E40BEE">
            <w:pPr>
              <w:spacing w:after="0" w:line="240" w:lineRule="auto"/>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Федеральный проект "Экспорт продукции агропромышленного комплекса"</w:t>
            </w:r>
          </w:p>
        </w:tc>
        <w:tc>
          <w:tcPr>
            <w:tcW w:w="851" w:type="dxa"/>
            <w:tcBorders>
              <w:top w:val="nil"/>
              <w:left w:val="nil"/>
              <w:bottom w:val="single" w:sz="4" w:space="0" w:color="auto"/>
              <w:right w:val="single" w:sz="4" w:space="0" w:color="auto"/>
            </w:tcBorders>
            <w:shd w:val="clear" w:color="auto" w:fill="auto"/>
            <w:noWrap/>
            <w:vAlign w:val="bottom"/>
            <w:hideMark/>
          </w:tcPr>
          <w:p w14:paraId="723FEA25"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1 018,65</w:t>
            </w:r>
          </w:p>
        </w:tc>
        <w:tc>
          <w:tcPr>
            <w:tcW w:w="850" w:type="dxa"/>
            <w:tcBorders>
              <w:top w:val="nil"/>
              <w:left w:val="nil"/>
              <w:bottom w:val="single" w:sz="4" w:space="0" w:color="auto"/>
              <w:right w:val="single" w:sz="4" w:space="0" w:color="auto"/>
            </w:tcBorders>
            <w:shd w:val="clear" w:color="auto" w:fill="auto"/>
            <w:noWrap/>
            <w:vAlign w:val="bottom"/>
            <w:hideMark/>
          </w:tcPr>
          <w:p w14:paraId="19067465"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413,89</w:t>
            </w:r>
          </w:p>
        </w:tc>
        <w:tc>
          <w:tcPr>
            <w:tcW w:w="851" w:type="dxa"/>
            <w:tcBorders>
              <w:top w:val="nil"/>
              <w:left w:val="nil"/>
              <w:bottom w:val="single" w:sz="4" w:space="0" w:color="auto"/>
              <w:right w:val="single" w:sz="4" w:space="0" w:color="auto"/>
            </w:tcBorders>
            <w:shd w:val="clear" w:color="auto" w:fill="auto"/>
            <w:noWrap/>
            <w:vAlign w:val="bottom"/>
            <w:hideMark/>
          </w:tcPr>
          <w:p w14:paraId="27AC1059"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1 201,54</w:t>
            </w:r>
          </w:p>
        </w:tc>
        <w:tc>
          <w:tcPr>
            <w:tcW w:w="850" w:type="dxa"/>
            <w:tcBorders>
              <w:top w:val="nil"/>
              <w:left w:val="nil"/>
              <w:bottom w:val="single" w:sz="4" w:space="0" w:color="auto"/>
              <w:right w:val="single" w:sz="4" w:space="0" w:color="auto"/>
            </w:tcBorders>
            <w:shd w:val="clear" w:color="auto" w:fill="auto"/>
            <w:noWrap/>
            <w:vAlign w:val="bottom"/>
            <w:hideMark/>
          </w:tcPr>
          <w:p w14:paraId="0EFBEF04"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1 550,30</w:t>
            </w:r>
          </w:p>
        </w:tc>
        <w:tc>
          <w:tcPr>
            <w:tcW w:w="851" w:type="dxa"/>
            <w:tcBorders>
              <w:top w:val="nil"/>
              <w:left w:val="nil"/>
              <w:bottom w:val="single" w:sz="4" w:space="0" w:color="auto"/>
              <w:right w:val="single" w:sz="4" w:space="0" w:color="auto"/>
            </w:tcBorders>
            <w:shd w:val="clear" w:color="auto" w:fill="auto"/>
            <w:noWrap/>
            <w:vAlign w:val="bottom"/>
            <w:hideMark/>
          </w:tcPr>
          <w:p w14:paraId="720D2745"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1 175,06</w:t>
            </w:r>
          </w:p>
        </w:tc>
        <w:tc>
          <w:tcPr>
            <w:tcW w:w="850" w:type="dxa"/>
            <w:tcBorders>
              <w:top w:val="nil"/>
              <w:left w:val="nil"/>
              <w:bottom w:val="single" w:sz="4" w:space="0" w:color="auto"/>
              <w:right w:val="single" w:sz="4" w:space="0" w:color="auto"/>
            </w:tcBorders>
            <w:shd w:val="clear" w:color="auto" w:fill="auto"/>
            <w:noWrap/>
            <w:vAlign w:val="bottom"/>
            <w:hideMark/>
          </w:tcPr>
          <w:p w14:paraId="7DA87275"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810,89</w:t>
            </w:r>
          </w:p>
        </w:tc>
        <w:tc>
          <w:tcPr>
            <w:tcW w:w="851" w:type="dxa"/>
            <w:tcBorders>
              <w:top w:val="nil"/>
              <w:left w:val="nil"/>
              <w:bottom w:val="single" w:sz="4" w:space="0" w:color="auto"/>
              <w:right w:val="single" w:sz="4" w:space="0" w:color="auto"/>
            </w:tcBorders>
            <w:shd w:val="clear" w:color="auto" w:fill="auto"/>
            <w:noWrap/>
            <w:vAlign w:val="bottom"/>
            <w:hideMark/>
          </w:tcPr>
          <w:p w14:paraId="423BDE07"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1 136,41</w:t>
            </w:r>
          </w:p>
        </w:tc>
        <w:tc>
          <w:tcPr>
            <w:tcW w:w="708" w:type="dxa"/>
            <w:tcBorders>
              <w:top w:val="nil"/>
              <w:left w:val="nil"/>
              <w:bottom w:val="single" w:sz="4" w:space="0" w:color="auto"/>
              <w:right w:val="single" w:sz="4" w:space="0" w:color="auto"/>
            </w:tcBorders>
            <w:shd w:val="clear" w:color="auto" w:fill="auto"/>
            <w:noWrap/>
            <w:vAlign w:val="bottom"/>
            <w:hideMark/>
          </w:tcPr>
          <w:p w14:paraId="0DC17F33"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374,56</w:t>
            </w:r>
          </w:p>
        </w:tc>
        <w:tc>
          <w:tcPr>
            <w:tcW w:w="709" w:type="dxa"/>
            <w:tcBorders>
              <w:top w:val="nil"/>
              <w:left w:val="nil"/>
              <w:bottom w:val="single" w:sz="4" w:space="0" w:color="auto"/>
              <w:right w:val="single" w:sz="4" w:space="0" w:color="auto"/>
            </w:tcBorders>
            <w:shd w:val="clear" w:color="auto" w:fill="auto"/>
            <w:noWrap/>
            <w:vAlign w:val="bottom"/>
            <w:hideMark/>
          </w:tcPr>
          <w:p w14:paraId="53397409"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348,76</w:t>
            </w:r>
          </w:p>
        </w:tc>
        <w:tc>
          <w:tcPr>
            <w:tcW w:w="709" w:type="dxa"/>
            <w:tcBorders>
              <w:top w:val="nil"/>
              <w:left w:val="nil"/>
              <w:bottom w:val="single" w:sz="4" w:space="0" w:color="auto"/>
              <w:right w:val="single" w:sz="4" w:space="0" w:color="auto"/>
            </w:tcBorders>
            <w:shd w:val="clear" w:color="auto" w:fill="auto"/>
            <w:noWrap/>
            <w:vAlign w:val="bottom"/>
            <w:hideMark/>
          </w:tcPr>
          <w:p w14:paraId="5E255310"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129,03</w:t>
            </w:r>
          </w:p>
        </w:tc>
      </w:tr>
      <w:tr w:rsidR="00827437" w:rsidRPr="00522104" w14:paraId="42B260E5" w14:textId="77777777" w:rsidTr="00917711">
        <w:trPr>
          <w:trHeight w:val="347"/>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197F47C4"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"Создание системы поддержки фермеров и развитие сельской кооперации"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42F0E43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44,81</w:t>
            </w:r>
          </w:p>
        </w:tc>
        <w:tc>
          <w:tcPr>
            <w:tcW w:w="850" w:type="dxa"/>
            <w:tcBorders>
              <w:top w:val="nil"/>
              <w:left w:val="nil"/>
              <w:bottom w:val="single" w:sz="4" w:space="0" w:color="auto"/>
              <w:right w:val="single" w:sz="4" w:space="0" w:color="auto"/>
            </w:tcBorders>
            <w:shd w:val="clear" w:color="auto" w:fill="auto"/>
            <w:noWrap/>
            <w:vAlign w:val="bottom"/>
            <w:hideMark/>
          </w:tcPr>
          <w:p w14:paraId="2E6F42A2"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44,81</w:t>
            </w:r>
          </w:p>
        </w:tc>
        <w:tc>
          <w:tcPr>
            <w:tcW w:w="851" w:type="dxa"/>
            <w:tcBorders>
              <w:top w:val="nil"/>
              <w:left w:val="nil"/>
              <w:bottom w:val="single" w:sz="4" w:space="0" w:color="auto"/>
              <w:right w:val="single" w:sz="4" w:space="0" w:color="auto"/>
            </w:tcBorders>
            <w:shd w:val="clear" w:color="auto" w:fill="auto"/>
            <w:noWrap/>
            <w:vAlign w:val="bottom"/>
            <w:hideMark/>
          </w:tcPr>
          <w:p w14:paraId="7D5C0CF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43,57</w:t>
            </w:r>
          </w:p>
        </w:tc>
        <w:tc>
          <w:tcPr>
            <w:tcW w:w="850" w:type="dxa"/>
            <w:tcBorders>
              <w:top w:val="nil"/>
              <w:left w:val="nil"/>
              <w:bottom w:val="single" w:sz="4" w:space="0" w:color="auto"/>
              <w:right w:val="single" w:sz="4" w:space="0" w:color="auto"/>
            </w:tcBorders>
            <w:shd w:val="clear" w:color="auto" w:fill="auto"/>
            <w:noWrap/>
            <w:vAlign w:val="bottom"/>
            <w:hideMark/>
          </w:tcPr>
          <w:p w14:paraId="4F6AC1A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52,08</w:t>
            </w:r>
          </w:p>
        </w:tc>
        <w:tc>
          <w:tcPr>
            <w:tcW w:w="851" w:type="dxa"/>
            <w:tcBorders>
              <w:top w:val="nil"/>
              <w:left w:val="nil"/>
              <w:bottom w:val="single" w:sz="4" w:space="0" w:color="auto"/>
              <w:right w:val="single" w:sz="4" w:space="0" w:color="auto"/>
            </w:tcBorders>
            <w:shd w:val="clear" w:color="auto" w:fill="auto"/>
            <w:noWrap/>
            <w:vAlign w:val="bottom"/>
            <w:hideMark/>
          </w:tcPr>
          <w:p w14:paraId="4D937CEE"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40,51</w:t>
            </w:r>
          </w:p>
        </w:tc>
        <w:tc>
          <w:tcPr>
            <w:tcW w:w="850" w:type="dxa"/>
            <w:tcBorders>
              <w:top w:val="nil"/>
              <w:left w:val="nil"/>
              <w:bottom w:val="single" w:sz="4" w:space="0" w:color="auto"/>
              <w:right w:val="single" w:sz="4" w:space="0" w:color="auto"/>
            </w:tcBorders>
            <w:shd w:val="clear" w:color="auto" w:fill="auto"/>
            <w:noWrap/>
            <w:vAlign w:val="bottom"/>
            <w:hideMark/>
          </w:tcPr>
          <w:p w14:paraId="2E2C93D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55,33</w:t>
            </w:r>
          </w:p>
        </w:tc>
        <w:tc>
          <w:tcPr>
            <w:tcW w:w="851" w:type="dxa"/>
            <w:tcBorders>
              <w:top w:val="nil"/>
              <w:left w:val="nil"/>
              <w:bottom w:val="single" w:sz="4" w:space="0" w:color="auto"/>
              <w:right w:val="single" w:sz="4" w:space="0" w:color="auto"/>
            </w:tcBorders>
            <w:shd w:val="clear" w:color="auto" w:fill="auto"/>
            <w:noWrap/>
            <w:vAlign w:val="bottom"/>
            <w:hideMark/>
          </w:tcPr>
          <w:p w14:paraId="7F2FC590"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7,27</w:t>
            </w:r>
          </w:p>
        </w:tc>
        <w:tc>
          <w:tcPr>
            <w:tcW w:w="708" w:type="dxa"/>
            <w:tcBorders>
              <w:top w:val="nil"/>
              <w:left w:val="nil"/>
              <w:bottom w:val="single" w:sz="4" w:space="0" w:color="auto"/>
              <w:right w:val="single" w:sz="4" w:space="0" w:color="auto"/>
            </w:tcBorders>
            <w:shd w:val="clear" w:color="auto" w:fill="auto"/>
            <w:noWrap/>
            <w:vAlign w:val="bottom"/>
            <w:hideMark/>
          </w:tcPr>
          <w:p w14:paraId="66BB2331"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116,21</w:t>
            </w:r>
          </w:p>
        </w:tc>
        <w:tc>
          <w:tcPr>
            <w:tcW w:w="709" w:type="dxa"/>
            <w:tcBorders>
              <w:top w:val="nil"/>
              <w:left w:val="nil"/>
              <w:bottom w:val="single" w:sz="4" w:space="0" w:color="auto"/>
              <w:right w:val="single" w:sz="4" w:space="0" w:color="auto"/>
            </w:tcBorders>
            <w:shd w:val="clear" w:color="auto" w:fill="auto"/>
            <w:noWrap/>
            <w:vAlign w:val="bottom"/>
            <w:hideMark/>
          </w:tcPr>
          <w:p w14:paraId="3441EEA3"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8,51</w:t>
            </w:r>
          </w:p>
        </w:tc>
        <w:tc>
          <w:tcPr>
            <w:tcW w:w="709" w:type="dxa"/>
            <w:tcBorders>
              <w:top w:val="nil"/>
              <w:left w:val="nil"/>
              <w:bottom w:val="single" w:sz="4" w:space="0" w:color="auto"/>
              <w:right w:val="single" w:sz="4" w:space="0" w:color="auto"/>
            </w:tcBorders>
            <w:shd w:val="clear" w:color="auto" w:fill="auto"/>
            <w:noWrap/>
            <w:vAlign w:val="bottom"/>
            <w:hideMark/>
          </w:tcPr>
          <w:p w14:paraId="606CA2E7"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119,52</w:t>
            </w:r>
          </w:p>
        </w:tc>
      </w:tr>
      <w:tr w:rsidR="00827437" w:rsidRPr="00522104" w14:paraId="4CC5D3AB" w14:textId="77777777" w:rsidTr="00917711">
        <w:trPr>
          <w:trHeight w:val="60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503BF706" w14:textId="77777777" w:rsidR="00827437" w:rsidRPr="00522104" w:rsidRDefault="00827437" w:rsidP="00E40BEE">
            <w:pPr>
              <w:spacing w:after="0" w:line="240" w:lineRule="auto"/>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Федеральный проект "Акселерация субъектов малого и среднего предпринимательства"</w:t>
            </w:r>
          </w:p>
        </w:tc>
        <w:tc>
          <w:tcPr>
            <w:tcW w:w="851" w:type="dxa"/>
            <w:tcBorders>
              <w:top w:val="nil"/>
              <w:left w:val="nil"/>
              <w:bottom w:val="single" w:sz="4" w:space="0" w:color="auto"/>
              <w:right w:val="single" w:sz="4" w:space="0" w:color="auto"/>
            </w:tcBorders>
            <w:shd w:val="clear" w:color="auto" w:fill="auto"/>
            <w:noWrap/>
            <w:vAlign w:val="bottom"/>
            <w:hideMark/>
          </w:tcPr>
          <w:p w14:paraId="2780861C"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p>
        </w:tc>
        <w:tc>
          <w:tcPr>
            <w:tcW w:w="850" w:type="dxa"/>
            <w:tcBorders>
              <w:top w:val="nil"/>
              <w:left w:val="nil"/>
              <w:bottom w:val="single" w:sz="4" w:space="0" w:color="auto"/>
              <w:right w:val="single" w:sz="4" w:space="0" w:color="auto"/>
            </w:tcBorders>
            <w:shd w:val="clear" w:color="auto" w:fill="auto"/>
            <w:noWrap/>
            <w:vAlign w:val="bottom"/>
            <w:hideMark/>
          </w:tcPr>
          <w:p w14:paraId="08A5AD5A"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44,81</w:t>
            </w:r>
          </w:p>
        </w:tc>
        <w:tc>
          <w:tcPr>
            <w:tcW w:w="851" w:type="dxa"/>
            <w:tcBorders>
              <w:top w:val="nil"/>
              <w:left w:val="nil"/>
              <w:bottom w:val="single" w:sz="4" w:space="0" w:color="auto"/>
              <w:right w:val="single" w:sz="4" w:space="0" w:color="auto"/>
            </w:tcBorders>
            <w:shd w:val="clear" w:color="auto" w:fill="auto"/>
            <w:noWrap/>
            <w:vAlign w:val="bottom"/>
            <w:hideMark/>
          </w:tcPr>
          <w:p w14:paraId="56F80C9E"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43,57</w:t>
            </w:r>
          </w:p>
        </w:tc>
        <w:tc>
          <w:tcPr>
            <w:tcW w:w="850" w:type="dxa"/>
            <w:tcBorders>
              <w:top w:val="nil"/>
              <w:left w:val="nil"/>
              <w:bottom w:val="single" w:sz="4" w:space="0" w:color="auto"/>
              <w:right w:val="single" w:sz="4" w:space="0" w:color="auto"/>
            </w:tcBorders>
            <w:shd w:val="clear" w:color="auto" w:fill="auto"/>
            <w:noWrap/>
            <w:vAlign w:val="bottom"/>
            <w:hideMark/>
          </w:tcPr>
          <w:p w14:paraId="0508E8B6"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52,08</w:t>
            </w:r>
          </w:p>
        </w:tc>
        <w:tc>
          <w:tcPr>
            <w:tcW w:w="851" w:type="dxa"/>
            <w:tcBorders>
              <w:top w:val="nil"/>
              <w:left w:val="nil"/>
              <w:bottom w:val="single" w:sz="4" w:space="0" w:color="auto"/>
              <w:right w:val="single" w:sz="4" w:space="0" w:color="auto"/>
            </w:tcBorders>
            <w:shd w:val="clear" w:color="auto" w:fill="auto"/>
            <w:noWrap/>
            <w:vAlign w:val="bottom"/>
            <w:hideMark/>
          </w:tcPr>
          <w:p w14:paraId="41D44364"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40,51</w:t>
            </w:r>
          </w:p>
        </w:tc>
        <w:tc>
          <w:tcPr>
            <w:tcW w:w="850" w:type="dxa"/>
            <w:tcBorders>
              <w:top w:val="nil"/>
              <w:left w:val="nil"/>
              <w:bottom w:val="single" w:sz="4" w:space="0" w:color="auto"/>
              <w:right w:val="single" w:sz="4" w:space="0" w:color="auto"/>
            </w:tcBorders>
            <w:shd w:val="clear" w:color="auto" w:fill="auto"/>
            <w:noWrap/>
            <w:vAlign w:val="bottom"/>
            <w:hideMark/>
          </w:tcPr>
          <w:p w14:paraId="072A32CA"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55,33</w:t>
            </w:r>
          </w:p>
        </w:tc>
        <w:tc>
          <w:tcPr>
            <w:tcW w:w="851" w:type="dxa"/>
            <w:tcBorders>
              <w:top w:val="nil"/>
              <w:left w:val="nil"/>
              <w:bottom w:val="single" w:sz="4" w:space="0" w:color="auto"/>
              <w:right w:val="single" w:sz="4" w:space="0" w:color="auto"/>
            </w:tcBorders>
            <w:shd w:val="clear" w:color="auto" w:fill="auto"/>
            <w:noWrap/>
            <w:vAlign w:val="bottom"/>
            <w:hideMark/>
          </w:tcPr>
          <w:p w14:paraId="78EB3297"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7,27</w:t>
            </w:r>
          </w:p>
        </w:tc>
        <w:tc>
          <w:tcPr>
            <w:tcW w:w="708" w:type="dxa"/>
            <w:tcBorders>
              <w:top w:val="nil"/>
              <w:left w:val="nil"/>
              <w:bottom w:val="single" w:sz="4" w:space="0" w:color="auto"/>
              <w:right w:val="single" w:sz="4" w:space="0" w:color="auto"/>
            </w:tcBorders>
            <w:shd w:val="clear" w:color="auto" w:fill="auto"/>
            <w:noWrap/>
            <w:vAlign w:val="bottom"/>
            <w:hideMark/>
          </w:tcPr>
          <w:p w14:paraId="7200C86F"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116,21</w:t>
            </w:r>
          </w:p>
        </w:tc>
        <w:tc>
          <w:tcPr>
            <w:tcW w:w="709" w:type="dxa"/>
            <w:tcBorders>
              <w:top w:val="nil"/>
              <w:left w:val="nil"/>
              <w:bottom w:val="single" w:sz="4" w:space="0" w:color="auto"/>
              <w:right w:val="single" w:sz="4" w:space="0" w:color="auto"/>
            </w:tcBorders>
            <w:shd w:val="clear" w:color="auto" w:fill="auto"/>
            <w:noWrap/>
            <w:vAlign w:val="bottom"/>
            <w:hideMark/>
          </w:tcPr>
          <w:p w14:paraId="231634A6"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8,51</w:t>
            </w:r>
          </w:p>
        </w:tc>
        <w:tc>
          <w:tcPr>
            <w:tcW w:w="709" w:type="dxa"/>
            <w:tcBorders>
              <w:top w:val="nil"/>
              <w:left w:val="nil"/>
              <w:bottom w:val="single" w:sz="4" w:space="0" w:color="auto"/>
              <w:right w:val="single" w:sz="4" w:space="0" w:color="auto"/>
            </w:tcBorders>
            <w:shd w:val="clear" w:color="auto" w:fill="auto"/>
            <w:noWrap/>
            <w:vAlign w:val="bottom"/>
            <w:hideMark/>
          </w:tcPr>
          <w:p w14:paraId="25EE948E"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119,52</w:t>
            </w:r>
          </w:p>
        </w:tc>
      </w:tr>
      <w:tr w:rsidR="00827437" w:rsidRPr="00522104" w14:paraId="45C22E0F" w14:textId="77777777" w:rsidTr="00917711">
        <w:trPr>
          <w:trHeight w:val="900"/>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5C5616EB" w14:textId="77777777" w:rsidR="00827437" w:rsidRPr="00522104" w:rsidRDefault="00827437" w:rsidP="00E40BEE">
            <w:pPr>
              <w:spacing w:after="0" w:line="240" w:lineRule="auto"/>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Федеральный проект "Создание системы поддержки фермеров и развитие сельской кооперации"</w:t>
            </w:r>
          </w:p>
        </w:tc>
        <w:tc>
          <w:tcPr>
            <w:tcW w:w="851" w:type="dxa"/>
            <w:tcBorders>
              <w:top w:val="nil"/>
              <w:left w:val="nil"/>
              <w:bottom w:val="single" w:sz="4" w:space="0" w:color="auto"/>
              <w:right w:val="single" w:sz="4" w:space="0" w:color="auto"/>
            </w:tcBorders>
            <w:shd w:val="clear" w:color="auto" w:fill="auto"/>
            <w:noWrap/>
            <w:vAlign w:val="bottom"/>
            <w:hideMark/>
          </w:tcPr>
          <w:p w14:paraId="6DBA205E"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44,81</w:t>
            </w:r>
          </w:p>
        </w:tc>
        <w:tc>
          <w:tcPr>
            <w:tcW w:w="850" w:type="dxa"/>
            <w:tcBorders>
              <w:top w:val="nil"/>
              <w:left w:val="nil"/>
              <w:bottom w:val="single" w:sz="4" w:space="0" w:color="auto"/>
              <w:right w:val="single" w:sz="4" w:space="0" w:color="auto"/>
            </w:tcBorders>
            <w:shd w:val="clear" w:color="auto" w:fill="auto"/>
            <w:noWrap/>
            <w:vAlign w:val="bottom"/>
            <w:hideMark/>
          </w:tcPr>
          <w:p w14:paraId="18789EAD"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66C154F"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B7A55F5"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F40852C"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941DBC6"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E991F43"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8" w:type="dxa"/>
            <w:tcBorders>
              <w:top w:val="nil"/>
              <w:left w:val="nil"/>
              <w:bottom w:val="single" w:sz="4" w:space="0" w:color="auto"/>
              <w:right w:val="single" w:sz="4" w:space="0" w:color="auto"/>
            </w:tcBorders>
            <w:shd w:val="clear" w:color="auto" w:fill="auto"/>
            <w:noWrap/>
            <w:vAlign w:val="bottom"/>
            <w:hideMark/>
          </w:tcPr>
          <w:p w14:paraId="73510921"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6D8353F"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2F7F67E9" w14:textId="77777777" w:rsidR="00827437" w:rsidRPr="00522104" w:rsidRDefault="00827437" w:rsidP="00E40BEE">
            <w:pPr>
              <w:spacing w:after="0" w:line="240" w:lineRule="auto"/>
              <w:jc w:val="right"/>
              <w:rPr>
                <w:rFonts w:ascii="Times New Roman" w:eastAsia="Times New Roman" w:hAnsi="Times New Roman" w:cs="Times New Roman"/>
                <w:i/>
                <w:color w:val="000000"/>
                <w:sz w:val="16"/>
                <w:szCs w:val="16"/>
                <w:lang w:eastAsia="ru-RU"/>
              </w:rPr>
            </w:pPr>
            <w:r w:rsidRPr="00522104">
              <w:rPr>
                <w:rFonts w:ascii="Times New Roman" w:eastAsia="Times New Roman" w:hAnsi="Times New Roman" w:cs="Times New Roman"/>
                <w:i/>
                <w:color w:val="000000"/>
                <w:sz w:val="16"/>
                <w:szCs w:val="16"/>
                <w:lang w:eastAsia="ru-RU"/>
              </w:rPr>
              <w:t>0,00</w:t>
            </w:r>
          </w:p>
        </w:tc>
      </w:tr>
      <w:tr w:rsidR="00827437" w:rsidRPr="00522104" w14:paraId="64E5DAE4" w14:textId="77777777" w:rsidTr="00917711">
        <w:trPr>
          <w:trHeight w:val="585"/>
        </w:trPr>
        <w:tc>
          <w:tcPr>
            <w:tcW w:w="2269" w:type="dxa"/>
            <w:tcBorders>
              <w:top w:val="nil"/>
              <w:left w:val="single" w:sz="4" w:space="0" w:color="auto"/>
              <w:bottom w:val="single" w:sz="4" w:space="0" w:color="auto"/>
              <w:right w:val="single" w:sz="4" w:space="0" w:color="auto"/>
            </w:tcBorders>
            <w:shd w:val="clear" w:color="auto" w:fill="auto"/>
            <w:vAlign w:val="bottom"/>
            <w:hideMark/>
          </w:tcPr>
          <w:p w14:paraId="456DDC2D" w14:textId="77777777" w:rsidR="00827437" w:rsidRPr="00074B2C" w:rsidRDefault="00827437" w:rsidP="00E40BEE">
            <w:pPr>
              <w:spacing w:after="0" w:line="240" w:lineRule="auto"/>
              <w:rPr>
                <w:rFonts w:ascii="Times New Roman" w:eastAsia="Times New Roman" w:hAnsi="Times New Roman" w:cs="Times New Roman"/>
                <w:bCs/>
                <w:color w:val="000000"/>
                <w:sz w:val="18"/>
                <w:szCs w:val="18"/>
                <w:lang w:eastAsia="ru-RU"/>
              </w:rPr>
            </w:pPr>
            <w:r w:rsidRPr="00074B2C">
              <w:rPr>
                <w:rFonts w:ascii="Times New Roman" w:eastAsia="Times New Roman" w:hAnsi="Times New Roman" w:cs="Times New Roman"/>
                <w:bCs/>
                <w:color w:val="000000"/>
                <w:sz w:val="18"/>
                <w:szCs w:val="18"/>
                <w:lang w:eastAsia="ru-RU"/>
              </w:rPr>
              <w:t>Подпрограмма "Комплексное развитие сельских территорий"</w:t>
            </w:r>
          </w:p>
        </w:tc>
        <w:tc>
          <w:tcPr>
            <w:tcW w:w="851" w:type="dxa"/>
            <w:tcBorders>
              <w:top w:val="nil"/>
              <w:left w:val="nil"/>
              <w:bottom w:val="single" w:sz="4" w:space="0" w:color="auto"/>
              <w:right w:val="single" w:sz="4" w:space="0" w:color="auto"/>
            </w:tcBorders>
            <w:shd w:val="clear" w:color="auto" w:fill="auto"/>
            <w:noWrap/>
            <w:vAlign w:val="bottom"/>
            <w:hideMark/>
          </w:tcPr>
          <w:p w14:paraId="22A48550"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12,76</w:t>
            </w:r>
          </w:p>
        </w:tc>
        <w:tc>
          <w:tcPr>
            <w:tcW w:w="850" w:type="dxa"/>
            <w:tcBorders>
              <w:top w:val="nil"/>
              <w:left w:val="nil"/>
              <w:bottom w:val="single" w:sz="4" w:space="0" w:color="auto"/>
              <w:right w:val="single" w:sz="4" w:space="0" w:color="auto"/>
            </w:tcBorders>
            <w:shd w:val="clear" w:color="auto" w:fill="auto"/>
            <w:noWrap/>
            <w:vAlign w:val="bottom"/>
            <w:hideMark/>
          </w:tcPr>
          <w:p w14:paraId="1C9B152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21,30</w:t>
            </w:r>
          </w:p>
        </w:tc>
        <w:tc>
          <w:tcPr>
            <w:tcW w:w="851" w:type="dxa"/>
            <w:tcBorders>
              <w:top w:val="nil"/>
              <w:left w:val="nil"/>
              <w:bottom w:val="single" w:sz="4" w:space="0" w:color="auto"/>
              <w:right w:val="single" w:sz="4" w:space="0" w:color="auto"/>
            </w:tcBorders>
            <w:shd w:val="clear" w:color="auto" w:fill="auto"/>
            <w:noWrap/>
            <w:vAlign w:val="bottom"/>
            <w:hideMark/>
          </w:tcPr>
          <w:p w14:paraId="0487FAED"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FB20394"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10,41</w:t>
            </w:r>
          </w:p>
        </w:tc>
        <w:tc>
          <w:tcPr>
            <w:tcW w:w="851" w:type="dxa"/>
            <w:tcBorders>
              <w:top w:val="nil"/>
              <w:left w:val="nil"/>
              <w:bottom w:val="single" w:sz="4" w:space="0" w:color="auto"/>
              <w:right w:val="single" w:sz="4" w:space="0" w:color="auto"/>
            </w:tcBorders>
            <w:shd w:val="clear" w:color="auto" w:fill="auto"/>
            <w:noWrap/>
            <w:vAlign w:val="bottom"/>
            <w:hideMark/>
          </w:tcPr>
          <w:p w14:paraId="1B40286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2,36</w:t>
            </w:r>
          </w:p>
        </w:tc>
        <w:tc>
          <w:tcPr>
            <w:tcW w:w="850" w:type="dxa"/>
            <w:tcBorders>
              <w:top w:val="nil"/>
              <w:left w:val="nil"/>
              <w:bottom w:val="single" w:sz="4" w:space="0" w:color="auto"/>
              <w:right w:val="single" w:sz="4" w:space="0" w:color="auto"/>
            </w:tcBorders>
            <w:shd w:val="clear" w:color="auto" w:fill="auto"/>
            <w:noWrap/>
            <w:vAlign w:val="bottom"/>
            <w:hideMark/>
          </w:tcPr>
          <w:p w14:paraId="075B8131"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2,88</w:t>
            </w:r>
          </w:p>
        </w:tc>
        <w:tc>
          <w:tcPr>
            <w:tcW w:w="851" w:type="dxa"/>
            <w:tcBorders>
              <w:top w:val="nil"/>
              <w:left w:val="nil"/>
              <w:bottom w:val="single" w:sz="4" w:space="0" w:color="auto"/>
              <w:right w:val="single" w:sz="4" w:space="0" w:color="auto"/>
            </w:tcBorders>
            <w:shd w:val="clear" w:color="auto" w:fill="auto"/>
            <w:noWrap/>
            <w:vAlign w:val="bottom"/>
            <w:hideMark/>
          </w:tcPr>
          <w:p w14:paraId="5C77F2FD"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-10,89</w:t>
            </w:r>
          </w:p>
        </w:tc>
        <w:tc>
          <w:tcPr>
            <w:tcW w:w="708" w:type="dxa"/>
            <w:tcBorders>
              <w:top w:val="nil"/>
              <w:left w:val="nil"/>
              <w:bottom w:val="single" w:sz="4" w:space="0" w:color="auto"/>
              <w:right w:val="single" w:sz="4" w:space="0" w:color="auto"/>
            </w:tcBorders>
            <w:shd w:val="clear" w:color="auto" w:fill="auto"/>
            <w:noWrap/>
            <w:vAlign w:val="bottom"/>
            <w:hideMark/>
          </w:tcPr>
          <w:p w14:paraId="00B1CAFA"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48,88</w:t>
            </w:r>
          </w:p>
        </w:tc>
        <w:tc>
          <w:tcPr>
            <w:tcW w:w="709" w:type="dxa"/>
            <w:tcBorders>
              <w:top w:val="nil"/>
              <w:left w:val="nil"/>
              <w:bottom w:val="single" w:sz="4" w:space="0" w:color="auto"/>
              <w:right w:val="single" w:sz="4" w:space="0" w:color="auto"/>
            </w:tcBorders>
            <w:shd w:val="clear" w:color="auto" w:fill="auto"/>
            <w:noWrap/>
            <w:vAlign w:val="bottom"/>
            <w:hideMark/>
          </w:tcPr>
          <w:p w14:paraId="3FC47DFC"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10,41</w:t>
            </w:r>
          </w:p>
        </w:tc>
        <w:tc>
          <w:tcPr>
            <w:tcW w:w="709" w:type="dxa"/>
            <w:tcBorders>
              <w:top w:val="nil"/>
              <w:left w:val="nil"/>
              <w:bottom w:val="single" w:sz="4" w:space="0" w:color="auto"/>
              <w:right w:val="single" w:sz="4" w:space="0" w:color="auto"/>
            </w:tcBorders>
            <w:shd w:val="clear" w:color="auto" w:fill="auto"/>
            <w:noWrap/>
            <w:vAlign w:val="bottom"/>
            <w:hideMark/>
          </w:tcPr>
          <w:p w14:paraId="702209FB" w14:textId="77777777" w:rsidR="00827437" w:rsidRPr="00074B2C" w:rsidRDefault="00827437" w:rsidP="00E40BEE">
            <w:pPr>
              <w:spacing w:after="0" w:line="240" w:lineRule="auto"/>
              <w:jc w:val="right"/>
              <w:rPr>
                <w:rFonts w:ascii="Times New Roman" w:eastAsia="Times New Roman" w:hAnsi="Times New Roman" w:cs="Times New Roman"/>
                <w:bCs/>
                <w:color w:val="000000"/>
                <w:sz w:val="16"/>
                <w:szCs w:val="16"/>
                <w:lang w:eastAsia="ru-RU"/>
              </w:rPr>
            </w:pPr>
            <w:r w:rsidRPr="00074B2C">
              <w:rPr>
                <w:rFonts w:ascii="Times New Roman" w:eastAsia="Times New Roman" w:hAnsi="Times New Roman" w:cs="Times New Roman"/>
                <w:bCs/>
                <w:color w:val="000000"/>
                <w:sz w:val="16"/>
                <w:szCs w:val="16"/>
                <w:lang w:eastAsia="ru-RU"/>
              </w:rPr>
              <w:t>0,00</w:t>
            </w:r>
          </w:p>
        </w:tc>
      </w:tr>
    </w:tbl>
    <w:p w14:paraId="610B4EA4" w14:textId="34ED37D2"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Объем бюджетных назначений по </w:t>
      </w:r>
      <w:r w:rsidRPr="00522104">
        <w:rPr>
          <w:rFonts w:ascii="Times New Roman" w:hAnsi="Times New Roman" w:cs="Times New Roman"/>
          <w:b/>
          <w:i/>
          <w:sz w:val="28"/>
          <w:szCs w:val="28"/>
        </w:rPr>
        <w:t>подпрограмме "Техническая и технологическая модернизация агропромышленного комплекса"</w:t>
      </w:r>
      <w:r w:rsidRPr="00522104">
        <w:rPr>
          <w:rFonts w:ascii="Times New Roman" w:hAnsi="Times New Roman" w:cs="Times New Roman"/>
          <w:sz w:val="28"/>
          <w:szCs w:val="28"/>
        </w:rPr>
        <w:t xml:space="preserve"> в законопроекте увеличен на 40,00 млн рублей до 751,86 млн рублей (утверждено на 2022 год 711,86 млн рублей). </w:t>
      </w:r>
    </w:p>
    <w:p w14:paraId="09D4E66A"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2022 год планируется новое расходное обязательство в сумме 40,00 млн рублей на приобретение сельскохозяйственной техники и оборудования для государственных нужд (закупа сельскохозяйственной техники для ГУ Федеральной службы исполнения наказаний по Приморскому краю).</w:t>
      </w:r>
    </w:p>
    <w:p w14:paraId="47981526" w14:textId="0B833F1F"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r w:rsidR="00F648B2" w:rsidRPr="00522104">
        <w:rPr>
          <w:rFonts w:ascii="Times New Roman" w:hAnsi="Times New Roman" w:cs="Times New Roman"/>
          <w:sz w:val="28"/>
          <w:szCs w:val="28"/>
        </w:rPr>
        <w:t>,</w:t>
      </w:r>
      <w:r w:rsidRPr="00522104">
        <w:rPr>
          <w:rFonts w:ascii="Times New Roman" w:hAnsi="Times New Roman" w:cs="Times New Roman"/>
          <w:sz w:val="28"/>
          <w:szCs w:val="28"/>
        </w:rPr>
        <w:t xml:space="preserve"> остаются на утвержденном уровне на 2022 год в сумме 711,86 млн рублей.</w:t>
      </w:r>
    </w:p>
    <w:p w14:paraId="307025D4" w14:textId="655F35A6"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В законопроекте с увеличением запланированы расходы на реализацию мероприятий </w:t>
      </w:r>
      <w:r w:rsidRPr="00522104">
        <w:rPr>
          <w:rFonts w:ascii="Times New Roman" w:hAnsi="Times New Roman" w:cs="Times New Roman"/>
          <w:b/>
          <w:i/>
          <w:sz w:val="28"/>
          <w:szCs w:val="28"/>
        </w:rPr>
        <w:t>подпрограммы "Повышение финансовой устойчивости"</w:t>
      </w:r>
      <w:r w:rsidRPr="00522104">
        <w:rPr>
          <w:rFonts w:ascii="Times New Roman" w:hAnsi="Times New Roman" w:cs="Times New Roman"/>
          <w:sz w:val="28"/>
          <w:szCs w:val="28"/>
        </w:rPr>
        <w:t xml:space="preserve"> на 135,29 млн рублей до 540,37 млн рублей (утвержденные назначения – 405,08 млн рублей) за счет объема средств на поддержку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(утверждено 116,04 млн рублей, в законопроекте 251,33 млн рублей). Увеличение производится согласно заключенным парафированным соглашениям с Министерством сельского хозяйства Российской Федерации, а также проектом федерального бюджета на 2022-2024 годы.</w:t>
      </w:r>
    </w:p>
    <w:p w14:paraId="5967F361"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Увеличение по сравнению с утвержденными назначениями на 2022 год расходов на </w:t>
      </w:r>
      <w:r w:rsidRPr="00522104">
        <w:rPr>
          <w:rFonts w:ascii="Times New Roman" w:hAnsi="Times New Roman" w:cs="Times New Roman"/>
          <w:b/>
          <w:i/>
          <w:sz w:val="28"/>
          <w:szCs w:val="28"/>
        </w:rPr>
        <w:t>подпрограмму "Развитие подотрасли растениеводства, переработки и реализации продукции растениеводства"</w:t>
      </w:r>
      <w:r w:rsidRPr="00522104">
        <w:rPr>
          <w:rFonts w:ascii="Times New Roman" w:hAnsi="Times New Roman" w:cs="Times New Roman"/>
          <w:sz w:val="28"/>
          <w:szCs w:val="28"/>
        </w:rPr>
        <w:t xml:space="preserve"> на 85,14 млн рублей до 367,41 млн рублей (утверждено – 282,27 млн рублей).</w:t>
      </w:r>
    </w:p>
    <w:p w14:paraId="03F0C761" w14:textId="451934D8"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2022 году планируется предоставить 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r w:rsidR="00F648B2" w:rsidRPr="00522104">
        <w:rPr>
          <w:rFonts w:ascii="Times New Roman" w:hAnsi="Times New Roman" w:cs="Times New Roman"/>
          <w:sz w:val="28"/>
          <w:szCs w:val="28"/>
        </w:rPr>
        <w:t>,</w:t>
      </w:r>
      <w:r w:rsidRPr="00522104">
        <w:rPr>
          <w:rFonts w:ascii="Times New Roman" w:hAnsi="Times New Roman" w:cs="Times New Roman"/>
          <w:sz w:val="28"/>
          <w:szCs w:val="28"/>
        </w:rPr>
        <w:t xml:space="preserve"> в сумме 2,84 млн рублей, что позволит просубсидировать затраты 2 заявителей на закладку 5 га многолетних насаждений (в Законе № 969-КЗ расходы отсутствовали).</w:t>
      </w:r>
    </w:p>
    <w:p w14:paraId="471D805F"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Согласно заключенным парафированным соглашениям с Министерством сельского хозяйства Российской Федерации, а также проектом федерального бюджета на 2022 год и плановый период 2023 и 2024 годов запланированы:</w:t>
      </w:r>
    </w:p>
    <w:p w14:paraId="51D295D3" w14:textId="5973EF53"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 с уменьшением средств на субсидии на поддержку сельскохозяйственного производства по отдельным подотраслям растениеводства и животноводства на проведение агротехнологических работ</w:t>
      </w:r>
      <w:r w:rsidR="00F648B2" w:rsidRPr="00522104">
        <w:rPr>
          <w:rFonts w:ascii="Times New Roman" w:hAnsi="Times New Roman" w:cs="Times New Roman"/>
          <w:sz w:val="28"/>
          <w:szCs w:val="28"/>
        </w:rPr>
        <w:t> </w:t>
      </w:r>
      <w:r w:rsidRPr="00522104">
        <w:rPr>
          <w:rFonts w:ascii="Times New Roman" w:hAnsi="Times New Roman" w:cs="Times New Roman"/>
          <w:sz w:val="28"/>
          <w:szCs w:val="28"/>
        </w:rPr>
        <w:t xml:space="preserve">– на 17,65 млн рублей (утверждено законом 138,62 млн рублей, законопроект – 120,97 млн рублей). </w:t>
      </w:r>
      <w:r w:rsidRPr="00522104">
        <w:rPr>
          <w:rFonts w:ascii="Times New Roman" w:hAnsi="Times New Roman" w:cs="Times New Roman"/>
          <w:i/>
          <w:sz w:val="28"/>
          <w:szCs w:val="28"/>
        </w:rPr>
        <w:t>Справочно: за 9 месяцев 2021 года</w:t>
      </w:r>
      <w:r w:rsidRPr="00522104">
        <w:rPr>
          <w:i/>
        </w:rPr>
        <w:t xml:space="preserve"> </w:t>
      </w:r>
      <w:r w:rsidRPr="00522104">
        <w:rPr>
          <w:rFonts w:ascii="Times New Roman" w:hAnsi="Times New Roman" w:cs="Times New Roman"/>
          <w:i/>
          <w:sz w:val="28"/>
          <w:szCs w:val="28"/>
        </w:rPr>
        <w:t>просубсидировано 111 сельхозтоваропроизводителей;</w:t>
      </w:r>
    </w:p>
    <w:p w14:paraId="16CAAD46"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с увеличением средств на возмещение производителям зерновых культур части затрат на производство и реализацию зерновых культур – на 66,70 млн рублей (утверждено законом 0,01 млн рублей, законопроект – 66,71 млн рублей) и на поддержку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 – на 36,70 млн рублей (утверждено законом 38,30 млн рублей, законопроект – 75,00 млн рублей). </w:t>
      </w:r>
    </w:p>
    <w:p w14:paraId="7866264D" w14:textId="58DBAFB2"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С увеличением по сравнению с утвержденным объемом на 2022 год планируется объем расходов на реализацию мероприятий </w:t>
      </w:r>
      <w:r w:rsidRPr="00522104">
        <w:rPr>
          <w:rFonts w:ascii="Times New Roman" w:hAnsi="Times New Roman" w:cs="Times New Roman"/>
          <w:b/>
          <w:i/>
          <w:sz w:val="28"/>
          <w:szCs w:val="28"/>
        </w:rPr>
        <w:t xml:space="preserve">подпрограммы "Развитие подотрасли животноводства, переработки и реализации продукции животноводства" </w:t>
      </w:r>
      <w:r w:rsidRPr="00522104">
        <w:rPr>
          <w:rFonts w:ascii="Times New Roman" w:hAnsi="Times New Roman" w:cs="Times New Roman"/>
          <w:sz w:val="28"/>
          <w:szCs w:val="28"/>
        </w:rPr>
        <w:t>на 246,89 млн рублей (утверждено 1100,33 млн рублей, законопроект 1347,22 млн рублей), из них:</w:t>
      </w:r>
    </w:p>
    <w:p w14:paraId="01D849F1"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законопроекте не планируются утвержденные на 2022 год субсидии на возмещение части затрат, связанных с развитием отрасли животноводства (710,00 млн рублей), по ФП "Экспорт продукции агропромышленного комплекса" субсидии на реализацию мероприятий, направленных на создание условий для получения аккредитации ветеринарными лабораториями Приморского края в национальной системе аккредитаций (42,98 млн рублей);</w:t>
      </w:r>
    </w:p>
    <w:p w14:paraId="619960AA"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 в законопроекте планируются не утвержденные на 2022 год субсидии на возмещение части затрат, связанных с развитием отрасли птицеводства и молочного скотоводства (772,08 млн рублей), средства на 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 (45,87 млн рублей), 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 (113,16 млн рублей).</w:t>
      </w:r>
    </w:p>
    <w:p w14:paraId="541E49DA" w14:textId="6F84E2B6"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В связи с имеющейся дополнительной потребностью </w:t>
      </w:r>
      <w:r w:rsidRPr="00522104">
        <w:rPr>
          <w:rFonts w:ascii="Times New Roman" w:hAnsi="Times New Roman" w:cs="Times New Roman"/>
          <w:b/>
          <w:i/>
          <w:sz w:val="28"/>
          <w:szCs w:val="28"/>
        </w:rPr>
        <w:t xml:space="preserve">по подпрограмме "Развитие пищевой и перерабатывающей промышленности" </w:t>
      </w:r>
      <w:r w:rsidRPr="00522104">
        <w:rPr>
          <w:rFonts w:ascii="Times New Roman" w:hAnsi="Times New Roman" w:cs="Times New Roman"/>
          <w:sz w:val="28"/>
          <w:szCs w:val="28"/>
        </w:rPr>
        <w:t xml:space="preserve">на 2022 год объем субсидий на возмещение части затрат, связанных с производством социальных сортов хлеба, в законопроекте планируется с увеличением на 26,53 млн рублей (утверждено 78,47 млн рублей, законопроект 105,00 млн рублей). </w:t>
      </w:r>
      <w:r w:rsidRPr="00522104">
        <w:rPr>
          <w:rFonts w:ascii="Times New Roman" w:hAnsi="Times New Roman" w:cs="Times New Roman"/>
          <w:i/>
          <w:sz w:val="28"/>
          <w:szCs w:val="28"/>
        </w:rPr>
        <w:t>Справочно: за 9 месяцев 2021 года субсидии предоставлены 26 хлебопекарным предприятиям Приморского края на 11,9 тыс. тонн социальных сортов хлеба на сумму 51,36 млн рублей, или 55,07 % (план – 93,26 млн рублей).</w:t>
      </w:r>
    </w:p>
    <w:p w14:paraId="290416D9" w14:textId="23C0C471"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Объем расходов на реализацию мероприятий</w:t>
      </w:r>
      <w:r w:rsidRPr="00522104">
        <w:rPr>
          <w:rFonts w:ascii="Times New Roman" w:hAnsi="Times New Roman" w:cs="Times New Roman"/>
          <w:sz w:val="28"/>
          <w:szCs w:val="28"/>
          <w:u w:val="single"/>
        </w:rPr>
        <w:t xml:space="preserve"> </w:t>
      </w:r>
      <w:r w:rsidRPr="00522104">
        <w:rPr>
          <w:rFonts w:ascii="Times New Roman" w:hAnsi="Times New Roman" w:cs="Times New Roman"/>
          <w:b/>
          <w:i/>
          <w:sz w:val="28"/>
          <w:szCs w:val="28"/>
        </w:rPr>
        <w:t>подпрограммы "Развитие сельскохозяйственной кооперации и малых форм хозяйствования"</w:t>
      </w:r>
      <w:r w:rsidRPr="00522104">
        <w:rPr>
          <w:rFonts w:ascii="Times New Roman" w:hAnsi="Times New Roman" w:cs="Times New Roman"/>
          <w:sz w:val="28"/>
          <w:szCs w:val="28"/>
          <w:u w:val="single"/>
        </w:rPr>
        <w:t xml:space="preserve"> </w:t>
      </w:r>
      <w:r w:rsidRPr="00522104">
        <w:rPr>
          <w:rFonts w:ascii="Times New Roman" w:hAnsi="Times New Roman" w:cs="Times New Roman"/>
          <w:sz w:val="28"/>
          <w:szCs w:val="28"/>
        </w:rPr>
        <w:t xml:space="preserve">уменьшается в законопроекте на 39,10 млн рублей (утверждено 203,22 млн рублей, законопроект 164,12 млн рублей). </w:t>
      </w:r>
    </w:p>
    <w:p w14:paraId="1CED56D4"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Согласно заключенным парафированным соглашениям с Министерством сельского хозяйства Российской Федерации, а также проектом закона о федеральном бюджете на 2022 год и плановый период 2023 и 2024 годов на 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 будет направлено 97,63 млн рублей, что на 41,93 млн рублей меньше, чем утверждено (139,56 млн рублей). </w:t>
      </w:r>
    </w:p>
    <w:p w14:paraId="5828CE3E"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Кроме того, в законопроекте предлагаются средства на развитие сельского туризма в сумме 3,75 млн рублей (в Законе № 969-КЗ расходы отсутствуют).</w:t>
      </w:r>
    </w:p>
    <w:p w14:paraId="307D0873" w14:textId="1CBE0A1B"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Расходы на реализацию </w:t>
      </w:r>
      <w:r w:rsidRPr="00522104">
        <w:rPr>
          <w:rFonts w:ascii="Times New Roman" w:hAnsi="Times New Roman" w:cs="Times New Roman"/>
          <w:b/>
          <w:i/>
          <w:sz w:val="28"/>
          <w:szCs w:val="28"/>
        </w:rPr>
        <w:t xml:space="preserve">подпрограммы "Развитие мелиорации сельскохозяйственных земель" </w:t>
      </w:r>
      <w:r w:rsidRPr="00522104">
        <w:rPr>
          <w:rFonts w:ascii="Times New Roman" w:hAnsi="Times New Roman" w:cs="Times New Roman"/>
          <w:sz w:val="28"/>
          <w:szCs w:val="28"/>
        </w:rPr>
        <w:t xml:space="preserve">увеличены на 5,3 млн рублей (утверждено </w:t>
      </w:r>
      <w:r w:rsidR="00C514E1" w:rsidRPr="00522104">
        <w:rPr>
          <w:rFonts w:ascii="Times New Roman" w:hAnsi="Times New Roman" w:cs="Times New Roman"/>
          <w:sz w:val="28"/>
          <w:szCs w:val="28"/>
        </w:rPr>
        <w:t xml:space="preserve">220,39 </w:t>
      </w:r>
      <w:r w:rsidRPr="00522104">
        <w:rPr>
          <w:rFonts w:ascii="Times New Roman" w:hAnsi="Times New Roman" w:cs="Times New Roman"/>
          <w:sz w:val="28"/>
          <w:szCs w:val="28"/>
        </w:rPr>
        <w:t xml:space="preserve">млн рублей, законопроект </w:t>
      </w:r>
      <w:r w:rsidR="00C514E1" w:rsidRPr="00522104">
        <w:rPr>
          <w:rFonts w:ascii="Times New Roman" w:hAnsi="Times New Roman" w:cs="Times New Roman"/>
          <w:sz w:val="28"/>
          <w:szCs w:val="28"/>
        </w:rPr>
        <w:t xml:space="preserve">225,69 </w:t>
      </w:r>
      <w:r w:rsidRPr="00522104">
        <w:rPr>
          <w:rFonts w:ascii="Times New Roman" w:hAnsi="Times New Roman" w:cs="Times New Roman"/>
          <w:sz w:val="28"/>
          <w:szCs w:val="28"/>
        </w:rPr>
        <w:t>млн рублей) за счет включения не планируемых в Законе № 969-КЗ средств на проведение агрохимического обследования (мониторинга).</w:t>
      </w:r>
    </w:p>
    <w:p w14:paraId="47B9FB25"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На уровне утвержденных назначений на 2022 год предлагаются средства в рамках ФП "Экспорт продукции агропромышленного комплекса" (195,95 млн рублей) и на реализацию мероприятий в области мелиорации земель сельскохозяйственного назначения (24,44 млн рублей).</w:t>
      </w:r>
    </w:p>
    <w:p w14:paraId="44E48C57" w14:textId="4872D356"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b/>
          <w:i/>
          <w:sz w:val="28"/>
          <w:szCs w:val="28"/>
        </w:rPr>
        <w:t>подпрограмме "Обеспечение функций управления реализации государственной программы Приморского края"</w:t>
      </w:r>
      <w:r w:rsidRPr="00522104">
        <w:rPr>
          <w:rFonts w:ascii="Times New Roman" w:hAnsi="Times New Roman" w:cs="Times New Roman"/>
          <w:sz w:val="28"/>
          <w:szCs w:val="28"/>
        </w:rPr>
        <w:t xml:space="preserve"> законопроектом увеличены расходы на руководство и управление в сфере установленных функций на сумму 1,71 млн рублей (утверждено 45,11 млн рублей, законопроект 46,82 млн рублей).</w:t>
      </w:r>
    </w:p>
    <w:p w14:paraId="0EE8AD8A" w14:textId="47F34557" w:rsidR="00827437" w:rsidRPr="00522104" w:rsidRDefault="00827437" w:rsidP="00827437">
      <w:pPr>
        <w:spacing w:after="0" w:line="240" w:lineRule="auto"/>
        <w:ind w:firstLine="709"/>
        <w:jc w:val="both"/>
        <w:rPr>
          <w:rFonts w:ascii="Times New Roman" w:hAnsi="Times New Roman" w:cs="Times New Roman"/>
          <w:i/>
          <w:sz w:val="28"/>
          <w:szCs w:val="28"/>
        </w:rPr>
      </w:pPr>
      <w:r w:rsidRPr="00522104">
        <w:rPr>
          <w:rFonts w:ascii="Times New Roman" w:hAnsi="Times New Roman" w:cs="Times New Roman"/>
          <w:sz w:val="28"/>
          <w:szCs w:val="28"/>
        </w:rPr>
        <w:t xml:space="preserve">За счет увеличения государственной поддержки стимулирования увеличения производства масличных культур, предоставляемых в рамках ФП "Экспорт продукции агропромышленного комплекса" расходы </w:t>
      </w:r>
      <w:r w:rsidRPr="00522104">
        <w:rPr>
          <w:rFonts w:ascii="Times New Roman" w:hAnsi="Times New Roman" w:cs="Times New Roman"/>
          <w:b/>
          <w:i/>
          <w:sz w:val="28"/>
          <w:szCs w:val="28"/>
        </w:rPr>
        <w:t>по подпрограмме "Экспорт продукции агропромышленного комплекса"</w:t>
      </w:r>
      <w:r w:rsidRPr="00522104">
        <w:rPr>
          <w:rFonts w:ascii="Times New Roman" w:hAnsi="Times New Roman" w:cs="Times New Roman"/>
          <w:sz w:val="28"/>
          <w:szCs w:val="28"/>
        </w:rPr>
        <w:t xml:space="preserve"> увеличиваются на 348,76 млн рублей (утверждено 1201,54 млн рублей, в законопроекте 1550,30 млн рублей).</w:t>
      </w:r>
      <w:r w:rsidRPr="00522104">
        <w:t xml:space="preserve"> </w:t>
      </w:r>
      <w:r w:rsidRPr="00522104">
        <w:rPr>
          <w:rFonts w:ascii="Times New Roman" w:hAnsi="Times New Roman" w:cs="Times New Roman"/>
          <w:i/>
          <w:sz w:val="28"/>
          <w:szCs w:val="28"/>
        </w:rPr>
        <w:t xml:space="preserve">Справочно: </w:t>
      </w:r>
      <w:r w:rsidR="00F56ACE" w:rsidRPr="00522104">
        <w:rPr>
          <w:rFonts w:ascii="Times New Roman" w:hAnsi="Times New Roman" w:cs="Times New Roman"/>
          <w:i/>
          <w:sz w:val="28"/>
          <w:szCs w:val="28"/>
        </w:rPr>
        <w:t>з</w:t>
      </w:r>
      <w:r w:rsidRPr="00522104">
        <w:rPr>
          <w:rFonts w:ascii="Times New Roman" w:hAnsi="Times New Roman" w:cs="Times New Roman"/>
          <w:i/>
          <w:sz w:val="28"/>
          <w:szCs w:val="28"/>
        </w:rPr>
        <w:t>а 9 месяцев 2021 года произведена выплата субсидии 113 получателям на сумму 170,36 млн рублей</w:t>
      </w:r>
      <w:r w:rsidR="00F56ACE" w:rsidRPr="00522104">
        <w:rPr>
          <w:rFonts w:ascii="Times New Roman" w:hAnsi="Times New Roman" w:cs="Times New Roman"/>
          <w:i/>
          <w:sz w:val="28"/>
          <w:szCs w:val="28"/>
        </w:rPr>
        <w:t>,</w:t>
      </w:r>
      <w:r w:rsidRPr="00522104">
        <w:rPr>
          <w:rFonts w:ascii="Times New Roman" w:hAnsi="Times New Roman" w:cs="Times New Roman"/>
          <w:i/>
          <w:sz w:val="28"/>
          <w:szCs w:val="28"/>
        </w:rPr>
        <w:t xml:space="preserve"> или 41,16 % (план – 413,89 млн рублей).</w:t>
      </w:r>
    </w:p>
    <w:p w14:paraId="0F564900" w14:textId="0ED632B0"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По </w:t>
      </w:r>
      <w:r w:rsidRPr="00522104">
        <w:rPr>
          <w:rFonts w:ascii="Times New Roman" w:hAnsi="Times New Roman" w:cs="Times New Roman"/>
          <w:b/>
          <w:i/>
          <w:sz w:val="28"/>
          <w:szCs w:val="28"/>
        </w:rPr>
        <w:t>подпрограмме "Создание системы поддержки фермеров и развитие сельской кооперации"</w:t>
      </w:r>
      <w:r w:rsidRPr="00522104">
        <w:rPr>
          <w:rFonts w:ascii="Times New Roman" w:hAnsi="Times New Roman" w:cs="Times New Roman"/>
          <w:sz w:val="28"/>
          <w:szCs w:val="28"/>
        </w:rPr>
        <w:t xml:space="preserve"> расходы по реализации ФП "Акселерация субъектов малого и среднего предпринимательства" запланированы с увеличением на 8,51 млн рублей (утверждено 43,</w:t>
      </w:r>
      <w:r w:rsidR="00F56ACE" w:rsidRPr="00522104">
        <w:rPr>
          <w:rFonts w:ascii="Times New Roman" w:hAnsi="Times New Roman" w:cs="Times New Roman"/>
          <w:sz w:val="28"/>
          <w:szCs w:val="28"/>
        </w:rPr>
        <w:t xml:space="preserve">57 млн рублей, в законопроекте </w:t>
      </w:r>
      <w:r w:rsidRPr="00522104">
        <w:rPr>
          <w:rFonts w:ascii="Times New Roman" w:hAnsi="Times New Roman" w:cs="Times New Roman"/>
          <w:sz w:val="28"/>
          <w:szCs w:val="28"/>
        </w:rPr>
        <w:t>52,08 млн рублей).</w:t>
      </w:r>
    </w:p>
    <w:p w14:paraId="7C3B2B83" w14:textId="77777777"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На мероприятия </w:t>
      </w:r>
      <w:r w:rsidRPr="00522104">
        <w:rPr>
          <w:rFonts w:ascii="Times New Roman" w:hAnsi="Times New Roman" w:cs="Times New Roman"/>
          <w:b/>
          <w:i/>
          <w:sz w:val="28"/>
          <w:szCs w:val="28"/>
        </w:rPr>
        <w:t>подпрограммы "Комплексное развитие сельских территорий"</w:t>
      </w:r>
      <w:r w:rsidRPr="00522104">
        <w:rPr>
          <w:rFonts w:ascii="Times New Roman" w:hAnsi="Times New Roman" w:cs="Times New Roman"/>
          <w:sz w:val="28"/>
          <w:szCs w:val="28"/>
        </w:rPr>
        <w:t xml:space="preserve"> в законопроекте запланировано 10,41 млн рублей (в утвержденном законе на 2022 год средства не планировались). </w:t>
      </w:r>
    </w:p>
    <w:p w14:paraId="0501285F" w14:textId="77777777" w:rsidR="00827437" w:rsidRPr="00522104" w:rsidRDefault="00827437" w:rsidP="00827437">
      <w:pPr>
        <w:spacing w:after="0" w:line="240" w:lineRule="auto"/>
        <w:ind w:firstLine="709"/>
        <w:jc w:val="both"/>
      </w:pPr>
      <w:r w:rsidRPr="00522104">
        <w:rPr>
          <w:rFonts w:ascii="Times New Roman" w:hAnsi="Times New Roman" w:cs="Times New Roman"/>
          <w:sz w:val="28"/>
          <w:szCs w:val="28"/>
        </w:rPr>
        <w:t>Средства предназначены на комплексное развитие сельских территорий Приморского края (4,90 млн рублей) и 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 (5,51 млн рублей).</w:t>
      </w:r>
      <w:r w:rsidRPr="00522104">
        <w:t xml:space="preserve"> </w:t>
      </w:r>
    </w:p>
    <w:p w14:paraId="187667A8" w14:textId="77777777" w:rsidR="00827437" w:rsidRPr="00522104" w:rsidRDefault="00827437" w:rsidP="00827437">
      <w:pPr>
        <w:spacing w:after="0" w:line="240" w:lineRule="auto"/>
        <w:ind w:firstLine="709"/>
        <w:jc w:val="both"/>
      </w:pPr>
    </w:p>
    <w:p w14:paraId="117352C7" w14:textId="77777777" w:rsidR="00827437" w:rsidRPr="00522104" w:rsidRDefault="00827437" w:rsidP="00827437">
      <w:pPr>
        <w:spacing w:after="0" w:line="240" w:lineRule="auto"/>
        <w:ind w:firstLine="709"/>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noProof/>
          <w:color w:val="000000"/>
          <w:sz w:val="20"/>
          <w:szCs w:val="20"/>
          <w:lang w:eastAsia="ru-RU"/>
        </w:rPr>
        <w:drawing>
          <wp:anchor distT="0" distB="0" distL="114300" distR="114300" simplePos="0" relativeHeight="251724800" behindDoc="0" locked="0" layoutInCell="1" allowOverlap="1" wp14:anchorId="052096A3" wp14:editId="4E3FA0F0">
            <wp:simplePos x="0" y="0"/>
            <wp:positionH relativeFrom="margin">
              <wp:align>left</wp:align>
            </wp:positionH>
            <wp:positionV relativeFrom="paragraph">
              <wp:posOffset>10611</wp:posOffset>
            </wp:positionV>
            <wp:extent cx="1343660" cy="922020"/>
            <wp:effectExtent l="0" t="0" r="8890" b="0"/>
            <wp:wrapSquare wrapText="bothSides"/>
            <wp:docPr id="79" name="Рисунок 79" descr="C:\Users\zavzyataya_sv\Desktop\Картинки к исполнению\880_x9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zavzyataya_sv\Desktop\Картинки к исполнению\880_x92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43660" cy="922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"Охрана окружающей среды Приморского края"</w:t>
      </w:r>
    </w:p>
    <w:p w14:paraId="103B5F5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реализацию мероприятий ГП законопроектом на 2022 год предусмотрены бюджетные ассигнования в общем объеме 456,43</w:t>
      </w:r>
      <w:r w:rsidRPr="00522104">
        <w:rPr>
          <w:rFonts w:ascii="Times New Roman" w:eastAsia="Times New Roman" w:hAnsi="Times New Roman" w:cs="Times New Roman"/>
          <w:sz w:val="28"/>
          <w:szCs w:val="28"/>
          <w:lang w:val="en-US" w:eastAsia="ru-RU"/>
        </w:rPr>
        <w:t> </w:t>
      </w:r>
      <w:r w:rsidRPr="00522104">
        <w:rPr>
          <w:rFonts w:ascii="Times New Roman" w:eastAsia="Times New Roman" w:hAnsi="Times New Roman" w:cs="Times New Roman"/>
          <w:sz w:val="28"/>
          <w:szCs w:val="28"/>
          <w:lang w:eastAsia="ru-RU"/>
        </w:rPr>
        <w:t>млн</w:t>
      </w:r>
      <w:r w:rsidRPr="00522104">
        <w:rPr>
          <w:rFonts w:ascii="Times New Roman" w:eastAsia="Times New Roman" w:hAnsi="Times New Roman" w:cs="Times New Roman"/>
          <w:sz w:val="28"/>
          <w:szCs w:val="28"/>
          <w:lang w:val="en-US" w:eastAsia="ru-RU"/>
        </w:rPr>
        <w:t> </w:t>
      </w:r>
      <w:r w:rsidRPr="00522104">
        <w:rPr>
          <w:rFonts w:ascii="Times New Roman" w:eastAsia="Times New Roman" w:hAnsi="Times New Roman" w:cs="Times New Roman"/>
          <w:sz w:val="28"/>
          <w:szCs w:val="28"/>
          <w:lang w:eastAsia="ru-RU"/>
        </w:rPr>
        <w:t>рублей (за счет средств федерального – 60,72 млн рублей и краевого бюджетов – 395,71 млн рублей), что на 184,01 млн рублей, или 167,55 % больше утвержденных назначений (272,42 млн рублей), и меньше уровня 2021 года на 56,79 млн рублей.</w:t>
      </w:r>
    </w:p>
    <w:p w14:paraId="50C5EF56"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плановый период 2023-2024 годов бюджетные ассигнования на реализацию мероприятий ГП предусмотрены в объеме 698,76 млн рублей, из них: на 2023 год 402,46 млн рублей, на 2024 год 296,30 млн рублей.</w:t>
      </w:r>
    </w:p>
    <w:p w14:paraId="547BA8CE"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на реализацию мероприятий ГП в объеме 456,43 млн рублей в законопроекте на 2022 год в разрезе ведомств составляют по: </w:t>
      </w:r>
    </w:p>
    <w:p w14:paraId="2707DCA0"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министерству природных ресурсов и охраны окружающей среды Приморского края – 257,31 млн рублей; </w:t>
      </w:r>
    </w:p>
    <w:p w14:paraId="73A7AE47"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 министерству жилищно-коммунального хозяйства Приморского края – 20,73 млн рублей; </w:t>
      </w:r>
    </w:p>
    <w:p w14:paraId="02D5D6E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министерству строительства Приморского края – 71,41 млн рублей; </w:t>
      </w:r>
    </w:p>
    <w:p w14:paraId="60A302C2"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министерству лесного хозяйства и охраны объектов животного мира Приморского края – 106,98 млн рублей. </w:t>
      </w:r>
    </w:p>
    <w:p w14:paraId="70B319C2" w14:textId="77777777" w:rsidR="007E1820" w:rsidRPr="00522104" w:rsidRDefault="007E1820" w:rsidP="007E1820">
      <w:pPr>
        <w:spacing w:line="240" w:lineRule="auto"/>
        <w:ind w:firstLine="709"/>
        <w:jc w:val="both"/>
        <w:outlineLvl w:val="4"/>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8"/>
          <w:szCs w:val="28"/>
          <w:lang w:eastAsia="ru-RU"/>
        </w:rPr>
        <w:t xml:space="preserve">Распределение бюджетных ассигнований на финансовое обеспечение ГП в разрезе подпрограмм с указанием федеральных проектов приведено в таблице. </w:t>
      </w:r>
    </w:p>
    <w:tbl>
      <w:tblPr>
        <w:tblW w:w="10206" w:type="dxa"/>
        <w:tblInd w:w="-709" w:type="dxa"/>
        <w:tblLayout w:type="fixed"/>
        <w:tblLook w:val="04A0" w:firstRow="1" w:lastRow="0" w:firstColumn="1" w:lastColumn="0" w:noHBand="0" w:noVBand="1"/>
      </w:tblPr>
      <w:tblGrid>
        <w:gridCol w:w="2127"/>
        <w:gridCol w:w="850"/>
        <w:gridCol w:w="850"/>
        <w:gridCol w:w="851"/>
        <w:gridCol w:w="851"/>
        <w:gridCol w:w="851"/>
        <w:gridCol w:w="850"/>
        <w:gridCol w:w="708"/>
        <w:gridCol w:w="708"/>
        <w:gridCol w:w="851"/>
        <w:gridCol w:w="709"/>
      </w:tblGrid>
      <w:tr w:rsidR="007E1820" w:rsidRPr="00522104" w14:paraId="5E1501C0" w14:textId="77777777" w:rsidTr="00917711">
        <w:trPr>
          <w:trHeight w:val="169"/>
          <w:tblHeader/>
        </w:trPr>
        <w:tc>
          <w:tcPr>
            <w:tcW w:w="2127" w:type="dxa"/>
            <w:tcBorders>
              <w:bottom w:val="single" w:sz="4" w:space="0" w:color="auto"/>
            </w:tcBorders>
          </w:tcPr>
          <w:p w14:paraId="21F0298E"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p>
        </w:tc>
        <w:tc>
          <w:tcPr>
            <w:tcW w:w="850" w:type="dxa"/>
            <w:tcBorders>
              <w:bottom w:val="single" w:sz="4" w:space="0" w:color="auto"/>
            </w:tcBorders>
            <w:vAlign w:val="center"/>
          </w:tcPr>
          <w:p w14:paraId="1576ECA7" w14:textId="77777777" w:rsidR="007E1820" w:rsidRPr="00522104" w:rsidRDefault="007E1820" w:rsidP="00DE5DB7">
            <w:pPr>
              <w:spacing w:after="0" w:line="240" w:lineRule="auto"/>
              <w:ind w:left="-108" w:right="-108"/>
              <w:jc w:val="center"/>
              <w:rPr>
                <w:rFonts w:ascii="Times New Roman" w:eastAsia="Times New Roman" w:hAnsi="Times New Roman" w:cs="Times New Roman"/>
                <w:sz w:val="20"/>
                <w:szCs w:val="20"/>
                <w:lang w:eastAsia="ru-RU"/>
              </w:rPr>
            </w:pPr>
          </w:p>
        </w:tc>
        <w:tc>
          <w:tcPr>
            <w:tcW w:w="1701" w:type="dxa"/>
            <w:gridSpan w:val="2"/>
            <w:tcBorders>
              <w:bottom w:val="single" w:sz="4" w:space="0" w:color="auto"/>
            </w:tcBorders>
            <w:vAlign w:val="center"/>
          </w:tcPr>
          <w:p w14:paraId="0E6181C3" w14:textId="77777777" w:rsidR="007E1820" w:rsidRPr="00522104" w:rsidRDefault="007E1820" w:rsidP="00DE5DB7">
            <w:pPr>
              <w:spacing w:after="0" w:line="240" w:lineRule="auto"/>
              <w:ind w:left="-108" w:right="-108"/>
              <w:jc w:val="center"/>
              <w:rPr>
                <w:rFonts w:ascii="Times New Roman" w:eastAsia="Times New Roman" w:hAnsi="Times New Roman" w:cs="Times New Roman"/>
                <w:sz w:val="20"/>
                <w:szCs w:val="20"/>
                <w:lang w:eastAsia="ru-RU"/>
              </w:rPr>
            </w:pPr>
          </w:p>
        </w:tc>
        <w:tc>
          <w:tcPr>
            <w:tcW w:w="2552" w:type="dxa"/>
            <w:gridSpan w:val="3"/>
            <w:tcBorders>
              <w:bottom w:val="single" w:sz="4" w:space="0" w:color="auto"/>
            </w:tcBorders>
          </w:tcPr>
          <w:p w14:paraId="4DBBC711" w14:textId="77777777" w:rsidR="007E1820" w:rsidRPr="00522104" w:rsidRDefault="007E1820" w:rsidP="00DE5DB7">
            <w:pPr>
              <w:spacing w:after="0" w:line="240" w:lineRule="auto"/>
              <w:ind w:left="-108" w:right="-108"/>
              <w:jc w:val="center"/>
              <w:rPr>
                <w:rFonts w:ascii="Times New Roman" w:eastAsia="Times New Roman" w:hAnsi="Times New Roman" w:cs="Times New Roman"/>
                <w:sz w:val="20"/>
                <w:szCs w:val="20"/>
                <w:lang w:eastAsia="ru-RU"/>
              </w:rPr>
            </w:pPr>
          </w:p>
        </w:tc>
        <w:tc>
          <w:tcPr>
            <w:tcW w:w="2976" w:type="dxa"/>
            <w:gridSpan w:val="4"/>
            <w:tcBorders>
              <w:bottom w:val="single" w:sz="4" w:space="0" w:color="auto"/>
            </w:tcBorders>
          </w:tcPr>
          <w:p w14:paraId="37D0BDFA" w14:textId="77777777" w:rsidR="007E1820" w:rsidRPr="00522104" w:rsidRDefault="007E1820" w:rsidP="00DE5DB7">
            <w:pPr>
              <w:spacing w:after="0" w:line="240" w:lineRule="auto"/>
              <w:ind w:left="-108" w:right="-108"/>
              <w:jc w:val="right"/>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(млн рублей)</w:t>
            </w:r>
          </w:p>
        </w:tc>
      </w:tr>
      <w:tr w:rsidR="007E1820" w:rsidRPr="00522104" w14:paraId="03216C5C" w14:textId="77777777" w:rsidTr="00917711">
        <w:trPr>
          <w:trHeight w:val="300"/>
          <w:tblHeader/>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66F10C19"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Наименование</w:t>
            </w:r>
          </w:p>
        </w:tc>
        <w:tc>
          <w:tcPr>
            <w:tcW w:w="2551" w:type="dxa"/>
            <w:gridSpan w:val="3"/>
            <w:tcBorders>
              <w:top w:val="single" w:sz="4" w:space="0" w:color="auto"/>
              <w:left w:val="single" w:sz="4" w:space="0" w:color="auto"/>
              <w:bottom w:val="single" w:sz="4" w:space="0" w:color="auto"/>
              <w:right w:val="single" w:sz="4" w:space="0" w:color="auto"/>
            </w:tcBorders>
            <w:vAlign w:val="center"/>
            <w:hideMark/>
          </w:tcPr>
          <w:p w14:paraId="486A03C2" w14:textId="77777777" w:rsidR="007E1820" w:rsidRPr="00522104" w:rsidRDefault="007E1820" w:rsidP="00DE5DB7">
            <w:pPr>
              <w:spacing w:after="0" w:line="240" w:lineRule="auto"/>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 xml:space="preserve">Закон № 969-КЗ </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261EF9CD" w14:textId="77777777" w:rsidR="007E1820" w:rsidRPr="00522104" w:rsidRDefault="007E1820" w:rsidP="00DE5DB7">
            <w:pPr>
              <w:spacing w:after="0" w:line="240" w:lineRule="auto"/>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Законопроект</w:t>
            </w:r>
          </w:p>
        </w:tc>
        <w:tc>
          <w:tcPr>
            <w:tcW w:w="2976" w:type="dxa"/>
            <w:gridSpan w:val="4"/>
            <w:tcBorders>
              <w:top w:val="single" w:sz="4" w:space="0" w:color="auto"/>
              <w:left w:val="single" w:sz="4" w:space="0" w:color="auto"/>
              <w:bottom w:val="single" w:sz="4" w:space="0" w:color="auto"/>
              <w:right w:val="single" w:sz="4" w:space="0" w:color="auto"/>
            </w:tcBorders>
            <w:vAlign w:val="center"/>
            <w:hideMark/>
          </w:tcPr>
          <w:p w14:paraId="0D61FC87" w14:textId="77777777" w:rsidR="007E1820" w:rsidRPr="00522104" w:rsidRDefault="007E1820" w:rsidP="00DE5DB7">
            <w:pPr>
              <w:spacing w:after="0" w:line="240" w:lineRule="auto"/>
              <w:ind w:left="-108"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sz w:val="20"/>
                <w:szCs w:val="20"/>
                <w:lang w:eastAsia="ru-RU"/>
              </w:rPr>
              <w:t>Отклонения законопроекта от утвержденных назначений</w:t>
            </w:r>
          </w:p>
        </w:tc>
      </w:tr>
      <w:tr w:rsidR="007E1820" w:rsidRPr="00522104" w14:paraId="5186739E" w14:textId="77777777" w:rsidTr="00917711">
        <w:trPr>
          <w:trHeight w:val="300"/>
          <w:tblHeader/>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446CA6F" w14:textId="77777777" w:rsidR="007E1820" w:rsidRPr="00522104" w:rsidRDefault="007E1820" w:rsidP="00DE5DB7">
            <w:pPr>
              <w:spacing w:after="0" w:line="240" w:lineRule="auto"/>
              <w:rPr>
                <w:rFonts w:ascii="Times New Roman" w:eastAsia="Times New Roman" w:hAnsi="Times New Roman" w:cs="Times New Roman"/>
                <w:color w:val="000000"/>
                <w:sz w:val="20"/>
                <w:szCs w:val="20"/>
                <w:lang w:eastAsia="ru-RU"/>
              </w:rPr>
            </w:pPr>
          </w:p>
        </w:tc>
        <w:tc>
          <w:tcPr>
            <w:tcW w:w="850" w:type="dxa"/>
            <w:vMerge w:val="restart"/>
            <w:tcBorders>
              <w:top w:val="single" w:sz="4" w:space="0" w:color="auto"/>
              <w:left w:val="single" w:sz="4" w:space="0" w:color="auto"/>
              <w:right w:val="single" w:sz="4" w:space="0" w:color="auto"/>
            </w:tcBorders>
            <w:vAlign w:val="center"/>
            <w:hideMark/>
          </w:tcPr>
          <w:p w14:paraId="1AD0C2F8" w14:textId="77777777" w:rsidR="007E1820" w:rsidRPr="00522104" w:rsidRDefault="007E1820" w:rsidP="00DE5DB7">
            <w:pPr>
              <w:spacing w:after="0" w:line="240" w:lineRule="auto"/>
              <w:ind w:left="-76" w:right="-108"/>
              <w:jc w:val="center"/>
              <w:rPr>
                <w:rFonts w:ascii="Times New Roman" w:eastAsia="Times New Roman" w:hAnsi="Times New Roman" w:cs="Times New Roman"/>
                <w:sz w:val="20"/>
                <w:szCs w:val="20"/>
                <w:lang w:eastAsia="ru-RU"/>
              </w:rPr>
            </w:pPr>
            <w:r w:rsidRPr="00522104">
              <w:rPr>
                <w:rFonts w:ascii="Times New Roman" w:eastAsia="Times New Roman" w:hAnsi="Times New Roman" w:cs="Times New Roman"/>
                <w:color w:val="000000"/>
                <w:sz w:val="20"/>
                <w:szCs w:val="20"/>
                <w:lang w:eastAsia="ru-RU"/>
              </w:rPr>
              <w:t>Первона-чальная редакция</w:t>
            </w:r>
          </w:p>
          <w:p w14:paraId="55D468E0" w14:textId="77777777" w:rsidR="007E1820" w:rsidRPr="00522104" w:rsidRDefault="007E1820" w:rsidP="00DE5DB7">
            <w:pPr>
              <w:spacing w:after="0" w:line="240" w:lineRule="auto"/>
              <w:ind w:left="-76" w:right="-108"/>
              <w:rPr>
                <w:rFonts w:ascii="Times New Roman" w:eastAsia="Times New Roman" w:hAnsi="Times New Roman" w:cs="Times New Roman"/>
                <w:sz w:val="20"/>
                <w:szCs w:val="20"/>
                <w:lang w:eastAsia="ru-RU"/>
              </w:rPr>
            </w:pPr>
            <w:r w:rsidRPr="00522104">
              <w:rPr>
                <w:rFonts w:ascii="Times New Roman" w:eastAsia="Times New Roman" w:hAnsi="Times New Roman" w:cs="Times New Roman"/>
                <w:color w:val="000000"/>
                <w:sz w:val="20"/>
                <w:szCs w:val="20"/>
                <w:lang w:eastAsia="ru-RU"/>
              </w:rPr>
              <w:t>2021 год</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0C84FD6"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8 редакция</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2FABA540"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2022 год</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66EF604A"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2023 год</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084DE123"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2024 год</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14:paraId="2EC29E8F"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2022/2021</w:t>
            </w:r>
          </w:p>
        </w:tc>
        <w:tc>
          <w:tcPr>
            <w:tcW w:w="1560" w:type="dxa"/>
            <w:gridSpan w:val="2"/>
            <w:tcBorders>
              <w:top w:val="single" w:sz="4" w:space="0" w:color="auto"/>
              <w:left w:val="single" w:sz="4" w:space="0" w:color="auto"/>
              <w:bottom w:val="single" w:sz="4" w:space="0" w:color="auto"/>
              <w:right w:val="single" w:sz="4" w:space="0" w:color="auto"/>
            </w:tcBorders>
            <w:vAlign w:val="center"/>
            <w:hideMark/>
          </w:tcPr>
          <w:p w14:paraId="7B49992E"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2022/2022</w:t>
            </w:r>
          </w:p>
        </w:tc>
      </w:tr>
      <w:tr w:rsidR="007E1820" w:rsidRPr="00522104" w14:paraId="4AA82543" w14:textId="77777777" w:rsidTr="00917711">
        <w:trPr>
          <w:trHeight w:val="540"/>
          <w:tblHeader/>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2E0E629F" w14:textId="77777777" w:rsidR="007E1820" w:rsidRPr="00522104" w:rsidRDefault="007E1820" w:rsidP="00DE5DB7">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4" w:space="0" w:color="auto"/>
              <w:bottom w:val="single" w:sz="4" w:space="0" w:color="auto"/>
              <w:right w:val="single" w:sz="4" w:space="0" w:color="auto"/>
            </w:tcBorders>
            <w:vAlign w:val="center"/>
            <w:hideMark/>
          </w:tcPr>
          <w:p w14:paraId="78EA28A7" w14:textId="77777777" w:rsidR="007E1820" w:rsidRPr="00522104" w:rsidRDefault="007E1820" w:rsidP="00DE5DB7">
            <w:pPr>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A268607" w14:textId="77777777" w:rsidR="007E1820" w:rsidRPr="00522104" w:rsidRDefault="007E1820" w:rsidP="00DE5DB7">
            <w:pPr>
              <w:spacing w:after="0" w:line="240" w:lineRule="auto"/>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2021 год</w:t>
            </w:r>
          </w:p>
        </w:tc>
        <w:tc>
          <w:tcPr>
            <w:tcW w:w="851" w:type="dxa"/>
            <w:tcBorders>
              <w:top w:val="single" w:sz="4" w:space="0" w:color="auto"/>
              <w:left w:val="single" w:sz="4" w:space="0" w:color="auto"/>
              <w:bottom w:val="single" w:sz="4" w:space="0" w:color="auto"/>
              <w:right w:val="single" w:sz="4" w:space="0" w:color="auto"/>
            </w:tcBorders>
            <w:vAlign w:val="center"/>
            <w:hideMark/>
          </w:tcPr>
          <w:p w14:paraId="42F0A205" w14:textId="77777777" w:rsidR="007E1820" w:rsidRPr="00522104" w:rsidRDefault="007E1820" w:rsidP="00DE5DB7">
            <w:pPr>
              <w:spacing w:after="0" w:line="240" w:lineRule="auto"/>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2022 год</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4846DBD" w14:textId="77777777" w:rsidR="007E1820" w:rsidRPr="00522104" w:rsidRDefault="007E1820" w:rsidP="00DE5DB7">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772AFEC" w14:textId="77777777" w:rsidR="007E1820" w:rsidRPr="00522104" w:rsidRDefault="007E1820" w:rsidP="00DE5DB7">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5D3B66B" w14:textId="77777777" w:rsidR="007E1820" w:rsidRPr="00522104" w:rsidRDefault="007E1820" w:rsidP="00DE5DB7">
            <w:pPr>
              <w:spacing w:after="0" w:line="240" w:lineRule="auto"/>
              <w:rPr>
                <w:rFonts w:ascii="Times New Roman" w:eastAsia="Times New Roman" w:hAnsi="Times New Roman" w:cs="Times New Roman"/>
                <w:color w:val="000000"/>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3609FDDD"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сумма</w:t>
            </w:r>
          </w:p>
        </w:tc>
        <w:tc>
          <w:tcPr>
            <w:tcW w:w="708" w:type="dxa"/>
            <w:tcBorders>
              <w:top w:val="single" w:sz="4" w:space="0" w:color="auto"/>
              <w:left w:val="single" w:sz="4" w:space="0" w:color="auto"/>
              <w:bottom w:val="single" w:sz="4" w:space="0" w:color="auto"/>
              <w:right w:val="single" w:sz="4" w:space="0" w:color="auto"/>
            </w:tcBorders>
            <w:vAlign w:val="center"/>
            <w:hideMark/>
          </w:tcPr>
          <w:p w14:paraId="385CDCB4"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D8BC1ED"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Сумма</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9B8773" w14:textId="77777777" w:rsidR="007E1820" w:rsidRPr="00522104"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522104">
              <w:rPr>
                <w:rFonts w:ascii="Times New Roman" w:eastAsia="Times New Roman" w:hAnsi="Times New Roman" w:cs="Times New Roman"/>
                <w:color w:val="000000"/>
                <w:sz w:val="20"/>
                <w:szCs w:val="20"/>
                <w:lang w:eastAsia="ru-RU"/>
              </w:rPr>
              <w:t>%</w:t>
            </w:r>
          </w:p>
        </w:tc>
      </w:tr>
      <w:tr w:rsidR="007E1820" w:rsidRPr="00522104" w14:paraId="01B7DDEF" w14:textId="77777777" w:rsidTr="00917711">
        <w:trPr>
          <w:trHeight w:val="102"/>
        </w:trPr>
        <w:tc>
          <w:tcPr>
            <w:tcW w:w="2127" w:type="dxa"/>
            <w:tcBorders>
              <w:top w:val="single" w:sz="4" w:space="0" w:color="auto"/>
              <w:left w:val="single" w:sz="4" w:space="0" w:color="auto"/>
              <w:bottom w:val="single" w:sz="4" w:space="0" w:color="auto"/>
              <w:right w:val="single" w:sz="4" w:space="0" w:color="auto"/>
            </w:tcBorders>
            <w:shd w:val="clear" w:color="auto" w:fill="FFFFFF"/>
            <w:hideMark/>
          </w:tcPr>
          <w:p w14:paraId="2FAA570E"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1</w:t>
            </w:r>
          </w:p>
        </w:tc>
        <w:tc>
          <w:tcPr>
            <w:tcW w:w="850" w:type="dxa"/>
            <w:tcBorders>
              <w:top w:val="single" w:sz="4" w:space="0" w:color="auto"/>
              <w:left w:val="single" w:sz="4" w:space="0" w:color="auto"/>
              <w:bottom w:val="single" w:sz="4" w:space="0" w:color="auto"/>
              <w:right w:val="single" w:sz="4" w:space="0" w:color="auto"/>
            </w:tcBorders>
            <w:shd w:val="clear" w:color="auto" w:fill="FFFFFF"/>
            <w:hideMark/>
          </w:tcPr>
          <w:p w14:paraId="34DA7427"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2</w:t>
            </w:r>
          </w:p>
        </w:tc>
        <w:tc>
          <w:tcPr>
            <w:tcW w:w="850" w:type="dxa"/>
            <w:tcBorders>
              <w:top w:val="single" w:sz="4" w:space="0" w:color="auto"/>
              <w:left w:val="nil"/>
              <w:bottom w:val="single" w:sz="4" w:space="0" w:color="auto"/>
              <w:right w:val="single" w:sz="4" w:space="0" w:color="auto"/>
            </w:tcBorders>
            <w:noWrap/>
            <w:hideMark/>
          </w:tcPr>
          <w:p w14:paraId="3BA6BB42"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3</w:t>
            </w:r>
          </w:p>
        </w:tc>
        <w:tc>
          <w:tcPr>
            <w:tcW w:w="851" w:type="dxa"/>
            <w:tcBorders>
              <w:top w:val="single" w:sz="4" w:space="0" w:color="auto"/>
              <w:left w:val="nil"/>
              <w:bottom w:val="single" w:sz="4" w:space="0" w:color="auto"/>
              <w:right w:val="single" w:sz="4" w:space="0" w:color="auto"/>
            </w:tcBorders>
            <w:hideMark/>
          </w:tcPr>
          <w:p w14:paraId="066AAA92"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4</w:t>
            </w:r>
          </w:p>
        </w:tc>
        <w:tc>
          <w:tcPr>
            <w:tcW w:w="851" w:type="dxa"/>
            <w:tcBorders>
              <w:top w:val="single" w:sz="4" w:space="0" w:color="auto"/>
              <w:left w:val="nil"/>
              <w:bottom w:val="single" w:sz="4" w:space="0" w:color="auto"/>
              <w:right w:val="single" w:sz="4" w:space="0" w:color="auto"/>
            </w:tcBorders>
            <w:hideMark/>
          </w:tcPr>
          <w:p w14:paraId="451E637A"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5</w:t>
            </w:r>
          </w:p>
        </w:tc>
        <w:tc>
          <w:tcPr>
            <w:tcW w:w="851" w:type="dxa"/>
            <w:tcBorders>
              <w:top w:val="single" w:sz="4" w:space="0" w:color="auto"/>
              <w:left w:val="nil"/>
              <w:bottom w:val="single" w:sz="4" w:space="0" w:color="auto"/>
              <w:right w:val="single" w:sz="4" w:space="0" w:color="auto"/>
            </w:tcBorders>
            <w:hideMark/>
          </w:tcPr>
          <w:p w14:paraId="39DB2141"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6</w:t>
            </w:r>
          </w:p>
        </w:tc>
        <w:tc>
          <w:tcPr>
            <w:tcW w:w="850" w:type="dxa"/>
            <w:tcBorders>
              <w:top w:val="single" w:sz="4" w:space="0" w:color="auto"/>
              <w:left w:val="nil"/>
              <w:bottom w:val="single" w:sz="4" w:space="0" w:color="auto"/>
              <w:right w:val="single" w:sz="4" w:space="0" w:color="auto"/>
            </w:tcBorders>
            <w:hideMark/>
          </w:tcPr>
          <w:p w14:paraId="26977D9A"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7</w:t>
            </w:r>
          </w:p>
        </w:tc>
        <w:tc>
          <w:tcPr>
            <w:tcW w:w="708" w:type="dxa"/>
            <w:tcBorders>
              <w:top w:val="single" w:sz="4" w:space="0" w:color="auto"/>
              <w:left w:val="nil"/>
              <w:bottom w:val="single" w:sz="4" w:space="0" w:color="auto"/>
              <w:right w:val="single" w:sz="4" w:space="0" w:color="auto"/>
            </w:tcBorders>
            <w:hideMark/>
          </w:tcPr>
          <w:p w14:paraId="1CBA3F42"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8=5-3</w:t>
            </w:r>
          </w:p>
        </w:tc>
        <w:tc>
          <w:tcPr>
            <w:tcW w:w="708" w:type="dxa"/>
            <w:tcBorders>
              <w:top w:val="single" w:sz="4" w:space="0" w:color="auto"/>
              <w:left w:val="nil"/>
              <w:bottom w:val="single" w:sz="4" w:space="0" w:color="auto"/>
              <w:right w:val="single" w:sz="4" w:space="0" w:color="auto"/>
            </w:tcBorders>
            <w:hideMark/>
          </w:tcPr>
          <w:p w14:paraId="3019974D"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9=5/3</w:t>
            </w:r>
          </w:p>
        </w:tc>
        <w:tc>
          <w:tcPr>
            <w:tcW w:w="851" w:type="dxa"/>
            <w:tcBorders>
              <w:top w:val="single" w:sz="4" w:space="0" w:color="auto"/>
              <w:left w:val="nil"/>
              <w:bottom w:val="single" w:sz="4" w:space="0" w:color="auto"/>
              <w:right w:val="single" w:sz="4" w:space="0" w:color="auto"/>
            </w:tcBorders>
            <w:hideMark/>
          </w:tcPr>
          <w:p w14:paraId="60CE3405"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10=5-4</w:t>
            </w:r>
          </w:p>
        </w:tc>
        <w:tc>
          <w:tcPr>
            <w:tcW w:w="709" w:type="dxa"/>
            <w:tcBorders>
              <w:top w:val="single" w:sz="4" w:space="0" w:color="auto"/>
              <w:left w:val="nil"/>
              <w:bottom w:val="single" w:sz="4" w:space="0" w:color="auto"/>
              <w:right w:val="single" w:sz="4" w:space="0" w:color="auto"/>
            </w:tcBorders>
            <w:hideMark/>
          </w:tcPr>
          <w:p w14:paraId="61AE95DB" w14:textId="77777777" w:rsidR="007E1820" w:rsidRPr="00522104" w:rsidRDefault="007E1820" w:rsidP="00DE5DB7">
            <w:pPr>
              <w:spacing w:after="0" w:line="240" w:lineRule="auto"/>
              <w:ind w:left="-108" w:right="-108"/>
              <w:jc w:val="center"/>
              <w:rPr>
                <w:rFonts w:ascii="Times New Roman" w:eastAsia="Times New Roman" w:hAnsi="Times New Roman" w:cs="Times New Roman"/>
                <w:bCs/>
                <w:color w:val="000000"/>
                <w:sz w:val="20"/>
                <w:szCs w:val="20"/>
                <w:lang w:eastAsia="ru-RU"/>
              </w:rPr>
            </w:pPr>
            <w:r w:rsidRPr="00522104">
              <w:rPr>
                <w:rFonts w:ascii="Times New Roman" w:eastAsia="Times New Roman" w:hAnsi="Times New Roman" w:cs="Times New Roman"/>
                <w:bCs/>
                <w:color w:val="000000"/>
                <w:sz w:val="20"/>
                <w:szCs w:val="20"/>
                <w:lang w:eastAsia="ru-RU"/>
              </w:rPr>
              <w:t>11=5/4</w:t>
            </w:r>
          </w:p>
        </w:tc>
      </w:tr>
      <w:tr w:rsidR="007E1820" w:rsidRPr="00522104" w14:paraId="45877A88" w14:textId="77777777" w:rsidTr="00917711">
        <w:trPr>
          <w:trHeight w:val="359"/>
        </w:trPr>
        <w:tc>
          <w:tcPr>
            <w:tcW w:w="2127" w:type="dxa"/>
            <w:tcBorders>
              <w:top w:val="single" w:sz="4" w:space="0" w:color="auto"/>
              <w:left w:val="single" w:sz="4" w:space="0" w:color="auto"/>
              <w:bottom w:val="single" w:sz="4" w:space="0" w:color="auto"/>
              <w:right w:val="single" w:sz="4" w:space="0" w:color="auto"/>
            </w:tcBorders>
            <w:shd w:val="clear" w:color="auto" w:fill="FFFFFF"/>
            <w:hideMark/>
          </w:tcPr>
          <w:p w14:paraId="05C9D878" w14:textId="5531A6A6" w:rsidR="007E1820" w:rsidRPr="00522104" w:rsidRDefault="007E1820" w:rsidP="00917711">
            <w:pPr>
              <w:spacing w:after="0" w:line="240" w:lineRule="auto"/>
              <w:rPr>
                <w:rFonts w:ascii="Times New Roman" w:eastAsia="Times New Roman" w:hAnsi="Times New Roman" w:cs="Times New Roman"/>
                <w:b/>
                <w:bCs/>
                <w:color w:val="000000"/>
                <w:sz w:val="20"/>
                <w:szCs w:val="20"/>
                <w:lang w:eastAsia="ru-RU"/>
              </w:rPr>
            </w:pPr>
            <w:r w:rsidRPr="00522104">
              <w:rPr>
                <w:rFonts w:ascii="Times New Roman" w:hAnsi="Times New Roman" w:cs="Times New Roman"/>
                <w:b/>
                <w:bCs/>
                <w:color w:val="000000"/>
                <w:sz w:val="20"/>
                <w:szCs w:val="20"/>
              </w:rPr>
              <w:t>ГП "Охрана окружающей среды Приморского края" на 2020- 2027 годы"</w:t>
            </w:r>
            <w:r w:rsidRPr="00522104">
              <w:rPr>
                <w:rFonts w:ascii="Times New Roman" w:eastAsia="Times New Roman" w:hAnsi="Times New Roman" w:cs="Times New Roman"/>
                <w:b/>
                <w:bCs/>
                <w:color w:val="000000"/>
                <w:sz w:val="20"/>
                <w:szCs w:val="20"/>
                <w:lang w:eastAsia="ru-RU"/>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B822161"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280,25</w:t>
            </w:r>
          </w:p>
        </w:tc>
        <w:tc>
          <w:tcPr>
            <w:tcW w:w="850" w:type="dxa"/>
            <w:tcBorders>
              <w:top w:val="single" w:sz="4" w:space="0" w:color="auto"/>
              <w:left w:val="nil"/>
              <w:bottom w:val="single" w:sz="4" w:space="0" w:color="auto"/>
              <w:right w:val="single" w:sz="4" w:space="0" w:color="auto"/>
            </w:tcBorders>
            <w:noWrap/>
          </w:tcPr>
          <w:p w14:paraId="3A475009"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513,22</w:t>
            </w:r>
          </w:p>
        </w:tc>
        <w:tc>
          <w:tcPr>
            <w:tcW w:w="851" w:type="dxa"/>
            <w:tcBorders>
              <w:top w:val="single" w:sz="4" w:space="0" w:color="auto"/>
              <w:left w:val="nil"/>
              <w:bottom w:val="single" w:sz="4" w:space="0" w:color="auto"/>
              <w:right w:val="single" w:sz="4" w:space="0" w:color="auto"/>
            </w:tcBorders>
          </w:tcPr>
          <w:p w14:paraId="5CD630A3"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272,42</w:t>
            </w:r>
          </w:p>
        </w:tc>
        <w:tc>
          <w:tcPr>
            <w:tcW w:w="851" w:type="dxa"/>
            <w:tcBorders>
              <w:top w:val="single" w:sz="4" w:space="0" w:color="auto"/>
              <w:left w:val="nil"/>
              <w:bottom w:val="single" w:sz="4" w:space="0" w:color="auto"/>
              <w:right w:val="single" w:sz="4" w:space="0" w:color="auto"/>
            </w:tcBorders>
          </w:tcPr>
          <w:p w14:paraId="2014CAC3"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456,43</w:t>
            </w:r>
          </w:p>
        </w:tc>
        <w:tc>
          <w:tcPr>
            <w:tcW w:w="851" w:type="dxa"/>
            <w:tcBorders>
              <w:top w:val="single" w:sz="4" w:space="0" w:color="auto"/>
              <w:left w:val="nil"/>
              <w:bottom w:val="single" w:sz="4" w:space="0" w:color="auto"/>
              <w:right w:val="single" w:sz="4" w:space="0" w:color="auto"/>
            </w:tcBorders>
          </w:tcPr>
          <w:p w14:paraId="58B363BE"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402,46</w:t>
            </w:r>
          </w:p>
        </w:tc>
        <w:tc>
          <w:tcPr>
            <w:tcW w:w="850" w:type="dxa"/>
            <w:tcBorders>
              <w:top w:val="single" w:sz="4" w:space="0" w:color="auto"/>
              <w:left w:val="nil"/>
              <w:bottom w:val="single" w:sz="4" w:space="0" w:color="auto"/>
              <w:right w:val="single" w:sz="4" w:space="0" w:color="auto"/>
            </w:tcBorders>
          </w:tcPr>
          <w:p w14:paraId="7506661C"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296,30</w:t>
            </w:r>
          </w:p>
        </w:tc>
        <w:tc>
          <w:tcPr>
            <w:tcW w:w="708" w:type="dxa"/>
            <w:tcBorders>
              <w:top w:val="single" w:sz="4" w:space="0" w:color="auto"/>
              <w:left w:val="nil"/>
              <w:bottom w:val="single" w:sz="4" w:space="0" w:color="auto"/>
              <w:right w:val="single" w:sz="4" w:space="0" w:color="auto"/>
            </w:tcBorders>
          </w:tcPr>
          <w:p w14:paraId="11882434"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-56,79</w:t>
            </w:r>
          </w:p>
        </w:tc>
        <w:tc>
          <w:tcPr>
            <w:tcW w:w="708" w:type="dxa"/>
            <w:tcBorders>
              <w:top w:val="single" w:sz="4" w:space="0" w:color="auto"/>
              <w:left w:val="nil"/>
              <w:bottom w:val="single" w:sz="4" w:space="0" w:color="auto"/>
              <w:right w:val="single" w:sz="4" w:space="0" w:color="auto"/>
            </w:tcBorders>
          </w:tcPr>
          <w:p w14:paraId="2EE1A540" w14:textId="77777777" w:rsidR="007E1820" w:rsidRPr="00522104" w:rsidRDefault="007E1820" w:rsidP="00DE5DB7">
            <w:pPr>
              <w:spacing w:after="0" w:line="240" w:lineRule="auto"/>
              <w:ind w:left="-108" w:right="-108"/>
              <w:jc w:val="center"/>
              <w:rPr>
                <w:rFonts w:ascii="Times New Roman" w:eastAsia="Times New Roman" w:hAnsi="Times New Roman" w:cs="Times New Roman"/>
                <w:b/>
                <w:bCs/>
                <w:color w:val="000000"/>
                <w:sz w:val="20"/>
                <w:szCs w:val="20"/>
                <w:lang w:eastAsia="ru-RU"/>
              </w:rPr>
            </w:pPr>
            <w:r w:rsidRPr="00522104">
              <w:rPr>
                <w:rFonts w:ascii="Times New Roman" w:eastAsia="Times New Roman" w:hAnsi="Times New Roman" w:cs="Times New Roman"/>
                <w:b/>
                <w:bCs/>
                <w:color w:val="000000"/>
                <w:sz w:val="20"/>
                <w:szCs w:val="20"/>
                <w:lang w:eastAsia="ru-RU"/>
              </w:rPr>
              <w:t>88,93</w:t>
            </w:r>
          </w:p>
        </w:tc>
        <w:tc>
          <w:tcPr>
            <w:tcW w:w="851" w:type="dxa"/>
            <w:tcBorders>
              <w:top w:val="single" w:sz="4" w:space="0" w:color="auto"/>
              <w:left w:val="nil"/>
              <w:bottom w:val="single" w:sz="4" w:space="0" w:color="auto"/>
              <w:right w:val="single" w:sz="4" w:space="0" w:color="auto"/>
            </w:tcBorders>
          </w:tcPr>
          <w:p w14:paraId="218D513B" w14:textId="77777777" w:rsidR="007E1820" w:rsidRPr="00522104" w:rsidRDefault="007E1820" w:rsidP="00DE5DB7">
            <w:pPr>
              <w:spacing w:after="0" w:line="240" w:lineRule="auto"/>
              <w:jc w:val="right"/>
              <w:rPr>
                <w:rFonts w:ascii="Times New Roman" w:hAnsi="Times New Roman" w:cs="Times New Roman"/>
                <w:b/>
                <w:bCs/>
                <w:color w:val="000000"/>
                <w:sz w:val="20"/>
                <w:szCs w:val="20"/>
              </w:rPr>
            </w:pPr>
            <w:r w:rsidRPr="00522104">
              <w:rPr>
                <w:rFonts w:ascii="Times New Roman" w:hAnsi="Times New Roman" w:cs="Times New Roman"/>
                <w:b/>
                <w:bCs/>
                <w:color w:val="000000"/>
                <w:sz w:val="20"/>
                <w:szCs w:val="20"/>
              </w:rPr>
              <w:t>184,01</w:t>
            </w:r>
          </w:p>
        </w:tc>
        <w:tc>
          <w:tcPr>
            <w:tcW w:w="709" w:type="dxa"/>
            <w:tcBorders>
              <w:top w:val="single" w:sz="4" w:space="0" w:color="auto"/>
              <w:left w:val="nil"/>
              <w:bottom w:val="single" w:sz="4" w:space="0" w:color="auto"/>
              <w:right w:val="single" w:sz="4" w:space="0" w:color="auto"/>
            </w:tcBorders>
          </w:tcPr>
          <w:p w14:paraId="45721B20" w14:textId="77777777" w:rsidR="007E1820" w:rsidRPr="00522104" w:rsidRDefault="007E1820" w:rsidP="00DE5DB7">
            <w:pPr>
              <w:spacing w:after="0" w:line="240" w:lineRule="auto"/>
              <w:ind w:left="-108"/>
              <w:jc w:val="right"/>
              <w:rPr>
                <w:rFonts w:ascii="Times New Roman" w:hAnsi="Times New Roman" w:cs="Times New Roman"/>
                <w:b/>
                <w:bCs/>
                <w:color w:val="000000"/>
                <w:sz w:val="20"/>
                <w:szCs w:val="20"/>
              </w:rPr>
            </w:pPr>
            <w:r w:rsidRPr="00522104">
              <w:rPr>
                <w:rFonts w:ascii="Times New Roman" w:hAnsi="Times New Roman" w:cs="Times New Roman"/>
                <w:b/>
                <w:bCs/>
                <w:color w:val="000000"/>
                <w:sz w:val="20"/>
                <w:szCs w:val="20"/>
              </w:rPr>
              <w:t>167,55</w:t>
            </w:r>
          </w:p>
        </w:tc>
      </w:tr>
      <w:tr w:rsidR="007E1820" w:rsidRPr="00522104" w14:paraId="5E72F4FC" w14:textId="77777777" w:rsidTr="00917711">
        <w:trPr>
          <w:trHeight w:val="24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7974A06C" w14:textId="77777777" w:rsidR="007E1820" w:rsidRPr="00074B2C" w:rsidRDefault="007E1820" w:rsidP="00917711">
            <w:pPr>
              <w:spacing w:after="0" w:line="240" w:lineRule="auto"/>
              <w:rPr>
                <w:rFonts w:ascii="Times New Roman" w:hAnsi="Times New Roman" w:cs="Times New Roman"/>
                <w:color w:val="000000"/>
                <w:sz w:val="20"/>
                <w:szCs w:val="20"/>
              </w:rPr>
            </w:pPr>
            <w:r w:rsidRPr="00074B2C">
              <w:rPr>
                <w:rFonts w:ascii="Times New Roman" w:hAnsi="Times New Roman" w:cs="Times New Roman"/>
                <w:color w:val="000000"/>
                <w:sz w:val="20"/>
                <w:szCs w:val="20"/>
              </w:rPr>
              <w:t>Подпрограмма  "Обращение с отходами в Приморском крае"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A3B5A74"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7,5</w:t>
            </w:r>
          </w:p>
        </w:tc>
        <w:tc>
          <w:tcPr>
            <w:tcW w:w="850" w:type="dxa"/>
            <w:tcBorders>
              <w:top w:val="single" w:sz="4" w:space="0" w:color="auto"/>
              <w:left w:val="nil"/>
              <w:bottom w:val="single" w:sz="4" w:space="0" w:color="auto"/>
              <w:right w:val="single" w:sz="4" w:space="0" w:color="auto"/>
            </w:tcBorders>
            <w:noWrap/>
          </w:tcPr>
          <w:p w14:paraId="2209DA80"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103,87</w:t>
            </w:r>
          </w:p>
        </w:tc>
        <w:tc>
          <w:tcPr>
            <w:tcW w:w="851" w:type="dxa"/>
            <w:tcBorders>
              <w:top w:val="single" w:sz="4" w:space="0" w:color="auto"/>
              <w:left w:val="nil"/>
              <w:bottom w:val="single" w:sz="4" w:space="0" w:color="auto"/>
              <w:right w:val="single" w:sz="4" w:space="0" w:color="auto"/>
            </w:tcBorders>
          </w:tcPr>
          <w:p w14:paraId="6F10297A"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0,00</w:t>
            </w:r>
          </w:p>
        </w:tc>
        <w:tc>
          <w:tcPr>
            <w:tcW w:w="851" w:type="dxa"/>
            <w:tcBorders>
              <w:top w:val="single" w:sz="4" w:space="0" w:color="auto"/>
              <w:left w:val="nil"/>
              <w:bottom w:val="single" w:sz="4" w:space="0" w:color="auto"/>
              <w:right w:val="single" w:sz="4" w:space="0" w:color="auto"/>
            </w:tcBorders>
          </w:tcPr>
          <w:p w14:paraId="5A142A60"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20,73</w:t>
            </w:r>
          </w:p>
        </w:tc>
        <w:tc>
          <w:tcPr>
            <w:tcW w:w="851" w:type="dxa"/>
            <w:tcBorders>
              <w:top w:val="single" w:sz="4" w:space="0" w:color="auto"/>
              <w:left w:val="nil"/>
              <w:bottom w:val="single" w:sz="4" w:space="0" w:color="auto"/>
              <w:right w:val="single" w:sz="4" w:space="0" w:color="auto"/>
            </w:tcBorders>
          </w:tcPr>
          <w:p w14:paraId="52AA84DB"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0,00</w:t>
            </w:r>
          </w:p>
        </w:tc>
        <w:tc>
          <w:tcPr>
            <w:tcW w:w="850" w:type="dxa"/>
            <w:tcBorders>
              <w:top w:val="single" w:sz="4" w:space="0" w:color="auto"/>
              <w:left w:val="nil"/>
              <w:bottom w:val="single" w:sz="4" w:space="0" w:color="auto"/>
              <w:right w:val="single" w:sz="4" w:space="0" w:color="auto"/>
            </w:tcBorders>
          </w:tcPr>
          <w:p w14:paraId="72B7B98B"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0,00</w:t>
            </w:r>
          </w:p>
        </w:tc>
        <w:tc>
          <w:tcPr>
            <w:tcW w:w="708" w:type="dxa"/>
            <w:tcBorders>
              <w:top w:val="single" w:sz="4" w:space="0" w:color="auto"/>
              <w:left w:val="nil"/>
              <w:bottom w:val="single" w:sz="4" w:space="0" w:color="auto"/>
              <w:right w:val="single" w:sz="4" w:space="0" w:color="auto"/>
            </w:tcBorders>
          </w:tcPr>
          <w:p w14:paraId="0D561098"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-83,14</w:t>
            </w:r>
          </w:p>
        </w:tc>
        <w:tc>
          <w:tcPr>
            <w:tcW w:w="708" w:type="dxa"/>
            <w:tcBorders>
              <w:top w:val="single" w:sz="4" w:space="0" w:color="auto"/>
              <w:left w:val="nil"/>
              <w:bottom w:val="single" w:sz="4" w:space="0" w:color="auto"/>
              <w:right w:val="single" w:sz="4" w:space="0" w:color="auto"/>
            </w:tcBorders>
          </w:tcPr>
          <w:p w14:paraId="39C75DE0"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19,96</w:t>
            </w:r>
          </w:p>
        </w:tc>
        <w:tc>
          <w:tcPr>
            <w:tcW w:w="851" w:type="dxa"/>
            <w:tcBorders>
              <w:top w:val="single" w:sz="4" w:space="0" w:color="auto"/>
              <w:left w:val="nil"/>
              <w:bottom w:val="single" w:sz="4" w:space="0" w:color="auto"/>
              <w:right w:val="single" w:sz="4" w:space="0" w:color="auto"/>
            </w:tcBorders>
          </w:tcPr>
          <w:p w14:paraId="30693F3B"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hAnsi="Times New Roman" w:cs="Times New Roman"/>
                <w:color w:val="000000"/>
                <w:sz w:val="20"/>
                <w:szCs w:val="20"/>
              </w:rPr>
              <w:t>20,73</w:t>
            </w:r>
          </w:p>
        </w:tc>
        <w:tc>
          <w:tcPr>
            <w:tcW w:w="709" w:type="dxa"/>
            <w:tcBorders>
              <w:top w:val="single" w:sz="4" w:space="0" w:color="auto"/>
              <w:left w:val="nil"/>
              <w:bottom w:val="single" w:sz="4" w:space="0" w:color="auto"/>
              <w:right w:val="single" w:sz="4" w:space="0" w:color="auto"/>
            </w:tcBorders>
          </w:tcPr>
          <w:p w14:paraId="50AB80A4"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0,00</w:t>
            </w:r>
          </w:p>
        </w:tc>
      </w:tr>
      <w:tr w:rsidR="007E1820" w:rsidRPr="00522104" w14:paraId="1C3F8883" w14:textId="77777777" w:rsidTr="00917711">
        <w:trPr>
          <w:trHeight w:val="240"/>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7B2D467A" w14:textId="77777777" w:rsidR="007E1820" w:rsidRPr="00522104" w:rsidRDefault="007E1820" w:rsidP="00917711">
            <w:pPr>
              <w:spacing w:after="0" w:line="240" w:lineRule="auto"/>
              <w:rPr>
                <w:rFonts w:ascii="Times New Roman" w:hAnsi="Times New Roman" w:cs="Times New Roman"/>
                <w:i/>
                <w:color w:val="000000"/>
                <w:sz w:val="20"/>
                <w:szCs w:val="20"/>
              </w:rPr>
            </w:pPr>
            <w:r w:rsidRPr="00522104">
              <w:rPr>
                <w:rFonts w:ascii="Times New Roman" w:hAnsi="Times New Roman" w:cs="Times New Roman"/>
                <w:i/>
                <w:color w:val="000000"/>
                <w:sz w:val="20"/>
                <w:szCs w:val="20"/>
              </w:rPr>
              <w:t>Федеральный проект "Чистая страна"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14:paraId="12F5BBD8"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0,00</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78341B51"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12,40</w:t>
            </w:r>
          </w:p>
        </w:tc>
        <w:tc>
          <w:tcPr>
            <w:tcW w:w="851" w:type="dxa"/>
            <w:tcBorders>
              <w:top w:val="single" w:sz="4" w:space="0" w:color="auto"/>
              <w:left w:val="nil"/>
              <w:bottom w:val="single" w:sz="4" w:space="0" w:color="auto"/>
              <w:right w:val="single" w:sz="4" w:space="0" w:color="auto"/>
            </w:tcBorders>
            <w:shd w:val="clear" w:color="auto" w:fill="auto"/>
            <w:vAlign w:val="bottom"/>
          </w:tcPr>
          <w:p w14:paraId="0208E811"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0,00</w:t>
            </w:r>
          </w:p>
        </w:tc>
        <w:tc>
          <w:tcPr>
            <w:tcW w:w="851" w:type="dxa"/>
            <w:tcBorders>
              <w:top w:val="single" w:sz="4" w:space="0" w:color="auto"/>
              <w:left w:val="nil"/>
              <w:bottom w:val="single" w:sz="4" w:space="0" w:color="auto"/>
              <w:right w:val="single" w:sz="4" w:space="0" w:color="auto"/>
            </w:tcBorders>
            <w:shd w:val="clear" w:color="auto" w:fill="auto"/>
            <w:vAlign w:val="bottom"/>
          </w:tcPr>
          <w:p w14:paraId="2ABB8E8C"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0,00</w:t>
            </w:r>
          </w:p>
        </w:tc>
        <w:tc>
          <w:tcPr>
            <w:tcW w:w="851" w:type="dxa"/>
            <w:tcBorders>
              <w:top w:val="single" w:sz="4" w:space="0" w:color="auto"/>
              <w:left w:val="nil"/>
              <w:bottom w:val="single" w:sz="4" w:space="0" w:color="auto"/>
              <w:right w:val="single" w:sz="4" w:space="0" w:color="auto"/>
            </w:tcBorders>
            <w:shd w:val="clear" w:color="auto" w:fill="auto"/>
            <w:vAlign w:val="bottom"/>
          </w:tcPr>
          <w:p w14:paraId="78585771"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0,00</w:t>
            </w:r>
          </w:p>
        </w:tc>
        <w:tc>
          <w:tcPr>
            <w:tcW w:w="850" w:type="dxa"/>
            <w:tcBorders>
              <w:top w:val="single" w:sz="4" w:space="0" w:color="auto"/>
              <w:left w:val="nil"/>
              <w:bottom w:val="single" w:sz="4" w:space="0" w:color="auto"/>
              <w:right w:val="single" w:sz="4" w:space="0" w:color="auto"/>
            </w:tcBorders>
            <w:shd w:val="clear" w:color="auto" w:fill="auto"/>
            <w:vAlign w:val="bottom"/>
          </w:tcPr>
          <w:p w14:paraId="701F7EF0"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0,00</w:t>
            </w:r>
          </w:p>
        </w:tc>
        <w:tc>
          <w:tcPr>
            <w:tcW w:w="708" w:type="dxa"/>
            <w:tcBorders>
              <w:top w:val="single" w:sz="4" w:space="0" w:color="auto"/>
              <w:left w:val="nil"/>
              <w:bottom w:val="single" w:sz="4" w:space="0" w:color="auto"/>
              <w:right w:val="single" w:sz="4" w:space="0" w:color="auto"/>
            </w:tcBorders>
            <w:shd w:val="clear" w:color="auto" w:fill="auto"/>
            <w:vAlign w:val="bottom"/>
          </w:tcPr>
          <w:p w14:paraId="0355A4D1"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-12,40</w:t>
            </w:r>
          </w:p>
        </w:tc>
        <w:tc>
          <w:tcPr>
            <w:tcW w:w="708" w:type="dxa"/>
            <w:tcBorders>
              <w:top w:val="single" w:sz="4" w:space="0" w:color="auto"/>
              <w:left w:val="nil"/>
              <w:bottom w:val="single" w:sz="4" w:space="0" w:color="auto"/>
              <w:right w:val="single" w:sz="4" w:space="0" w:color="auto"/>
            </w:tcBorders>
            <w:shd w:val="clear" w:color="auto" w:fill="auto"/>
            <w:vAlign w:val="bottom"/>
          </w:tcPr>
          <w:p w14:paraId="07A0A17F"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0,00</w:t>
            </w:r>
          </w:p>
        </w:tc>
        <w:tc>
          <w:tcPr>
            <w:tcW w:w="851" w:type="dxa"/>
            <w:tcBorders>
              <w:top w:val="single" w:sz="4" w:space="0" w:color="auto"/>
              <w:left w:val="nil"/>
              <w:bottom w:val="single" w:sz="4" w:space="0" w:color="auto"/>
              <w:right w:val="single" w:sz="4" w:space="0" w:color="auto"/>
            </w:tcBorders>
            <w:shd w:val="clear" w:color="auto" w:fill="auto"/>
            <w:vAlign w:val="bottom"/>
          </w:tcPr>
          <w:p w14:paraId="38604820" w14:textId="77777777" w:rsidR="007E1820" w:rsidRPr="00522104" w:rsidRDefault="007E1820" w:rsidP="00DE5DB7">
            <w:pPr>
              <w:spacing w:after="0" w:line="240" w:lineRule="auto"/>
              <w:ind w:left="-108" w:right="-108"/>
              <w:jc w:val="center"/>
              <w:rPr>
                <w:rFonts w:ascii="Times New Roman" w:hAnsi="Times New Roman" w:cs="Times New Roman"/>
                <w:i/>
                <w:color w:val="000000"/>
                <w:sz w:val="20"/>
                <w:szCs w:val="20"/>
              </w:rPr>
            </w:pPr>
            <w:r w:rsidRPr="00522104">
              <w:rPr>
                <w:rFonts w:ascii="Times New Roman" w:hAnsi="Times New Roman" w:cs="Times New Roman"/>
                <w:bCs/>
                <w:i/>
                <w:color w:val="000000"/>
                <w:sz w:val="20"/>
                <w:szCs w:val="20"/>
              </w:rPr>
              <w:t>0,00</w:t>
            </w:r>
          </w:p>
        </w:tc>
        <w:tc>
          <w:tcPr>
            <w:tcW w:w="709" w:type="dxa"/>
            <w:tcBorders>
              <w:top w:val="single" w:sz="4" w:space="0" w:color="auto"/>
              <w:left w:val="nil"/>
              <w:bottom w:val="single" w:sz="4" w:space="0" w:color="auto"/>
              <w:right w:val="single" w:sz="4" w:space="0" w:color="auto"/>
            </w:tcBorders>
            <w:shd w:val="clear" w:color="auto" w:fill="auto"/>
            <w:vAlign w:val="bottom"/>
          </w:tcPr>
          <w:p w14:paraId="60BBB5EF" w14:textId="77777777" w:rsidR="007E1820" w:rsidRPr="00522104" w:rsidRDefault="007E1820" w:rsidP="00DE5DB7">
            <w:pPr>
              <w:spacing w:after="0" w:line="240" w:lineRule="auto"/>
              <w:ind w:left="-108" w:right="-108"/>
              <w:jc w:val="center"/>
              <w:rPr>
                <w:rFonts w:ascii="Times New Roman" w:eastAsia="Times New Roman" w:hAnsi="Times New Roman" w:cs="Times New Roman"/>
                <w:i/>
                <w:color w:val="000000"/>
                <w:sz w:val="20"/>
                <w:szCs w:val="20"/>
                <w:lang w:eastAsia="ru-RU"/>
              </w:rPr>
            </w:pPr>
            <w:r w:rsidRPr="00522104">
              <w:rPr>
                <w:rFonts w:ascii="Times New Roman" w:hAnsi="Times New Roman" w:cs="Times New Roman"/>
                <w:bCs/>
                <w:i/>
                <w:color w:val="000000"/>
                <w:sz w:val="20"/>
                <w:szCs w:val="20"/>
              </w:rPr>
              <w:t>0,00</w:t>
            </w:r>
          </w:p>
        </w:tc>
      </w:tr>
      <w:tr w:rsidR="007E1820" w:rsidRPr="00522104" w14:paraId="79351614" w14:textId="77777777" w:rsidTr="00917711">
        <w:trPr>
          <w:trHeight w:val="418"/>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4C64D8A4" w14:textId="77777777" w:rsidR="007E1820" w:rsidRPr="00074B2C" w:rsidRDefault="007E1820" w:rsidP="00917711">
            <w:pPr>
              <w:spacing w:after="0" w:line="240" w:lineRule="auto"/>
              <w:rPr>
                <w:rFonts w:ascii="Times New Roman" w:hAnsi="Times New Roman" w:cs="Times New Roman"/>
                <w:color w:val="000000"/>
                <w:sz w:val="20"/>
                <w:szCs w:val="20"/>
              </w:rPr>
            </w:pPr>
            <w:r w:rsidRPr="00074B2C">
              <w:rPr>
                <w:rFonts w:ascii="Times New Roman" w:hAnsi="Times New Roman" w:cs="Times New Roman"/>
                <w:color w:val="000000"/>
                <w:sz w:val="20"/>
                <w:szCs w:val="20"/>
              </w:rPr>
              <w:t>Подпрограмма  "Развитие водохозяйственного комплекса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3D7D741"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134,78</w:t>
            </w:r>
          </w:p>
        </w:tc>
        <w:tc>
          <w:tcPr>
            <w:tcW w:w="850" w:type="dxa"/>
            <w:tcBorders>
              <w:top w:val="single" w:sz="4" w:space="0" w:color="auto"/>
              <w:left w:val="nil"/>
              <w:bottom w:val="single" w:sz="4" w:space="0" w:color="auto"/>
              <w:right w:val="single" w:sz="4" w:space="0" w:color="auto"/>
            </w:tcBorders>
            <w:noWrap/>
          </w:tcPr>
          <w:p w14:paraId="1A69C3FD"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261,48</w:t>
            </w:r>
          </w:p>
        </w:tc>
        <w:tc>
          <w:tcPr>
            <w:tcW w:w="851" w:type="dxa"/>
            <w:tcBorders>
              <w:top w:val="single" w:sz="4" w:space="0" w:color="auto"/>
              <w:left w:val="nil"/>
              <w:bottom w:val="single" w:sz="4" w:space="0" w:color="auto"/>
              <w:right w:val="single" w:sz="4" w:space="0" w:color="auto"/>
            </w:tcBorders>
          </w:tcPr>
          <w:p w14:paraId="66907F8C"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136,45</w:t>
            </w:r>
          </w:p>
        </w:tc>
        <w:tc>
          <w:tcPr>
            <w:tcW w:w="851" w:type="dxa"/>
            <w:tcBorders>
              <w:top w:val="single" w:sz="4" w:space="0" w:color="auto"/>
              <w:left w:val="nil"/>
              <w:bottom w:val="single" w:sz="4" w:space="0" w:color="auto"/>
              <w:right w:val="single" w:sz="4" w:space="0" w:color="auto"/>
            </w:tcBorders>
          </w:tcPr>
          <w:p w14:paraId="507A185E"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277,17</w:t>
            </w:r>
          </w:p>
        </w:tc>
        <w:tc>
          <w:tcPr>
            <w:tcW w:w="851" w:type="dxa"/>
            <w:tcBorders>
              <w:top w:val="single" w:sz="4" w:space="0" w:color="auto"/>
              <w:left w:val="nil"/>
              <w:bottom w:val="single" w:sz="4" w:space="0" w:color="auto"/>
              <w:right w:val="single" w:sz="4" w:space="0" w:color="auto"/>
            </w:tcBorders>
          </w:tcPr>
          <w:p w14:paraId="7705A74F"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255,40</w:t>
            </w:r>
          </w:p>
        </w:tc>
        <w:tc>
          <w:tcPr>
            <w:tcW w:w="850" w:type="dxa"/>
            <w:tcBorders>
              <w:top w:val="single" w:sz="4" w:space="0" w:color="auto"/>
              <w:left w:val="nil"/>
              <w:bottom w:val="single" w:sz="4" w:space="0" w:color="auto"/>
              <w:right w:val="single" w:sz="4" w:space="0" w:color="auto"/>
            </w:tcBorders>
          </w:tcPr>
          <w:p w14:paraId="2EF087BF"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145,90</w:t>
            </w:r>
          </w:p>
        </w:tc>
        <w:tc>
          <w:tcPr>
            <w:tcW w:w="708" w:type="dxa"/>
            <w:tcBorders>
              <w:top w:val="single" w:sz="4" w:space="0" w:color="auto"/>
              <w:left w:val="nil"/>
              <w:bottom w:val="single" w:sz="4" w:space="0" w:color="auto"/>
              <w:right w:val="single" w:sz="4" w:space="0" w:color="auto"/>
            </w:tcBorders>
          </w:tcPr>
          <w:p w14:paraId="5C948293"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15,69</w:t>
            </w:r>
          </w:p>
        </w:tc>
        <w:tc>
          <w:tcPr>
            <w:tcW w:w="708" w:type="dxa"/>
            <w:tcBorders>
              <w:top w:val="single" w:sz="4" w:space="0" w:color="auto"/>
              <w:left w:val="nil"/>
              <w:bottom w:val="single" w:sz="4" w:space="0" w:color="auto"/>
              <w:right w:val="single" w:sz="4" w:space="0" w:color="auto"/>
            </w:tcBorders>
          </w:tcPr>
          <w:p w14:paraId="48623996"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106,00</w:t>
            </w:r>
          </w:p>
        </w:tc>
        <w:tc>
          <w:tcPr>
            <w:tcW w:w="851" w:type="dxa"/>
            <w:tcBorders>
              <w:top w:val="single" w:sz="4" w:space="0" w:color="auto"/>
              <w:left w:val="nil"/>
              <w:bottom w:val="single" w:sz="4" w:space="0" w:color="auto"/>
              <w:right w:val="single" w:sz="4" w:space="0" w:color="auto"/>
            </w:tcBorders>
          </w:tcPr>
          <w:p w14:paraId="7B4816D1"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hAnsi="Times New Roman" w:cs="Times New Roman"/>
                <w:color w:val="000000"/>
                <w:sz w:val="20"/>
                <w:szCs w:val="20"/>
              </w:rPr>
              <w:t>140,72</w:t>
            </w:r>
          </w:p>
        </w:tc>
        <w:tc>
          <w:tcPr>
            <w:tcW w:w="709" w:type="dxa"/>
            <w:tcBorders>
              <w:top w:val="single" w:sz="4" w:space="0" w:color="auto"/>
              <w:left w:val="nil"/>
              <w:bottom w:val="single" w:sz="4" w:space="0" w:color="auto"/>
              <w:right w:val="single" w:sz="4" w:space="0" w:color="auto"/>
            </w:tcBorders>
          </w:tcPr>
          <w:p w14:paraId="17A03C46"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hAnsi="Times New Roman" w:cs="Times New Roman"/>
                <w:color w:val="000000"/>
                <w:sz w:val="20"/>
                <w:szCs w:val="20"/>
              </w:rPr>
              <w:t>203,13</w:t>
            </w:r>
          </w:p>
        </w:tc>
      </w:tr>
      <w:tr w:rsidR="007E1820" w:rsidRPr="00522104" w14:paraId="2DBE73F1" w14:textId="77777777" w:rsidTr="00917711">
        <w:trPr>
          <w:trHeight w:val="22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049CF681" w14:textId="77777777" w:rsidR="007E1820" w:rsidRPr="00074B2C" w:rsidRDefault="007E1820" w:rsidP="00917711">
            <w:pPr>
              <w:spacing w:after="0" w:line="240" w:lineRule="auto"/>
              <w:rPr>
                <w:rFonts w:ascii="Times New Roman" w:hAnsi="Times New Roman" w:cs="Times New Roman"/>
                <w:color w:val="000000"/>
                <w:sz w:val="20"/>
                <w:szCs w:val="20"/>
              </w:rPr>
            </w:pPr>
            <w:r w:rsidRPr="00074B2C">
              <w:rPr>
                <w:rFonts w:ascii="Times New Roman" w:hAnsi="Times New Roman" w:cs="Times New Roman"/>
                <w:color w:val="000000"/>
                <w:sz w:val="20"/>
                <w:szCs w:val="20"/>
              </w:rPr>
              <w:t>Подпрограмма  "Биологическое разнообразие Приморского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4A96272"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93,63</w:t>
            </w:r>
          </w:p>
        </w:tc>
        <w:tc>
          <w:tcPr>
            <w:tcW w:w="850" w:type="dxa"/>
            <w:tcBorders>
              <w:top w:val="single" w:sz="4" w:space="0" w:color="auto"/>
              <w:left w:val="nil"/>
              <w:bottom w:val="single" w:sz="4" w:space="0" w:color="auto"/>
              <w:right w:val="single" w:sz="4" w:space="0" w:color="auto"/>
            </w:tcBorders>
            <w:noWrap/>
          </w:tcPr>
          <w:p w14:paraId="41327001"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95,84</w:t>
            </w:r>
          </w:p>
        </w:tc>
        <w:tc>
          <w:tcPr>
            <w:tcW w:w="851" w:type="dxa"/>
            <w:tcBorders>
              <w:top w:val="single" w:sz="4" w:space="0" w:color="auto"/>
              <w:left w:val="nil"/>
              <w:bottom w:val="single" w:sz="4" w:space="0" w:color="auto"/>
              <w:right w:val="single" w:sz="4" w:space="0" w:color="auto"/>
            </w:tcBorders>
          </w:tcPr>
          <w:p w14:paraId="46FF9FDE"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91,26</w:t>
            </w:r>
          </w:p>
        </w:tc>
        <w:tc>
          <w:tcPr>
            <w:tcW w:w="851" w:type="dxa"/>
            <w:tcBorders>
              <w:top w:val="single" w:sz="4" w:space="0" w:color="auto"/>
              <w:left w:val="nil"/>
              <w:bottom w:val="single" w:sz="4" w:space="0" w:color="auto"/>
              <w:right w:val="single" w:sz="4" w:space="0" w:color="auto"/>
            </w:tcBorders>
          </w:tcPr>
          <w:p w14:paraId="57A4E8C1"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112,95</w:t>
            </w:r>
          </w:p>
        </w:tc>
        <w:tc>
          <w:tcPr>
            <w:tcW w:w="851" w:type="dxa"/>
            <w:tcBorders>
              <w:top w:val="single" w:sz="4" w:space="0" w:color="auto"/>
              <w:left w:val="nil"/>
              <w:bottom w:val="single" w:sz="4" w:space="0" w:color="auto"/>
              <w:right w:val="single" w:sz="4" w:space="0" w:color="auto"/>
            </w:tcBorders>
          </w:tcPr>
          <w:p w14:paraId="6C821D89"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99,87</w:t>
            </w:r>
          </w:p>
        </w:tc>
        <w:tc>
          <w:tcPr>
            <w:tcW w:w="850" w:type="dxa"/>
            <w:tcBorders>
              <w:top w:val="single" w:sz="4" w:space="0" w:color="auto"/>
              <w:left w:val="nil"/>
              <w:bottom w:val="single" w:sz="4" w:space="0" w:color="auto"/>
              <w:right w:val="single" w:sz="4" w:space="0" w:color="auto"/>
            </w:tcBorders>
          </w:tcPr>
          <w:p w14:paraId="56B40069"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101,60</w:t>
            </w:r>
          </w:p>
        </w:tc>
        <w:tc>
          <w:tcPr>
            <w:tcW w:w="708" w:type="dxa"/>
            <w:tcBorders>
              <w:top w:val="single" w:sz="4" w:space="0" w:color="auto"/>
              <w:left w:val="nil"/>
              <w:bottom w:val="single" w:sz="4" w:space="0" w:color="auto"/>
              <w:right w:val="single" w:sz="4" w:space="0" w:color="auto"/>
            </w:tcBorders>
          </w:tcPr>
          <w:p w14:paraId="5280AEDC"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17,11</w:t>
            </w:r>
          </w:p>
        </w:tc>
        <w:tc>
          <w:tcPr>
            <w:tcW w:w="708" w:type="dxa"/>
            <w:tcBorders>
              <w:top w:val="single" w:sz="4" w:space="0" w:color="auto"/>
              <w:left w:val="nil"/>
              <w:bottom w:val="single" w:sz="4" w:space="0" w:color="auto"/>
              <w:right w:val="single" w:sz="4" w:space="0" w:color="auto"/>
            </w:tcBorders>
          </w:tcPr>
          <w:p w14:paraId="2DC10B49"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117,85</w:t>
            </w:r>
          </w:p>
        </w:tc>
        <w:tc>
          <w:tcPr>
            <w:tcW w:w="851" w:type="dxa"/>
            <w:tcBorders>
              <w:top w:val="single" w:sz="4" w:space="0" w:color="auto"/>
              <w:left w:val="nil"/>
              <w:bottom w:val="single" w:sz="4" w:space="0" w:color="auto"/>
              <w:right w:val="single" w:sz="4" w:space="0" w:color="auto"/>
            </w:tcBorders>
          </w:tcPr>
          <w:p w14:paraId="61DAAF6E"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hAnsi="Times New Roman" w:cs="Times New Roman"/>
                <w:color w:val="000000"/>
                <w:sz w:val="20"/>
                <w:szCs w:val="20"/>
              </w:rPr>
              <w:t>21,69</w:t>
            </w:r>
          </w:p>
        </w:tc>
        <w:tc>
          <w:tcPr>
            <w:tcW w:w="709" w:type="dxa"/>
            <w:tcBorders>
              <w:top w:val="single" w:sz="4" w:space="0" w:color="auto"/>
              <w:left w:val="nil"/>
              <w:bottom w:val="single" w:sz="4" w:space="0" w:color="auto"/>
              <w:right w:val="single" w:sz="4" w:space="0" w:color="auto"/>
            </w:tcBorders>
          </w:tcPr>
          <w:p w14:paraId="1D890CD8"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hAnsi="Times New Roman" w:cs="Times New Roman"/>
                <w:color w:val="000000"/>
                <w:sz w:val="20"/>
                <w:szCs w:val="20"/>
              </w:rPr>
              <w:t>123,77</w:t>
            </w:r>
          </w:p>
        </w:tc>
      </w:tr>
      <w:tr w:rsidR="007E1820" w:rsidRPr="00522104" w14:paraId="61A0348D" w14:textId="77777777" w:rsidTr="00917711">
        <w:trPr>
          <w:trHeight w:val="471"/>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7E72A43D" w14:textId="77777777" w:rsidR="007E1820" w:rsidRPr="00074B2C" w:rsidRDefault="007E1820" w:rsidP="00917711">
            <w:pPr>
              <w:spacing w:after="0" w:line="240" w:lineRule="auto"/>
              <w:rPr>
                <w:rFonts w:ascii="Times New Roman" w:hAnsi="Times New Roman" w:cs="Times New Roman"/>
                <w:color w:val="000000"/>
                <w:sz w:val="20"/>
                <w:szCs w:val="20"/>
              </w:rPr>
            </w:pPr>
            <w:r w:rsidRPr="00074B2C">
              <w:rPr>
                <w:rFonts w:ascii="Times New Roman" w:hAnsi="Times New Roman" w:cs="Times New Roman"/>
                <w:color w:val="000000"/>
                <w:sz w:val="20"/>
                <w:szCs w:val="20"/>
              </w:rPr>
              <w:t>Подпрограмма  "Обеспечение реализации государственной программы"</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F13A123"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44,34</w:t>
            </w:r>
          </w:p>
        </w:tc>
        <w:tc>
          <w:tcPr>
            <w:tcW w:w="850" w:type="dxa"/>
            <w:tcBorders>
              <w:top w:val="single" w:sz="4" w:space="0" w:color="auto"/>
              <w:left w:val="nil"/>
              <w:bottom w:val="single" w:sz="4" w:space="0" w:color="auto"/>
              <w:right w:val="single" w:sz="4" w:space="0" w:color="auto"/>
            </w:tcBorders>
            <w:noWrap/>
          </w:tcPr>
          <w:p w14:paraId="7F19819F"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52,03</w:t>
            </w:r>
          </w:p>
        </w:tc>
        <w:tc>
          <w:tcPr>
            <w:tcW w:w="851" w:type="dxa"/>
            <w:tcBorders>
              <w:top w:val="single" w:sz="4" w:space="0" w:color="auto"/>
              <w:left w:val="nil"/>
              <w:bottom w:val="single" w:sz="4" w:space="0" w:color="auto"/>
              <w:right w:val="single" w:sz="4" w:space="0" w:color="auto"/>
            </w:tcBorders>
          </w:tcPr>
          <w:p w14:paraId="108E9CA9"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44,71</w:t>
            </w:r>
          </w:p>
        </w:tc>
        <w:tc>
          <w:tcPr>
            <w:tcW w:w="851" w:type="dxa"/>
            <w:tcBorders>
              <w:top w:val="single" w:sz="4" w:space="0" w:color="auto"/>
              <w:left w:val="nil"/>
              <w:bottom w:val="single" w:sz="4" w:space="0" w:color="auto"/>
              <w:right w:val="single" w:sz="4" w:space="0" w:color="auto"/>
            </w:tcBorders>
          </w:tcPr>
          <w:p w14:paraId="4A1CC873"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45,58</w:t>
            </w:r>
          </w:p>
        </w:tc>
        <w:tc>
          <w:tcPr>
            <w:tcW w:w="851" w:type="dxa"/>
            <w:tcBorders>
              <w:top w:val="single" w:sz="4" w:space="0" w:color="auto"/>
              <w:left w:val="nil"/>
              <w:bottom w:val="single" w:sz="4" w:space="0" w:color="auto"/>
              <w:right w:val="single" w:sz="4" w:space="0" w:color="auto"/>
            </w:tcBorders>
          </w:tcPr>
          <w:p w14:paraId="4D42C170"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47,19</w:t>
            </w:r>
          </w:p>
        </w:tc>
        <w:tc>
          <w:tcPr>
            <w:tcW w:w="850" w:type="dxa"/>
            <w:tcBorders>
              <w:top w:val="single" w:sz="4" w:space="0" w:color="auto"/>
              <w:left w:val="nil"/>
              <w:bottom w:val="single" w:sz="4" w:space="0" w:color="auto"/>
              <w:right w:val="single" w:sz="4" w:space="0" w:color="auto"/>
            </w:tcBorders>
          </w:tcPr>
          <w:p w14:paraId="1503C17A"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48,80</w:t>
            </w:r>
          </w:p>
        </w:tc>
        <w:tc>
          <w:tcPr>
            <w:tcW w:w="708" w:type="dxa"/>
            <w:tcBorders>
              <w:top w:val="single" w:sz="4" w:space="0" w:color="auto"/>
              <w:left w:val="nil"/>
              <w:bottom w:val="single" w:sz="4" w:space="0" w:color="auto"/>
              <w:right w:val="single" w:sz="4" w:space="0" w:color="auto"/>
            </w:tcBorders>
          </w:tcPr>
          <w:p w14:paraId="4C222C5A"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-6,45</w:t>
            </w:r>
          </w:p>
        </w:tc>
        <w:tc>
          <w:tcPr>
            <w:tcW w:w="708" w:type="dxa"/>
            <w:tcBorders>
              <w:top w:val="single" w:sz="4" w:space="0" w:color="auto"/>
              <w:left w:val="nil"/>
              <w:bottom w:val="single" w:sz="4" w:space="0" w:color="auto"/>
              <w:right w:val="single" w:sz="4" w:space="0" w:color="auto"/>
            </w:tcBorders>
          </w:tcPr>
          <w:p w14:paraId="560C5A07"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87,60</w:t>
            </w:r>
          </w:p>
        </w:tc>
        <w:tc>
          <w:tcPr>
            <w:tcW w:w="851" w:type="dxa"/>
            <w:tcBorders>
              <w:top w:val="single" w:sz="4" w:space="0" w:color="auto"/>
              <w:left w:val="nil"/>
              <w:bottom w:val="single" w:sz="4" w:space="0" w:color="auto"/>
              <w:right w:val="single" w:sz="4" w:space="0" w:color="auto"/>
            </w:tcBorders>
          </w:tcPr>
          <w:p w14:paraId="32E69683"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hAnsi="Times New Roman" w:cs="Times New Roman"/>
                <w:color w:val="000000"/>
                <w:sz w:val="20"/>
                <w:szCs w:val="20"/>
              </w:rPr>
              <w:t>0,88</w:t>
            </w:r>
          </w:p>
        </w:tc>
        <w:tc>
          <w:tcPr>
            <w:tcW w:w="709" w:type="dxa"/>
            <w:tcBorders>
              <w:top w:val="single" w:sz="4" w:space="0" w:color="auto"/>
              <w:left w:val="nil"/>
              <w:bottom w:val="single" w:sz="4" w:space="0" w:color="auto"/>
              <w:right w:val="single" w:sz="4" w:space="0" w:color="auto"/>
            </w:tcBorders>
          </w:tcPr>
          <w:p w14:paraId="5328DC81" w14:textId="77777777" w:rsidR="007E1820" w:rsidRPr="00074B2C" w:rsidRDefault="007E1820" w:rsidP="00DE5DB7">
            <w:pPr>
              <w:spacing w:after="0" w:line="240" w:lineRule="auto"/>
              <w:ind w:left="-108" w:right="-108"/>
              <w:jc w:val="center"/>
              <w:rPr>
                <w:rFonts w:ascii="Times New Roman" w:eastAsia="Times New Roman" w:hAnsi="Times New Roman" w:cs="Times New Roman"/>
                <w:color w:val="000000"/>
                <w:sz w:val="20"/>
                <w:szCs w:val="20"/>
                <w:lang w:eastAsia="ru-RU"/>
              </w:rPr>
            </w:pPr>
            <w:r w:rsidRPr="00074B2C">
              <w:rPr>
                <w:rFonts w:ascii="Times New Roman" w:hAnsi="Times New Roman" w:cs="Times New Roman"/>
                <w:color w:val="000000"/>
                <w:sz w:val="20"/>
                <w:szCs w:val="20"/>
              </w:rPr>
              <w:t>101,97</w:t>
            </w:r>
          </w:p>
        </w:tc>
      </w:tr>
    </w:tbl>
    <w:p w14:paraId="5A0CF072"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p>
    <w:p w14:paraId="3D711C7B"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на реализацию </w:t>
      </w:r>
      <w:r w:rsidRPr="00522104">
        <w:rPr>
          <w:rFonts w:ascii="Times New Roman" w:eastAsia="Times New Roman" w:hAnsi="Times New Roman" w:cs="Times New Roman"/>
          <w:b/>
          <w:i/>
          <w:sz w:val="28"/>
          <w:szCs w:val="28"/>
          <w:lang w:eastAsia="ru-RU"/>
        </w:rPr>
        <w:t>подпрограммы "</w:t>
      </w:r>
      <w:r w:rsidRPr="00522104">
        <w:rPr>
          <w:rFonts w:ascii="Times New Roman" w:hAnsi="Times New Roman" w:cs="Times New Roman"/>
          <w:b/>
          <w:i/>
          <w:sz w:val="28"/>
          <w:szCs w:val="28"/>
        </w:rPr>
        <w:t xml:space="preserve">Обращение с отходами в Приморском крае" </w:t>
      </w:r>
      <w:r w:rsidRPr="00522104">
        <w:rPr>
          <w:rFonts w:ascii="Times New Roman" w:eastAsia="Times New Roman" w:hAnsi="Times New Roman" w:cs="Times New Roman"/>
          <w:sz w:val="28"/>
          <w:szCs w:val="28"/>
          <w:lang w:eastAsia="ru-RU"/>
        </w:rPr>
        <w:t>на 2022 год запланированы по министерству жилищно-коммунального хозяйства Приморского края на с</w:t>
      </w:r>
      <w:r w:rsidRPr="00522104">
        <w:rPr>
          <w:rFonts w:ascii="Times New Roman" w:hAnsi="Times New Roman" w:cs="Times New Roman"/>
          <w:sz w:val="28"/>
          <w:szCs w:val="28"/>
        </w:rPr>
        <w:t>убсидии организациям в связи с оказанием услуг по обращению с твердыми коммунальными отходами на территории Приморского края</w:t>
      </w:r>
      <w:r w:rsidRPr="00522104">
        <w:rPr>
          <w:rFonts w:ascii="Times New Roman" w:eastAsia="Times New Roman" w:hAnsi="Times New Roman" w:cs="Times New Roman"/>
          <w:sz w:val="28"/>
          <w:szCs w:val="28"/>
          <w:lang w:eastAsia="ru-RU"/>
        </w:rPr>
        <w:t xml:space="preserve"> в объеме 20,73 млн рублей. По информации министерства жилищно-коммунального хозяйства Приморского края субсидии предназначены на возмещение расходов предприятиям на уплату налога на имущество, не включенного в тариф.</w:t>
      </w:r>
    </w:p>
    <w:p w14:paraId="375E7712"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утвержденном законе на 2022 год объем финансирования по данной подпрограмме отсутствует. </w:t>
      </w:r>
    </w:p>
    <w:p w14:paraId="3E0AC5F4" w14:textId="5D3BBF5D" w:rsidR="007E1820" w:rsidRPr="00522104" w:rsidRDefault="007E1820" w:rsidP="007E1820">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На 2021 год предусмотрены бюджетные ассигнования в объеме 103,87 млн рублей, из них основной объем ассигнований предусмотрен по министерству </w:t>
      </w:r>
      <w:r w:rsidRPr="00522104">
        <w:rPr>
          <w:rFonts w:ascii="Times New Roman" w:hAnsi="Times New Roman" w:cs="Times New Roman"/>
          <w:sz w:val="28"/>
          <w:szCs w:val="28"/>
        </w:rPr>
        <w:t>жилищно-коммунального хозяйства Приморского края в размере 89,0 млн рублей (федерального бюджета – 80,0</w:t>
      </w:r>
      <w:r w:rsidR="00272907">
        <w:rPr>
          <w:rFonts w:ascii="Times New Roman" w:hAnsi="Times New Roman" w:cs="Times New Roman"/>
          <w:sz w:val="28"/>
          <w:szCs w:val="28"/>
        </w:rPr>
        <w:t>0</w:t>
      </w:r>
      <w:r w:rsidRPr="00522104">
        <w:rPr>
          <w:rFonts w:ascii="Times New Roman" w:hAnsi="Times New Roman" w:cs="Times New Roman"/>
          <w:sz w:val="28"/>
          <w:szCs w:val="28"/>
        </w:rPr>
        <w:t xml:space="preserve"> млн рублей, краевого бюджета – 9,0</w:t>
      </w:r>
      <w:r w:rsidR="00272907">
        <w:rPr>
          <w:rFonts w:ascii="Times New Roman" w:hAnsi="Times New Roman" w:cs="Times New Roman"/>
          <w:sz w:val="28"/>
          <w:szCs w:val="28"/>
        </w:rPr>
        <w:t>0</w:t>
      </w:r>
      <w:r w:rsidRPr="00522104">
        <w:rPr>
          <w:rFonts w:ascii="Times New Roman" w:hAnsi="Times New Roman" w:cs="Times New Roman"/>
          <w:sz w:val="28"/>
          <w:szCs w:val="28"/>
        </w:rPr>
        <w:t xml:space="preserve"> млн рублей) на предоставление субсидии КГУП "Приморской экологический оператор" на реализацию мероприятий согласно плану социального развития центров экономического роста и по министерству природных ресурсов и охраны окружающей среды Приморского края в размере 12,40 млн рублей на ликвидацию накопленного ущерба в Приморском крае в рамках ФП (РП) "Чистая страна". Кассовое исполнение</w:t>
      </w:r>
      <w:r w:rsidRPr="00522104">
        <w:rPr>
          <w:rFonts w:ascii="Times New Roman" w:eastAsia="Times New Roman" w:hAnsi="Times New Roman" w:cs="Times New Roman"/>
          <w:sz w:val="28"/>
          <w:szCs w:val="28"/>
          <w:lang w:eastAsia="ru-RU"/>
        </w:rPr>
        <w:t xml:space="preserve"> за 9 месяцев 2021 года</w:t>
      </w:r>
      <w:r w:rsidRPr="00522104">
        <w:rPr>
          <w:rFonts w:ascii="Times New Roman" w:hAnsi="Times New Roman" w:cs="Times New Roman"/>
          <w:sz w:val="28"/>
          <w:szCs w:val="28"/>
        </w:rPr>
        <w:t xml:space="preserve"> отсутствует.</w:t>
      </w:r>
    </w:p>
    <w:p w14:paraId="3E59085E"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на реализацию </w:t>
      </w:r>
      <w:r w:rsidRPr="00522104">
        <w:rPr>
          <w:rFonts w:ascii="Times New Roman" w:eastAsia="Times New Roman" w:hAnsi="Times New Roman" w:cs="Times New Roman"/>
          <w:b/>
          <w:i/>
          <w:sz w:val="28"/>
          <w:szCs w:val="28"/>
          <w:lang w:eastAsia="ru-RU"/>
        </w:rPr>
        <w:t xml:space="preserve">подпрограммы </w:t>
      </w:r>
      <w:r w:rsidRPr="00522104">
        <w:rPr>
          <w:rFonts w:ascii="Times New Roman" w:hAnsi="Times New Roman" w:cs="Times New Roman"/>
          <w:b/>
          <w:i/>
          <w:sz w:val="28"/>
          <w:szCs w:val="28"/>
        </w:rPr>
        <w:t>"Развитие водохозяйственного комплекса Приморского края"</w:t>
      </w:r>
      <w:r w:rsidRPr="00522104">
        <w:rPr>
          <w:rFonts w:ascii="Times New Roman" w:eastAsia="Times New Roman" w:hAnsi="Times New Roman" w:cs="Times New Roman"/>
          <w:sz w:val="28"/>
          <w:szCs w:val="28"/>
          <w:lang w:eastAsia="ru-RU"/>
        </w:rPr>
        <w:t xml:space="preserve"> на 2022 год предусмотрены в объеме 277,17</w:t>
      </w:r>
      <w:r w:rsidRPr="00522104">
        <w:t xml:space="preserve"> </w:t>
      </w:r>
      <w:r w:rsidRPr="00522104">
        <w:rPr>
          <w:rFonts w:ascii="Times New Roman" w:eastAsia="Times New Roman" w:hAnsi="Times New Roman" w:cs="Times New Roman"/>
          <w:sz w:val="28"/>
          <w:szCs w:val="28"/>
          <w:lang w:eastAsia="ru-RU"/>
        </w:rPr>
        <w:t xml:space="preserve">млн рублей, что на 140,72 млн рублей или в 2 раза больше утвержденных назначений (136,45 млн рублей) и больше уровня 2021 года на 15,69 млн рублей (261,48 тыс. рублей). </w:t>
      </w:r>
    </w:p>
    <w:p w14:paraId="78A2D91C"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По министерству строительства Приморского края</w:t>
      </w:r>
      <w:r w:rsidRPr="00522104">
        <w:rPr>
          <w:rFonts w:ascii="Times New Roman" w:eastAsia="Times New Roman" w:hAnsi="Times New Roman" w:cs="Times New Roman"/>
          <w:sz w:val="28"/>
          <w:szCs w:val="28"/>
          <w:lang w:eastAsia="ru-RU"/>
        </w:rPr>
        <w:t xml:space="preserve"> законопроектом на 2022 год предусмотрено 71,41 млн рублей, что на 25,65 млн рублей, или на 56,05 % больше утвержденных назначений (45,76 млн рублей). Расходы предусмотрены на строительство (реконструкцию) объектов инженерной защиты от наводнений, входящих в адресную инвестиционную программу Приморского края.</w:t>
      </w:r>
    </w:p>
    <w:p w14:paraId="1A6FF4A5"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w:t>
      </w:r>
      <w:r w:rsidRPr="00522104">
        <w:rPr>
          <w:rFonts w:ascii="Times New Roman" w:hAnsi="Times New Roman" w:cs="Times New Roman"/>
          <w:sz w:val="28"/>
          <w:szCs w:val="28"/>
        </w:rPr>
        <w:t>о министерству природных ресурсов и охраны окружающей среды Приморского края</w:t>
      </w:r>
      <w:r w:rsidRPr="00522104">
        <w:rPr>
          <w:rFonts w:ascii="Times New Roman" w:eastAsia="Times New Roman" w:hAnsi="Times New Roman" w:cs="Times New Roman"/>
          <w:sz w:val="28"/>
          <w:szCs w:val="28"/>
          <w:lang w:eastAsia="ru-RU"/>
        </w:rPr>
        <w:t xml:space="preserve"> на 2022 год планируются расходы в объеме 205,76 млн рублей, что на 115,07 млн рублей или в 2,3 раза больше утвержденных назначений (90,69 млн рублей), в том числе:</w:t>
      </w:r>
    </w:p>
    <w:p w14:paraId="54091FF4" w14:textId="3FE3B950" w:rsidR="007E1820" w:rsidRPr="00522104" w:rsidRDefault="007E1820" w:rsidP="007E1820">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rPr>
        <w:t xml:space="preserve">по определению границ зон затопления и подтопления </w:t>
      </w:r>
      <w:r w:rsidRPr="00522104">
        <w:rPr>
          <w:rFonts w:ascii="Times New Roman" w:eastAsia="Times New Roman" w:hAnsi="Times New Roman" w:cs="Times New Roman"/>
          <w:sz w:val="28"/>
          <w:szCs w:val="28"/>
          <w:lang w:eastAsia="ru-RU"/>
        </w:rPr>
        <w:t>законопроектом предусмотрено 32,62 млн рублей, что на 28,21 млн рублей или в 7,4 раза больше, чем утверждено в Законе № 969-КЗ (4,41 млн рублей). П</w:t>
      </w:r>
      <w:r w:rsidRPr="00522104">
        <w:rPr>
          <w:rFonts w:ascii="Times New Roman" w:hAnsi="Times New Roman" w:cs="Times New Roman"/>
          <w:sz w:val="28"/>
          <w:szCs w:val="28"/>
        </w:rPr>
        <w:t>о информации министерства природных ресурсов и охраны окружающей среды Приморского края расходы по данному мероприятию увеличены в соответствии с пунктом 6 Поручений Президента Р</w:t>
      </w:r>
      <w:r w:rsidR="00272907">
        <w:rPr>
          <w:rFonts w:ascii="Times New Roman" w:hAnsi="Times New Roman" w:cs="Times New Roman"/>
          <w:sz w:val="28"/>
          <w:szCs w:val="28"/>
        </w:rPr>
        <w:t xml:space="preserve">оссийской </w:t>
      </w:r>
      <w:r w:rsidRPr="00522104">
        <w:rPr>
          <w:rFonts w:ascii="Times New Roman" w:hAnsi="Times New Roman" w:cs="Times New Roman"/>
          <w:sz w:val="28"/>
          <w:szCs w:val="28"/>
        </w:rPr>
        <w:t>Ф</w:t>
      </w:r>
      <w:r w:rsidR="00272907">
        <w:rPr>
          <w:rFonts w:ascii="Times New Roman" w:hAnsi="Times New Roman" w:cs="Times New Roman"/>
          <w:sz w:val="28"/>
          <w:szCs w:val="28"/>
        </w:rPr>
        <w:t>едерации</w:t>
      </w:r>
      <w:r w:rsidRPr="00522104">
        <w:rPr>
          <w:rFonts w:ascii="Times New Roman" w:hAnsi="Times New Roman" w:cs="Times New Roman"/>
          <w:sz w:val="28"/>
          <w:szCs w:val="28"/>
        </w:rPr>
        <w:t xml:space="preserve"> от 23.07.2019 № ПР-1430. Наличие определенных в соответствии с установленными Правилами зон затопления, подтопления является обязательным условием для разработки противопаводковых мероприятий и выделения субсидии из федерального бюджета на их реализацию;</w:t>
      </w:r>
    </w:p>
    <w:p w14:paraId="7D1BAE73" w14:textId="77777777" w:rsidR="007E1820" w:rsidRPr="00522104" w:rsidRDefault="007E1820" w:rsidP="007E1820">
      <w:pPr>
        <w:spacing w:after="0" w:line="240" w:lineRule="auto"/>
        <w:ind w:firstLine="709"/>
        <w:jc w:val="both"/>
      </w:pPr>
      <w:r w:rsidRPr="00522104">
        <w:rPr>
          <w:rFonts w:ascii="Times New Roman" w:hAnsi="Times New Roman" w:cs="Times New Roman"/>
          <w:sz w:val="28"/>
        </w:rPr>
        <w:t xml:space="preserve">предоставление субсидии из краевого бюджета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 </w:t>
      </w:r>
      <w:r w:rsidRPr="00522104">
        <w:rPr>
          <w:rFonts w:ascii="Times New Roman" w:eastAsia="Times New Roman" w:hAnsi="Times New Roman" w:cs="Times New Roman"/>
          <w:sz w:val="28"/>
          <w:szCs w:val="28"/>
          <w:lang w:eastAsia="ru-RU"/>
        </w:rPr>
        <w:t xml:space="preserve">законопроектом предусмотрено 129,52 млн рублей, что на 69,52 млн рублей или в 2,1 раза больше, чем утвержденных назначений (60,0 млн рублей). </w:t>
      </w:r>
      <w:r w:rsidRPr="00522104">
        <w:rPr>
          <w:rFonts w:ascii="Times New Roman" w:hAnsi="Times New Roman" w:cs="Times New Roman"/>
          <w:sz w:val="28"/>
          <w:szCs w:val="28"/>
        </w:rPr>
        <w:t>Расходы по данному мероприятию запланированы на реконструкцию следующих объектов: ГТС Вишневского водохранилища; гидротехнического сооружения защитной дамбы по левому берегу реки Постышевка в городе Партизанске; дамбы ограждающей ДО-1 в г. Дальнереченске. На строительство защитной дамбы в п. Горные Ключи польдер № 2, а также новые объекты. На разработку ПДС запланировано 13,21 млн рублей;</w:t>
      </w:r>
    </w:p>
    <w:p w14:paraId="2A0077AD"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rPr>
        <w:t>осуществление отдельных полномочий в области водных отношений</w:t>
      </w:r>
      <w:r w:rsidRPr="00522104">
        <w:rPr>
          <w:rFonts w:ascii="Times New Roman" w:eastAsia="Times New Roman" w:hAnsi="Times New Roman" w:cs="Times New Roman"/>
          <w:sz w:val="28"/>
          <w:szCs w:val="28"/>
          <w:lang w:eastAsia="ru-RU"/>
        </w:rPr>
        <w:t xml:space="preserve"> - 40,89 млн рублей, что на 17,34 млн рублей или в 1,74 раза больше утвержденных назначений (23,56 млн рублей). Р</w:t>
      </w:r>
      <w:r w:rsidRPr="00522104">
        <w:rPr>
          <w:rFonts w:ascii="Times New Roman" w:hAnsi="Times New Roman" w:cs="Times New Roman"/>
          <w:sz w:val="28"/>
          <w:szCs w:val="28"/>
        </w:rPr>
        <w:t>асходы запланированы на выполнение мероприятий, осуществляемых в соответствии с перечнем, утверждаемым Росводресурсами.</w:t>
      </w:r>
    </w:p>
    <w:p w14:paraId="6EFBF219"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реализацию </w:t>
      </w:r>
      <w:r w:rsidRPr="00522104">
        <w:rPr>
          <w:rFonts w:ascii="Times New Roman" w:hAnsi="Times New Roman" w:cs="Times New Roman"/>
          <w:b/>
          <w:i/>
          <w:sz w:val="28"/>
          <w:szCs w:val="28"/>
        </w:rPr>
        <w:t>подпрограммы "Биологическое разнообразие Приморского края"</w:t>
      </w:r>
      <w:r w:rsidRPr="00522104">
        <w:rPr>
          <w:rFonts w:ascii="Times New Roman" w:eastAsia="Times New Roman" w:hAnsi="Times New Roman" w:cs="Times New Roman"/>
          <w:sz w:val="28"/>
          <w:szCs w:val="28"/>
          <w:lang w:eastAsia="ru-RU"/>
        </w:rPr>
        <w:t xml:space="preserve"> на 2022 год предусмотрено 112,95</w:t>
      </w:r>
      <w:r w:rsidRPr="00522104">
        <w:t xml:space="preserve"> </w:t>
      </w:r>
      <w:r w:rsidRPr="00522104">
        <w:rPr>
          <w:rFonts w:ascii="Times New Roman" w:eastAsia="Times New Roman" w:hAnsi="Times New Roman" w:cs="Times New Roman"/>
          <w:sz w:val="28"/>
          <w:szCs w:val="28"/>
          <w:lang w:eastAsia="ru-RU"/>
        </w:rPr>
        <w:t xml:space="preserve">млн рублей, что на 21,69 млн рублей, или на 123,77 % больше утвержденных назначений (91,26 млн рублей) и больше на 17,11 млн рублей уровня 2021 года (95,84 млн рублей). </w:t>
      </w:r>
    </w:p>
    <w:p w14:paraId="5283A982"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w:t>
      </w:r>
      <w:r w:rsidRPr="00522104">
        <w:rPr>
          <w:rFonts w:ascii="Times New Roman" w:hAnsi="Times New Roman" w:cs="Times New Roman"/>
          <w:sz w:val="28"/>
          <w:szCs w:val="28"/>
        </w:rPr>
        <w:t>о министерству природных ресурсов и охраны окружающей среды Приморского края</w:t>
      </w:r>
      <w:r w:rsidRPr="00522104">
        <w:rPr>
          <w:rFonts w:ascii="Times New Roman" w:eastAsia="Times New Roman" w:hAnsi="Times New Roman" w:cs="Times New Roman"/>
          <w:sz w:val="28"/>
          <w:szCs w:val="28"/>
          <w:lang w:eastAsia="ru-RU"/>
        </w:rPr>
        <w:t xml:space="preserve"> планируется 5,97 млн рублей, что на 4,2 млн рублей больше утвержденных назначений (1,77 млн рублей). Мероприятие </w:t>
      </w:r>
      <w:r w:rsidRPr="00522104">
        <w:rPr>
          <w:rFonts w:ascii="Times New Roman" w:hAnsi="Times New Roman" w:cs="Times New Roman"/>
          <w:sz w:val="28"/>
          <w:szCs w:val="28"/>
        </w:rPr>
        <w:t>по созданию автоматизированной системы "Кадастр особо охраняемых природных территорий регионального значения",</w:t>
      </w:r>
      <w:r w:rsidRPr="00522104">
        <w:rPr>
          <w:rFonts w:ascii="Times New Roman" w:eastAsia="Times New Roman" w:hAnsi="Times New Roman" w:cs="Times New Roman"/>
          <w:sz w:val="28"/>
          <w:szCs w:val="28"/>
          <w:lang w:eastAsia="ru-RU"/>
        </w:rPr>
        <w:t xml:space="preserve"> на выполнение</w:t>
      </w:r>
      <w:r w:rsidRPr="00522104">
        <w:rPr>
          <w:rFonts w:ascii="Times New Roman" w:hAnsi="Times New Roman" w:cs="Times New Roman"/>
          <w:sz w:val="28"/>
          <w:szCs w:val="28"/>
        </w:rPr>
        <w:t xml:space="preserve"> которого запланированы </w:t>
      </w:r>
      <w:r w:rsidRPr="00522104">
        <w:rPr>
          <w:rFonts w:ascii="Times New Roman" w:eastAsia="Times New Roman" w:hAnsi="Times New Roman" w:cs="Times New Roman"/>
          <w:sz w:val="28"/>
          <w:szCs w:val="28"/>
          <w:lang w:eastAsia="ru-RU"/>
        </w:rPr>
        <w:t xml:space="preserve">ассигнования в объеме 4,20 млн рублей </w:t>
      </w:r>
      <w:r w:rsidRPr="00522104">
        <w:rPr>
          <w:rFonts w:ascii="Times New Roman" w:hAnsi="Times New Roman" w:cs="Times New Roman"/>
          <w:sz w:val="28"/>
          <w:szCs w:val="28"/>
        </w:rPr>
        <w:t>в действующей редакции ГП отсутствует. По информации министерства природных ресурсов и охраны окружающей среды Приморского края расходы на мероприятие по созданию автоматизированной системы "Кадастр особо охраняемых природных территорий регионального значения" в ГП отсутствуют в связи с планируемым переносом в ГП "Информационное общество" с последующим изменением целевой статьи.</w:t>
      </w:r>
    </w:p>
    <w:p w14:paraId="200AC6F5"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 xml:space="preserve">По </w:t>
      </w:r>
      <w:r w:rsidRPr="00522104">
        <w:rPr>
          <w:rFonts w:ascii="Times New Roman" w:eastAsia="Times New Roman" w:hAnsi="Times New Roman" w:cs="Times New Roman"/>
          <w:sz w:val="28"/>
          <w:szCs w:val="28"/>
          <w:lang w:eastAsia="ru-RU"/>
        </w:rPr>
        <w:t>министерству лесного хозяйства и охраны объектов животного мира Приморского края на 2022 год планируется 106,98 млн рублей, что на 17,49 млн рублей или на 119,54 % больше утвержденных назначений (89,49 млн рублей).</w:t>
      </w:r>
    </w:p>
    <w:p w14:paraId="587F599A"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предусмотренные в законопроекте на 2022 год в объеме 1,0 млн рублей за счет краевых средств на разработку методических рекомендаций по проведению биотехнических мероприятий (0,5 млн рублей) и предоставление субсидии некоммерческим организациям на создание вольера для разведения диких копытных животных (0,5 млн рублей) в действующей редакции ГП и утвержденном законе на 2022 год отсутствуют. </w:t>
      </w:r>
    </w:p>
    <w:p w14:paraId="289D566B" w14:textId="77777777" w:rsidR="007E1820" w:rsidRPr="00522104" w:rsidRDefault="007E1820" w:rsidP="007E1820">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8"/>
          <w:lang w:eastAsia="ru-RU"/>
        </w:rPr>
        <w:t xml:space="preserve">На 2022 год на </w:t>
      </w:r>
      <w:r w:rsidRPr="00522104">
        <w:rPr>
          <w:rFonts w:ascii="Times New Roman" w:eastAsia="Times New Roman" w:hAnsi="Times New Roman" w:cs="Times New Roman"/>
          <w:b/>
          <w:i/>
          <w:sz w:val="28"/>
          <w:szCs w:val="24"/>
          <w:lang w:eastAsia="ru-RU"/>
        </w:rPr>
        <w:t>подпрограмму "Обеспечение реализации государственной программы"</w:t>
      </w:r>
      <w:r w:rsidRPr="00522104">
        <w:rPr>
          <w:rFonts w:ascii="Times New Roman" w:eastAsia="Times New Roman" w:hAnsi="Times New Roman" w:cs="Times New Roman"/>
          <w:b/>
          <w:sz w:val="28"/>
          <w:szCs w:val="24"/>
          <w:lang w:eastAsia="ru-RU"/>
        </w:rPr>
        <w:t xml:space="preserve"> </w:t>
      </w:r>
      <w:r w:rsidRPr="00522104">
        <w:rPr>
          <w:rFonts w:ascii="Times New Roman" w:eastAsia="Times New Roman" w:hAnsi="Times New Roman" w:cs="Times New Roman"/>
          <w:sz w:val="28"/>
          <w:szCs w:val="28"/>
          <w:lang w:eastAsia="ru-RU"/>
        </w:rPr>
        <w:t>предусмотрено 45,58</w:t>
      </w:r>
      <w:r w:rsidRPr="00522104">
        <w:t xml:space="preserve"> </w:t>
      </w:r>
      <w:r w:rsidRPr="00522104">
        <w:rPr>
          <w:rFonts w:ascii="Times New Roman" w:eastAsia="Times New Roman" w:hAnsi="Times New Roman" w:cs="Times New Roman"/>
          <w:sz w:val="28"/>
          <w:szCs w:val="28"/>
          <w:lang w:eastAsia="ru-RU"/>
        </w:rPr>
        <w:t xml:space="preserve">млн рублей, что на 0,88 млн рублей или на 101,97 % больше утвержденных назначений (44,71 млн рублей) и меньше уровня 2021 года на 6,45 млн рублей (52,03 млн рублей). </w:t>
      </w:r>
      <w:r w:rsidRPr="00522104">
        <w:rPr>
          <w:rFonts w:ascii="Times New Roman" w:eastAsia="Times New Roman" w:hAnsi="Times New Roman" w:cs="Times New Roman"/>
          <w:sz w:val="28"/>
          <w:szCs w:val="24"/>
          <w:lang w:eastAsia="ru-RU"/>
        </w:rPr>
        <w:t>По данной подпрограмме запланированы расходы на обеспечение реализации государственных функций и государственного управления.</w:t>
      </w:r>
    </w:p>
    <w:p w14:paraId="7905C36B" w14:textId="77777777" w:rsidR="007E1820" w:rsidRPr="00522104" w:rsidRDefault="007E1820" w:rsidP="00827437">
      <w:pPr>
        <w:spacing w:after="0" w:line="240" w:lineRule="auto"/>
        <w:ind w:firstLine="709"/>
        <w:jc w:val="both"/>
        <w:rPr>
          <w:rFonts w:ascii="Times New Roman" w:eastAsia="Times New Roman" w:hAnsi="Times New Roman" w:cs="Times New Roman"/>
          <w:sz w:val="28"/>
          <w:szCs w:val="24"/>
          <w:lang w:eastAsia="ru-RU"/>
        </w:rPr>
      </w:pPr>
    </w:p>
    <w:p w14:paraId="54B0FE9E" w14:textId="77777777" w:rsidR="00BF4C80" w:rsidRPr="00522104" w:rsidRDefault="00BF4C80" w:rsidP="00BF4C80">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26848" behindDoc="1" locked="0" layoutInCell="1" allowOverlap="1" wp14:anchorId="7B9E5F67" wp14:editId="05BEE536">
            <wp:simplePos x="0" y="0"/>
            <wp:positionH relativeFrom="column">
              <wp:posOffset>-20320</wp:posOffset>
            </wp:positionH>
            <wp:positionV relativeFrom="paragraph">
              <wp:posOffset>36344</wp:posOffset>
            </wp:positionV>
            <wp:extent cx="1487805" cy="1228090"/>
            <wp:effectExtent l="0" t="0" r="0" b="0"/>
            <wp:wrapTight wrapText="bothSides">
              <wp:wrapPolygon edited="0">
                <wp:start x="0" y="0"/>
                <wp:lineTo x="0" y="21109"/>
                <wp:lineTo x="21296" y="21109"/>
                <wp:lineTo x="21296" y="0"/>
                <wp:lineTo x="0" y="0"/>
              </wp:wrapPolygon>
            </wp:wrapTight>
            <wp:docPr id="81" name="Рисунок 81" descr="C:\Users\zavzyataya_sv\Desktop\Картинки\depositphotos_85954884-stock-photo-financial-charts-with-calculator.jpg"/>
            <wp:cNvGraphicFramePr/>
            <a:graphic xmlns:a="http://schemas.openxmlformats.org/drawingml/2006/main">
              <a:graphicData uri="http://schemas.openxmlformats.org/drawingml/2006/picture">
                <pic:pic xmlns:pic="http://schemas.openxmlformats.org/drawingml/2006/picture">
                  <pic:nvPicPr>
                    <pic:cNvPr id="31" name="Рисунок 31" descr="C:\Users\zavzyataya_sv\Desktop\Картинки\depositphotos_85954884-stock-photo-financial-charts-with-calculator.jpg"/>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87805" cy="1228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 xml:space="preserve">Государственная программа "Экономическое развитие и инновационная экономика </w:t>
      </w:r>
    </w:p>
    <w:p w14:paraId="2524D6FB" w14:textId="77777777" w:rsidR="00BF4C80" w:rsidRPr="00522104" w:rsidRDefault="00BF4C80" w:rsidP="00BF4C80">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Приморского края"</w:t>
      </w:r>
    </w:p>
    <w:p w14:paraId="11581E06" w14:textId="69F0A196" w:rsidR="00BF4C80" w:rsidRPr="00522104" w:rsidRDefault="00BF4C80" w:rsidP="00BF4C80">
      <w:pPr>
        <w:spacing w:after="0" w:line="240" w:lineRule="auto"/>
        <w:ind w:firstLine="720"/>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 xml:space="preserve">Законопроектом бюджетные ассигнования на реализацию ГП "Экономическое развитие и инновационная экономика Приморского края" на 2022 год предусмотрены в объеме 7706,55 млн рублей, в том числе за счет средств краевого бюджета 7198,93 млн рублей, федерального бюджета </w:t>
      </w:r>
      <w:r w:rsidR="00A50391"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507,62 млн рублей. На плановый период 2023 года запланировано </w:t>
      </w:r>
      <w:r w:rsidRPr="00522104">
        <w:rPr>
          <w:rFonts w:ascii="Times New Roman" w:hAnsi="Times New Roman" w:cs="Times New Roman"/>
          <w:sz w:val="28"/>
          <w:szCs w:val="28"/>
        </w:rPr>
        <w:t>5205,04 млн рублей и на 2024 год – 4849,73 млн рублей.</w:t>
      </w:r>
    </w:p>
    <w:p w14:paraId="7C84808D" w14:textId="77777777" w:rsidR="00BF4C80" w:rsidRPr="00522104" w:rsidRDefault="00BF4C80" w:rsidP="00BF4C80">
      <w:pPr>
        <w:spacing w:after="0" w:line="240" w:lineRule="auto"/>
        <w:ind w:firstLine="720"/>
        <w:jc w:val="both"/>
        <w:rPr>
          <w:rFonts w:ascii="Times New Roman" w:eastAsiaTheme="minorEastAsia" w:hAnsi="Times New Roman" w:cs="Times New Roman"/>
          <w:sz w:val="28"/>
          <w:szCs w:val="28"/>
          <w:lang w:eastAsia="ru-RU"/>
        </w:rPr>
      </w:pPr>
      <w:r w:rsidRPr="00522104">
        <w:rPr>
          <w:rFonts w:ascii="Times New Roman" w:eastAsia="Calibri" w:hAnsi="Times New Roman" w:cs="Times New Roman"/>
          <w:sz w:val="28"/>
          <w:szCs w:val="28"/>
          <w:lang w:eastAsia="ru-RU"/>
        </w:rPr>
        <w:t xml:space="preserve">Планируемый на 2022 год объем расходов </w:t>
      </w:r>
      <w:r w:rsidRPr="00522104">
        <w:rPr>
          <w:rFonts w:ascii="Times New Roman" w:eastAsiaTheme="minorEastAsia" w:hAnsi="Times New Roman" w:cs="Times New Roman"/>
          <w:sz w:val="28"/>
          <w:szCs w:val="28"/>
          <w:lang w:eastAsia="ru-RU"/>
        </w:rPr>
        <w:t>выше уровня утвержденных назначений на 3411,16 млн рублей, или на 79,41 %, и ниже 2021 года на 170,09 млн рублей, или на 2,16 %.</w:t>
      </w:r>
    </w:p>
    <w:p w14:paraId="0244A028" w14:textId="77777777" w:rsidR="00BF4C80" w:rsidRPr="00522104" w:rsidRDefault="00BF4C80" w:rsidP="00BF4C8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Распределение бюджетных ассигнований на финансовое обеспечение ГП в разрезе подпрограмм с указанием федеральных проектов утвержденных на 2021 и 2022 годы и представленных законопроектом на 2022-2024 годы представлено в таблице. </w:t>
      </w:r>
    </w:p>
    <w:p w14:paraId="1DC0C69F" w14:textId="77777777" w:rsidR="00BF4C80" w:rsidRDefault="00BF4C80" w:rsidP="00BF4C80">
      <w:pPr>
        <w:spacing w:after="0" w:line="240" w:lineRule="auto"/>
        <w:ind w:firstLine="709"/>
        <w:jc w:val="both"/>
        <w:rPr>
          <w:rFonts w:ascii="Times New Roman" w:eastAsia="Times New Roman" w:hAnsi="Times New Roman" w:cs="Times New Roman"/>
          <w:sz w:val="28"/>
          <w:szCs w:val="28"/>
          <w:lang w:eastAsia="ru-RU"/>
        </w:rPr>
      </w:pPr>
    </w:p>
    <w:p w14:paraId="71F911AC" w14:textId="77777777" w:rsidR="00074B2C" w:rsidRPr="00522104" w:rsidRDefault="00074B2C" w:rsidP="00BF4C80">
      <w:pPr>
        <w:spacing w:after="0" w:line="240" w:lineRule="auto"/>
        <w:ind w:firstLine="709"/>
        <w:jc w:val="both"/>
        <w:rPr>
          <w:rFonts w:ascii="Times New Roman" w:eastAsia="Times New Roman" w:hAnsi="Times New Roman" w:cs="Times New Roman"/>
          <w:sz w:val="28"/>
          <w:szCs w:val="28"/>
          <w:lang w:eastAsia="ru-RU"/>
        </w:rPr>
      </w:pPr>
    </w:p>
    <w:tbl>
      <w:tblPr>
        <w:tblW w:w="10065" w:type="dxa"/>
        <w:jc w:val="center"/>
        <w:tblLayout w:type="fixed"/>
        <w:tblLook w:val="04A0" w:firstRow="1" w:lastRow="0" w:firstColumn="1" w:lastColumn="0" w:noHBand="0" w:noVBand="1"/>
      </w:tblPr>
      <w:tblGrid>
        <w:gridCol w:w="2410"/>
        <w:gridCol w:w="851"/>
        <w:gridCol w:w="850"/>
        <w:gridCol w:w="851"/>
        <w:gridCol w:w="709"/>
        <w:gridCol w:w="708"/>
        <w:gridCol w:w="709"/>
        <w:gridCol w:w="709"/>
        <w:gridCol w:w="709"/>
        <w:gridCol w:w="850"/>
        <w:gridCol w:w="709"/>
      </w:tblGrid>
      <w:tr w:rsidR="00BF4C80" w:rsidRPr="00522104" w14:paraId="3A404D54" w14:textId="77777777" w:rsidTr="007B32A7">
        <w:trPr>
          <w:trHeight w:val="84"/>
          <w:tblHeader/>
          <w:jc w:val="center"/>
        </w:trPr>
        <w:tc>
          <w:tcPr>
            <w:tcW w:w="2410" w:type="dxa"/>
            <w:tcBorders>
              <w:bottom w:val="single" w:sz="4" w:space="0" w:color="auto"/>
            </w:tcBorders>
            <w:shd w:val="clear" w:color="auto" w:fill="auto"/>
            <w:vAlign w:val="center"/>
          </w:tcPr>
          <w:p w14:paraId="07907C10"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p>
        </w:tc>
        <w:tc>
          <w:tcPr>
            <w:tcW w:w="2552" w:type="dxa"/>
            <w:gridSpan w:val="3"/>
            <w:tcBorders>
              <w:bottom w:val="single" w:sz="4" w:space="0" w:color="auto"/>
            </w:tcBorders>
            <w:shd w:val="clear" w:color="auto" w:fill="auto"/>
            <w:vAlign w:val="center"/>
          </w:tcPr>
          <w:p w14:paraId="4CF42211"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p>
        </w:tc>
        <w:tc>
          <w:tcPr>
            <w:tcW w:w="2126" w:type="dxa"/>
            <w:gridSpan w:val="3"/>
            <w:tcBorders>
              <w:bottom w:val="single" w:sz="4" w:space="0" w:color="auto"/>
            </w:tcBorders>
            <w:shd w:val="clear" w:color="auto" w:fill="auto"/>
            <w:vAlign w:val="center"/>
          </w:tcPr>
          <w:p w14:paraId="4CCBBF1D"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p>
        </w:tc>
        <w:tc>
          <w:tcPr>
            <w:tcW w:w="2977" w:type="dxa"/>
            <w:gridSpan w:val="4"/>
            <w:tcBorders>
              <w:bottom w:val="single" w:sz="4" w:space="0" w:color="auto"/>
            </w:tcBorders>
            <w:shd w:val="clear" w:color="auto" w:fill="auto"/>
            <w:vAlign w:val="bottom"/>
          </w:tcPr>
          <w:p w14:paraId="3F6FACAD" w14:textId="77777777" w:rsidR="00BF4C80" w:rsidRPr="00074B2C" w:rsidRDefault="00BF4C80" w:rsidP="007B32A7">
            <w:pPr>
              <w:spacing w:after="0" w:line="240" w:lineRule="auto"/>
              <w:jc w:val="right"/>
              <w:rPr>
                <w:rFonts w:ascii="Times New Roman" w:eastAsia="Times New Roman" w:hAnsi="Times New Roman" w:cs="Times New Roman"/>
                <w:color w:val="000000"/>
                <w:sz w:val="20"/>
                <w:szCs w:val="20"/>
                <w:lang w:eastAsia="ru-RU"/>
              </w:rPr>
            </w:pPr>
            <w:r w:rsidRPr="00074B2C">
              <w:rPr>
                <w:rFonts w:ascii="Times New Roman" w:eastAsia="Times New Roman" w:hAnsi="Times New Roman" w:cs="Times New Roman"/>
                <w:color w:val="000000"/>
                <w:sz w:val="20"/>
                <w:szCs w:val="20"/>
                <w:lang w:eastAsia="ru-RU"/>
              </w:rPr>
              <w:t>(млн рублей)</w:t>
            </w:r>
          </w:p>
        </w:tc>
      </w:tr>
      <w:tr w:rsidR="00BF4C80" w:rsidRPr="00522104" w14:paraId="282C0EA9" w14:textId="77777777" w:rsidTr="007B32A7">
        <w:trPr>
          <w:trHeight w:val="271"/>
          <w:tblHeader/>
          <w:jc w:val="center"/>
        </w:trPr>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E3593F"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Наименование ГП</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14:paraId="5FE39589"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Закон № 969-КЗ</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14:paraId="38EC85D5"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Законопроект</w:t>
            </w:r>
          </w:p>
        </w:tc>
        <w:tc>
          <w:tcPr>
            <w:tcW w:w="2977" w:type="dxa"/>
            <w:gridSpan w:val="4"/>
            <w:tcBorders>
              <w:top w:val="single" w:sz="4" w:space="0" w:color="auto"/>
              <w:left w:val="nil"/>
              <w:bottom w:val="single" w:sz="4" w:space="0" w:color="auto"/>
              <w:right w:val="single" w:sz="4" w:space="0" w:color="auto"/>
            </w:tcBorders>
            <w:shd w:val="clear" w:color="auto" w:fill="auto"/>
            <w:vAlign w:val="center"/>
            <w:hideMark/>
          </w:tcPr>
          <w:p w14:paraId="64D706C8"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Отклонения законопроекта к утвержденным назначениям</w:t>
            </w:r>
          </w:p>
        </w:tc>
      </w:tr>
      <w:tr w:rsidR="00272907" w:rsidRPr="00522104" w14:paraId="10E0F08B" w14:textId="77777777" w:rsidTr="00272907">
        <w:trPr>
          <w:trHeight w:val="575"/>
          <w:tblHeader/>
          <w:jc w:val="center"/>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3D3B215E" w14:textId="77777777" w:rsidR="00272907" w:rsidRPr="00522104" w:rsidRDefault="00272907" w:rsidP="007B32A7">
            <w:pPr>
              <w:spacing w:after="0" w:line="240" w:lineRule="auto"/>
              <w:rPr>
                <w:rFonts w:ascii="Times New Roman" w:eastAsia="Times New Roman" w:hAnsi="Times New Roman" w:cs="Times New Roman"/>
                <w:color w:val="000000"/>
                <w:sz w:val="18"/>
                <w:szCs w:val="18"/>
                <w:lang w:eastAsia="ru-RU"/>
              </w:rPr>
            </w:pPr>
          </w:p>
        </w:tc>
        <w:tc>
          <w:tcPr>
            <w:tcW w:w="851" w:type="dxa"/>
            <w:vMerge w:val="restart"/>
            <w:tcBorders>
              <w:top w:val="nil"/>
              <w:left w:val="nil"/>
              <w:right w:val="single" w:sz="4" w:space="0" w:color="auto"/>
            </w:tcBorders>
            <w:shd w:val="clear" w:color="auto" w:fill="auto"/>
            <w:vAlign w:val="center"/>
            <w:hideMark/>
          </w:tcPr>
          <w:p w14:paraId="1B6E1881" w14:textId="77777777" w:rsidR="00272907" w:rsidRPr="00522104" w:rsidRDefault="00272907" w:rsidP="007B32A7">
            <w:pPr>
              <w:spacing w:after="0" w:line="240" w:lineRule="auto"/>
              <w:ind w:lef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первона-чальная редакция</w:t>
            </w:r>
          </w:p>
          <w:p w14:paraId="207BE0ED" w14:textId="69AEBBB1"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2021 год</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B70AC67"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 редакция</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92D01F"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xml:space="preserve">2022 год </w:t>
            </w:r>
          </w:p>
        </w:tc>
        <w:tc>
          <w:tcPr>
            <w:tcW w:w="70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4713E5"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2023 год</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D321D7"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xml:space="preserve">2024 год </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3AC6134A"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2022/2021</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BDEE415"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2022/2022</w:t>
            </w:r>
          </w:p>
        </w:tc>
      </w:tr>
      <w:tr w:rsidR="00272907" w:rsidRPr="00522104" w14:paraId="350EF72C" w14:textId="77777777" w:rsidTr="00272907">
        <w:trPr>
          <w:trHeight w:val="300"/>
          <w:tblHeader/>
          <w:jc w:val="center"/>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2078C217" w14:textId="77777777" w:rsidR="00272907" w:rsidRPr="00522104" w:rsidRDefault="00272907" w:rsidP="007B32A7">
            <w:pPr>
              <w:spacing w:after="0" w:line="240" w:lineRule="auto"/>
              <w:rPr>
                <w:rFonts w:ascii="Times New Roman" w:eastAsia="Times New Roman" w:hAnsi="Times New Roman" w:cs="Times New Roman"/>
                <w:color w:val="000000"/>
                <w:sz w:val="18"/>
                <w:szCs w:val="18"/>
                <w:lang w:eastAsia="ru-RU"/>
              </w:rPr>
            </w:pPr>
          </w:p>
        </w:tc>
        <w:tc>
          <w:tcPr>
            <w:tcW w:w="851" w:type="dxa"/>
            <w:vMerge/>
            <w:tcBorders>
              <w:left w:val="nil"/>
              <w:bottom w:val="single" w:sz="4" w:space="0" w:color="auto"/>
              <w:right w:val="single" w:sz="4" w:space="0" w:color="auto"/>
            </w:tcBorders>
            <w:shd w:val="clear" w:color="auto" w:fill="auto"/>
            <w:vAlign w:val="center"/>
            <w:hideMark/>
          </w:tcPr>
          <w:p w14:paraId="53BAABAB" w14:textId="7F3B27AD"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B58AB9E"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xml:space="preserve">2021 год </w:t>
            </w:r>
          </w:p>
        </w:tc>
        <w:tc>
          <w:tcPr>
            <w:tcW w:w="851" w:type="dxa"/>
            <w:tcBorders>
              <w:top w:val="nil"/>
              <w:left w:val="nil"/>
              <w:bottom w:val="single" w:sz="4" w:space="0" w:color="auto"/>
              <w:right w:val="single" w:sz="4" w:space="0" w:color="auto"/>
            </w:tcBorders>
            <w:shd w:val="clear" w:color="auto" w:fill="auto"/>
            <w:noWrap/>
            <w:vAlign w:val="center"/>
            <w:hideMark/>
          </w:tcPr>
          <w:p w14:paraId="53BCA6D6"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xml:space="preserve">2022 год </w:t>
            </w:r>
          </w:p>
        </w:tc>
        <w:tc>
          <w:tcPr>
            <w:tcW w:w="709" w:type="dxa"/>
            <w:vMerge/>
            <w:tcBorders>
              <w:top w:val="nil"/>
              <w:left w:val="single" w:sz="4" w:space="0" w:color="auto"/>
              <w:bottom w:val="single" w:sz="4" w:space="0" w:color="auto"/>
              <w:right w:val="single" w:sz="4" w:space="0" w:color="auto"/>
            </w:tcBorders>
            <w:vAlign w:val="center"/>
            <w:hideMark/>
          </w:tcPr>
          <w:p w14:paraId="075942CD" w14:textId="77777777" w:rsidR="00272907" w:rsidRPr="00522104" w:rsidRDefault="00272907" w:rsidP="007B32A7">
            <w:pPr>
              <w:spacing w:after="0" w:line="240" w:lineRule="auto"/>
              <w:rPr>
                <w:rFonts w:ascii="Times New Roman" w:eastAsia="Times New Roman" w:hAnsi="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vAlign w:val="center"/>
            <w:hideMark/>
          </w:tcPr>
          <w:p w14:paraId="06646AE6" w14:textId="77777777" w:rsidR="00272907" w:rsidRPr="00522104" w:rsidRDefault="00272907" w:rsidP="007B32A7">
            <w:pPr>
              <w:spacing w:after="0" w:line="240" w:lineRule="auto"/>
              <w:rPr>
                <w:rFonts w:ascii="Times New Roman" w:eastAsia="Times New Roman" w:hAnsi="Times New Roman" w:cs="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565A46A" w14:textId="77777777" w:rsidR="00272907" w:rsidRPr="00522104" w:rsidRDefault="00272907" w:rsidP="007B32A7">
            <w:pPr>
              <w:spacing w:after="0" w:line="240" w:lineRule="auto"/>
              <w:rPr>
                <w:rFonts w:ascii="Times New Roman" w:eastAsia="Times New Roman" w:hAnsi="Times New Roman" w:cs="Times New Roman"/>
                <w:color w:val="000000"/>
                <w:sz w:val="18"/>
                <w:szCs w:val="18"/>
                <w:lang w:eastAsia="ru-RU"/>
              </w:rPr>
            </w:pPr>
          </w:p>
        </w:tc>
        <w:tc>
          <w:tcPr>
            <w:tcW w:w="709" w:type="dxa"/>
            <w:tcBorders>
              <w:top w:val="nil"/>
              <w:left w:val="nil"/>
              <w:bottom w:val="single" w:sz="4" w:space="0" w:color="auto"/>
              <w:right w:val="single" w:sz="4" w:space="0" w:color="auto"/>
            </w:tcBorders>
            <w:shd w:val="clear" w:color="auto" w:fill="auto"/>
            <w:noWrap/>
            <w:vAlign w:val="center"/>
            <w:hideMark/>
          </w:tcPr>
          <w:p w14:paraId="37614C74"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14:paraId="2ABEBEBB"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14:paraId="72A7D56F"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сумма</w:t>
            </w:r>
          </w:p>
        </w:tc>
        <w:tc>
          <w:tcPr>
            <w:tcW w:w="709" w:type="dxa"/>
            <w:tcBorders>
              <w:top w:val="nil"/>
              <w:left w:val="nil"/>
              <w:bottom w:val="single" w:sz="4" w:space="0" w:color="auto"/>
              <w:right w:val="single" w:sz="4" w:space="0" w:color="auto"/>
            </w:tcBorders>
            <w:shd w:val="clear" w:color="auto" w:fill="auto"/>
            <w:noWrap/>
            <w:vAlign w:val="center"/>
            <w:hideMark/>
          </w:tcPr>
          <w:p w14:paraId="2BB40ACC" w14:textId="77777777" w:rsidR="00272907" w:rsidRPr="00522104" w:rsidRDefault="00272907"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w:t>
            </w:r>
          </w:p>
        </w:tc>
      </w:tr>
      <w:tr w:rsidR="00BF4C80" w:rsidRPr="00522104" w14:paraId="60F853BB" w14:textId="77777777" w:rsidTr="007B32A7">
        <w:trPr>
          <w:trHeight w:val="192"/>
          <w:jc w:val="center"/>
        </w:trPr>
        <w:tc>
          <w:tcPr>
            <w:tcW w:w="2410" w:type="dxa"/>
            <w:tcBorders>
              <w:top w:val="nil"/>
              <w:left w:val="single" w:sz="4" w:space="0" w:color="auto"/>
              <w:bottom w:val="single" w:sz="4" w:space="0" w:color="auto"/>
              <w:right w:val="single" w:sz="4" w:space="0" w:color="auto"/>
            </w:tcBorders>
            <w:shd w:val="clear" w:color="000000" w:fill="FFFFFF"/>
            <w:vAlign w:val="center"/>
            <w:hideMark/>
          </w:tcPr>
          <w:p w14:paraId="1A2D1C44"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w:t>
            </w:r>
          </w:p>
        </w:tc>
        <w:tc>
          <w:tcPr>
            <w:tcW w:w="851" w:type="dxa"/>
            <w:tcBorders>
              <w:top w:val="nil"/>
              <w:left w:val="nil"/>
              <w:bottom w:val="single" w:sz="4" w:space="0" w:color="auto"/>
              <w:right w:val="single" w:sz="4" w:space="0" w:color="auto"/>
            </w:tcBorders>
            <w:shd w:val="clear" w:color="auto" w:fill="auto"/>
            <w:vAlign w:val="center"/>
            <w:hideMark/>
          </w:tcPr>
          <w:p w14:paraId="4FA228E8"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w:t>
            </w:r>
          </w:p>
        </w:tc>
        <w:tc>
          <w:tcPr>
            <w:tcW w:w="850" w:type="dxa"/>
            <w:tcBorders>
              <w:top w:val="nil"/>
              <w:left w:val="nil"/>
              <w:bottom w:val="single" w:sz="4" w:space="0" w:color="auto"/>
              <w:right w:val="single" w:sz="4" w:space="0" w:color="auto"/>
            </w:tcBorders>
            <w:shd w:val="clear" w:color="auto" w:fill="auto"/>
            <w:vAlign w:val="center"/>
            <w:hideMark/>
          </w:tcPr>
          <w:p w14:paraId="1B081BB5"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14:paraId="211BB6E9"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14:paraId="3F44DF69"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w:t>
            </w:r>
          </w:p>
        </w:tc>
        <w:tc>
          <w:tcPr>
            <w:tcW w:w="708" w:type="dxa"/>
            <w:tcBorders>
              <w:top w:val="nil"/>
              <w:left w:val="nil"/>
              <w:bottom w:val="single" w:sz="4" w:space="0" w:color="auto"/>
              <w:right w:val="single" w:sz="4" w:space="0" w:color="auto"/>
            </w:tcBorders>
            <w:shd w:val="clear" w:color="auto" w:fill="auto"/>
            <w:vAlign w:val="center"/>
            <w:hideMark/>
          </w:tcPr>
          <w:p w14:paraId="503BA605"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w:t>
            </w:r>
          </w:p>
        </w:tc>
        <w:tc>
          <w:tcPr>
            <w:tcW w:w="709" w:type="dxa"/>
            <w:tcBorders>
              <w:top w:val="nil"/>
              <w:left w:val="nil"/>
              <w:bottom w:val="single" w:sz="4" w:space="0" w:color="auto"/>
              <w:right w:val="single" w:sz="4" w:space="0" w:color="auto"/>
            </w:tcBorders>
            <w:shd w:val="clear" w:color="auto" w:fill="auto"/>
            <w:vAlign w:val="center"/>
            <w:hideMark/>
          </w:tcPr>
          <w:p w14:paraId="1B5CF6B8" w14:textId="77777777" w:rsidR="00BF4C80" w:rsidRPr="00522104" w:rsidRDefault="00BF4C80" w:rsidP="007B32A7">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w:t>
            </w:r>
          </w:p>
        </w:tc>
        <w:tc>
          <w:tcPr>
            <w:tcW w:w="709" w:type="dxa"/>
            <w:tcBorders>
              <w:top w:val="nil"/>
              <w:left w:val="nil"/>
              <w:bottom w:val="single" w:sz="4" w:space="0" w:color="auto"/>
              <w:right w:val="single" w:sz="4" w:space="0" w:color="auto"/>
            </w:tcBorders>
            <w:shd w:val="clear" w:color="auto" w:fill="auto"/>
            <w:vAlign w:val="center"/>
            <w:hideMark/>
          </w:tcPr>
          <w:p w14:paraId="5871AFB5" w14:textId="77777777" w:rsidR="00BF4C80" w:rsidRPr="00522104" w:rsidRDefault="00BF4C80" w:rsidP="007B32A7">
            <w:pPr>
              <w:spacing w:after="0" w:line="240" w:lineRule="auto"/>
              <w:ind w:left="-151"/>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8=5-3</w:t>
            </w:r>
          </w:p>
        </w:tc>
        <w:tc>
          <w:tcPr>
            <w:tcW w:w="709" w:type="dxa"/>
            <w:tcBorders>
              <w:top w:val="nil"/>
              <w:left w:val="nil"/>
              <w:bottom w:val="single" w:sz="4" w:space="0" w:color="auto"/>
              <w:right w:val="single" w:sz="4" w:space="0" w:color="auto"/>
            </w:tcBorders>
            <w:shd w:val="clear" w:color="auto" w:fill="auto"/>
            <w:vAlign w:val="center"/>
            <w:hideMark/>
          </w:tcPr>
          <w:p w14:paraId="1C6E9BCE" w14:textId="77777777" w:rsidR="00BF4C80" w:rsidRPr="00522104" w:rsidRDefault="00BF4C80" w:rsidP="007B32A7">
            <w:pPr>
              <w:spacing w:after="0" w:line="240" w:lineRule="auto"/>
              <w:ind w:left="-151"/>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9=5/3</w:t>
            </w:r>
          </w:p>
        </w:tc>
        <w:tc>
          <w:tcPr>
            <w:tcW w:w="850" w:type="dxa"/>
            <w:tcBorders>
              <w:top w:val="nil"/>
              <w:left w:val="nil"/>
              <w:bottom w:val="single" w:sz="4" w:space="0" w:color="auto"/>
              <w:right w:val="single" w:sz="4" w:space="0" w:color="auto"/>
            </w:tcBorders>
            <w:shd w:val="clear" w:color="auto" w:fill="auto"/>
            <w:vAlign w:val="center"/>
            <w:hideMark/>
          </w:tcPr>
          <w:p w14:paraId="5A5BFAA3" w14:textId="77777777" w:rsidR="00BF4C80" w:rsidRPr="00522104" w:rsidRDefault="00BF4C80" w:rsidP="007B32A7">
            <w:pPr>
              <w:spacing w:after="0" w:line="240" w:lineRule="auto"/>
              <w:ind w:left="-151"/>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10=5-4</w:t>
            </w:r>
          </w:p>
        </w:tc>
        <w:tc>
          <w:tcPr>
            <w:tcW w:w="709" w:type="dxa"/>
            <w:tcBorders>
              <w:top w:val="nil"/>
              <w:left w:val="nil"/>
              <w:bottom w:val="single" w:sz="4" w:space="0" w:color="auto"/>
              <w:right w:val="single" w:sz="4" w:space="0" w:color="auto"/>
            </w:tcBorders>
            <w:shd w:val="clear" w:color="auto" w:fill="auto"/>
            <w:vAlign w:val="center"/>
            <w:hideMark/>
          </w:tcPr>
          <w:p w14:paraId="15AB2006" w14:textId="77777777" w:rsidR="00BF4C80" w:rsidRPr="00522104" w:rsidRDefault="00BF4C80" w:rsidP="007B32A7">
            <w:pPr>
              <w:spacing w:after="0" w:line="240" w:lineRule="auto"/>
              <w:ind w:left="-151"/>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11=5/4</w:t>
            </w:r>
          </w:p>
        </w:tc>
      </w:tr>
      <w:tr w:rsidR="00BF4C80" w:rsidRPr="00522104" w14:paraId="015EBDB4" w14:textId="77777777" w:rsidTr="007B32A7">
        <w:trPr>
          <w:trHeight w:val="765"/>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31B106B3" w14:textId="77777777" w:rsidR="00BF4C80" w:rsidRPr="00522104" w:rsidRDefault="00BF4C80" w:rsidP="007B32A7">
            <w:pPr>
              <w:spacing w:after="0" w:line="240" w:lineRule="auto"/>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ГП "Экономическое развитие и инновационная экономика Приморского края" на 2020-2027 годы</w:t>
            </w:r>
          </w:p>
        </w:tc>
        <w:tc>
          <w:tcPr>
            <w:tcW w:w="851" w:type="dxa"/>
            <w:tcBorders>
              <w:top w:val="nil"/>
              <w:left w:val="nil"/>
              <w:bottom w:val="single" w:sz="4" w:space="0" w:color="auto"/>
              <w:right w:val="single" w:sz="4" w:space="0" w:color="auto"/>
            </w:tcBorders>
            <w:shd w:val="clear" w:color="auto" w:fill="auto"/>
            <w:noWrap/>
            <w:vAlign w:val="bottom"/>
            <w:hideMark/>
          </w:tcPr>
          <w:p w14:paraId="6F5ACBBA" w14:textId="77777777" w:rsidR="00BF4C80" w:rsidRPr="00522104" w:rsidRDefault="00BF4C80" w:rsidP="007B32A7">
            <w:pPr>
              <w:spacing w:after="0" w:line="240" w:lineRule="auto"/>
              <w:jc w:val="right"/>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6 247,45</w:t>
            </w:r>
          </w:p>
        </w:tc>
        <w:tc>
          <w:tcPr>
            <w:tcW w:w="850" w:type="dxa"/>
            <w:tcBorders>
              <w:top w:val="nil"/>
              <w:left w:val="nil"/>
              <w:bottom w:val="single" w:sz="4" w:space="0" w:color="auto"/>
              <w:right w:val="single" w:sz="4" w:space="0" w:color="auto"/>
            </w:tcBorders>
            <w:shd w:val="clear" w:color="auto" w:fill="auto"/>
            <w:noWrap/>
            <w:vAlign w:val="bottom"/>
            <w:hideMark/>
          </w:tcPr>
          <w:p w14:paraId="0946A273" w14:textId="77777777" w:rsidR="00BF4C80" w:rsidRPr="00522104" w:rsidRDefault="00BF4C80" w:rsidP="007B32A7">
            <w:pPr>
              <w:spacing w:after="0" w:line="240" w:lineRule="auto"/>
              <w:jc w:val="right"/>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7 876,64</w:t>
            </w:r>
          </w:p>
        </w:tc>
        <w:tc>
          <w:tcPr>
            <w:tcW w:w="851" w:type="dxa"/>
            <w:tcBorders>
              <w:top w:val="nil"/>
              <w:left w:val="nil"/>
              <w:bottom w:val="single" w:sz="4" w:space="0" w:color="auto"/>
              <w:right w:val="single" w:sz="4" w:space="0" w:color="auto"/>
            </w:tcBorders>
            <w:shd w:val="clear" w:color="auto" w:fill="auto"/>
            <w:noWrap/>
            <w:vAlign w:val="bottom"/>
            <w:hideMark/>
          </w:tcPr>
          <w:p w14:paraId="75D2BD43" w14:textId="77777777" w:rsidR="00BF4C80" w:rsidRPr="00522104" w:rsidRDefault="00BF4C80" w:rsidP="007B32A7">
            <w:pPr>
              <w:spacing w:after="0" w:line="240" w:lineRule="auto"/>
              <w:jc w:val="right"/>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4 295,38</w:t>
            </w:r>
          </w:p>
        </w:tc>
        <w:tc>
          <w:tcPr>
            <w:tcW w:w="709" w:type="dxa"/>
            <w:tcBorders>
              <w:top w:val="nil"/>
              <w:left w:val="nil"/>
              <w:bottom w:val="single" w:sz="4" w:space="0" w:color="auto"/>
              <w:right w:val="single" w:sz="4" w:space="0" w:color="auto"/>
            </w:tcBorders>
            <w:shd w:val="clear" w:color="auto" w:fill="auto"/>
            <w:noWrap/>
            <w:vAlign w:val="bottom"/>
            <w:hideMark/>
          </w:tcPr>
          <w:p w14:paraId="30B3A8FB" w14:textId="77777777" w:rsidR="00BF4C80" w:rsidRPr="00522104" w:rsidRDefault="00BF4C80" w:rsidP="007B32A7">
            <w:pPr>
              <w:spacing w:after="0" w:line="240" w:lineRule="auto"/>
              <w:ind w:left="-109" w:right="-107"/>
              <w:jc w:val="center"/>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7 706,55</w:t>
            </w:r>
          </w:p>
        </w:tc>
        <w:tc>
          <w:tcPr>
            <w:tcW w:w="708" w:type="dxa"/>
            <w:tcBorders>
              <w:top w:val="nil"/>
              <w:left w:val="nil"/>
              <w:bottom w:val="single" w:sz="4" w:space="0" w:color="auto"/>
              <w:right w:val="single" w:sz="4" w:space="0" w:color="auto"/>
            </w:tcBorders>
            <w:shd w:val="clear" w:color="auto" w:fill="auto"/>
            <w:noWrap/>
            <w:vAlign w:val="bottom"/>
            <w:hideMark/>
          </w:tcPr>
          <w:p w14:paraId="77665F8D" w14:textId="77777777" w:rsidR="00BF4C80" w:rsidRPr="00522104" w:rsidRDefault="00BF4C80" w:rsidP="007B32A7">
            <w:pPr>
              <w:spacing w:after="0" w:line="240" w:lineRule="auto"/>
              <w:ind w:left="-112" w:right="-103"/>
              <w:jc w:val="center"/>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5 205,04</w:t>
            </w:r>
          </w:p>
        </w:tc>
        <w:tc>
          <w:tcPr>
            <w:tcW w:w="709" w:type="dxa"/>
            <w:tcBorders>
              <w:top w:val="nil"/>
              <w:left w:val="nil"/>
              <w:bottom w:val="single" w:sz="4" w:space="0" w:color="auto"/>
              <w:right w:val="single" w:sz="4" w:space="0" w:color="auto"/>
            </w:tcBorders>
            <w:shd w:val="clear" w:color="auto" w:fill="auto"/>
            <w:noWrap/>
            <w:vAlign w:val="bottom"/>
            <w:hideMark/>
          </w:tcPr>
          <w:p w14:paraId="2D6C912B" w14:textId="77777777" w:rsidR="00BF4C80" w:rsidRPr="00522104" w:rsidRDefault="00BF4C80" w:rsidP="007B32A7">
            <w:pPr>
              <w:spacing w:after="0" w:line="240" w:lineRule="auto"/>
              <w:ind w:left="-108" w:right="-109"/>
              <w:jc w:val="center"/>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4 849,73</w:t>
            </w:r>
          </w:p>
        </w:tc>
        <w:tc>
          <w:tcPr>
            <w:tcW w:w="709" w:type="dxa"/>
            <w:tcBorders>
              <w:top w:val="nil"/>
              <w:left w:val="nil"/>
              <w:bottom w:val="single" w:sz="4" w:space="0" w:color="auto"/>
              <w:right w:val="single" w:sz="4" w:space="0" w:color="auto"/>
            </w:tcBorders>
            <w:shd w:val="clear" w:color="auto" w:fill="auto"/>
            <w:noWrap/>
            <w:vAlign w:val="bottom"/>
            <w:hideMark/>
          </w:tcPr>
          <w:p w14:paraId="3909FCA8" w14:textId="77777777" w:rsidR="00BF4C80" w:rsidRPr="00522104" w:rsidRDefault="00BF4C80" w:rsidP="007B32A7">
            <w:pPr>
              <w:spacing w:after="0" w:line="240" w:lineRule="auto"/>
              <w:ind w:left="-151"/>
              <w:jc w:val="right"/>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-170,09</w:t>
            </w:r>
          </w:p>
        </w:tc>
        <w:tc>
          <w:tcPr>
            <w:tcW w:w="709" w:type="dxa"/>
            <w:tcBorders>
              <w:top w:val="nil"/>
              <w:left w:val="nil"/>
              <w:bottom w:val="single" w:sz="4" w:space="0" w:color="auto"/>
              <w:right w:val="single" w:sz="4" w:space="0" w:color="auto"/>
            </w:tcBorders>
            <w:shd w:val="clear" w:color="auto" w:fill="auto"/>
            <w:noWrap/>
            <w:vAlign w:val="bottom"/>
            <w:hideMark/>
          </w:tcPr>
          <w:p w14:paraId="4F2E914C" w14:textId="77777777" w:rsidR="00BF4C80" w:rsidRPr="00522104" w:rsidRDefault="00BF4C80" w:rsidP="007B32A7">
            <w:pPr>
              <w:spacing w:after="0" w:line="240" w:lineRule="auto"/>
              <w:ind w:left="-151"/>
              <w:jc w:val="right"/>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97,84</w:t>
            </w:r>
          </w:p>
        </w:tc>
        <w:tc>
          <w:tcPr>
            <w:tcW w:w="850" w:type="dxa"/>
            <w:tcBorders>
              <w:top w:val="nil"/>
              <w:left w:val="nil"/>
              <w:bottom w:val="single" w:sz="4" w:space="0" w:color="auto"/>
              <w:right w:val="single" w:sz="4" w:space="0" w:color="auto"/>
            </w:tcBorders>
            <w:shd w:val="clear" w:color="auto" w:fill="auto"/>
            <w:noWrap/>
            <w:vAlign w:val="bottom"/>
            <w:hideMark/>
          </w:tcPr>
          <w:p w14:paraId="4888E966" w14:textId="77777777" w:rsidR="00BF4C80" w:rsidRPr="00522104" w:rsidRDefault="00BF4C80" w:rsidP="007B32A7">
            <w:pPr>
              <w:spacing w:after="0" w:line="240" w:lineRule="auto"/>
              <w:ind w:left="-151"/>
              <w:jc w:val="right"/>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3 411,16</w:t>
            </w:r>
          </w:p>
        </w:tc>
        <w:tc>
          <w:tcPr>
            <w:tcW w:w="709" w:type="dxa"/>
            <w:tcBorders>
              <w:top w:val="nil"/>
              <w:left w:val="nil"/>
              <w:bottom w:val="single" w:sz="4" w:space="0" w:color="auto"/>
              <w:right w:val="single" w:sz="4" w:space="0" w:color="auto"/>
            </w:tcBorders>
            <w:shd w:val="clear" w:color="auto" w:fill="auto"/>
            <w:noWrap/>
            <w:vAlign w:val="bottom"/>
            <w:hideMark/>
          </w:tcPr>
          <w:p w14:paraId="476ED142" w14:textId="77777777" w:rsidR="00BF4C80" w:rsidRPr="00522104" w:rsidRDefault="00BF4C80" w:rsidP="007B32A7">
            <w:pPr>
              <w:spacing w:after="0" w:line="240" w:lineRule="auto"/>
              <w:ind w:left="-151"/>
              <w:jc w:val="right"/>
              <w:rPr>
                <w:rFonts w:ascii="Times New Roman" w:eastAsia="Times New Roman" w:hAnsi="Times New Roman" w:cs="Times New Roman"/>
                <w:b/>
                <w:bCs/>
                <w:color w:val="000000"/>
                <w:sz w:val="18"/>
                <w:szCs w:val="18"/>
                <w:lang w:eastAsia="ru-RU"/>
              </w:rPr>
            </w:pPr>
            <w:r w:rsidRPr="00522104">
              <w:rPr>
                <w:rFonts w:ascii="Times New Roman" w:eastAsia="Times New Roman" w:hAnsi="Times New Roman" w:cs="Times New Roman"/>
                <w:b/>
                <w:bCs/>
                <w:color w:val="000000"/>
                <w:sz w:val="18"/>
                <w:szCs w:val="18"/>
                <w:lang w:eastAsia="ru-RU"/>
              </w:rPr>
              <w:t>179,41</w:t>
            </w:r>
          </w:p>
        </w:tc>
      </w:tr>
      <w:tr w:rsidR="00BF4C80" w:rsidRPr="00522104" w14:paraId="4764D197" w14:textId="77777777" w:rsidTr="007B32A7">
        <w:trPr>
          <w:trHeight w:val="510"/>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AA04502" w14:textId="77777777" w:rsidR="00BF4C80" w:rsidRPr="00522104" w:rsidRDefault="00BF4C80" w:rsidP="007B32A7">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Подпрограмма "Улучшение инвестиционного климата в Приморском крае"</w:t>
            </w:r>
          </w:p>
        </w:tc>
        <w:tc>
          <w:tcPr>
            <w:tcW w:w="851" w:type="dxa"/>
            <w:tcBorders>
              <w:top w:val="nil"/>
              <w:left w:val="nil"/>
              <w:bottom w:val="single" w:sz="4" w:space="0" w:color="auto"/>
              <w:right w:val="single" w:sz="4" w:space="0" w:color="auto"/>
            </w:tcBorders>
            <w:shd w:val="clear" w:color="auto" w:fill="auto"/>
            <w:noWrap/>
            <w:vAlign w:val="bottom"/>
            <w:hideMark/>
          </w:tcPr>
          <w:p w14:paraId="6184346B"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556,12</w:t>
            </w:r>
          </w:p>
        </w:tc>
        <w:tc>
          <w:tcPr>
            <w:tcW w:w="850" w:type="dxa"/>
            <w:tcBorders>
              <w:top w:val="nil"/>
              <w:left w:val="nil"/>
              <w:bottom w:val="single" w:sz="4" w:space="0" w:color="auto"/>
              <w:right w:val="single" w:sz="4" w:space="0" w:color="auto"/>
            </w:tcBorders>
            <w:shd w:val="clear" w:color="auto" w:fill="auto"/>
            <w:noWrap/>
            <w:vAlign w:val="bottom"/>
            <w:hideMark/>
          </w:tcPr>
          <w:p w14:paraId="27DBD848"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1 121,36</w:t>
            </w:r>
          </w:p>
        </w:tc>
        <w:tc>
          <w:tcPr>
            <w:tcW w:w="851" w:type="dxa"/>
            <w:tcBorders>
              <w:top w:val="nil"/>
              <w:left w:val="nil"/>
              <w:bottom w:val="single" w:sz="4" w:space="0" w:color="auto"/>
              <w:right w:val="single" w:sz="4" w:space="0" w:color="auto"/>
            </w:tcBorders>
            <w:shd w:val="clear" w:color="auto" w:fill="auto"/>
            <w:noWrap/>
            <w:vAlign w:val="bottom"/>
            <w:hideMark/>
          </w:tcPr>
          <w:p w14:paraId="3805176D"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195,75</w:t>
            </w:r>
          </w:p>
        </w:tc>
        <w:tc>
          <w:tcPr>
            <w:tcW w:w="709" w:type="dxa"/>
            <w:tcBorders>
              <w:top w:val="nil"/>
              <w:left w:val="nil"/>
              <w:bottom w:val="single" w:sz="4" w:space="0" w:color="auto"/>
              <w:right w:val="single" w:sz="4" w:space="0" w:color="auto"/>
            </w:tcBorders>
            <w:shd w:val="clear" w:color="auto" w:fill="auto"/>
            <w:noWrap/>
            <w:vAlign w:val="bottom"/>
            <w:hideMark/>
          </w:tcPr>
          <w:p w14:paraId="36607F33" w14:textId="77777777" w:rsidR="00BF4C80" w:rsidRPr="00522104" w:rsidRDefault="00BF4C80" w:rsidP="007B32A7">
            <w:pPr>
              <w:spacing w:after="0" w:line="240" w:lineRule="auto"/>
              <w:ind w:left="-109" w:right="-107"/>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218,50</w:t>
            </w:r>
          </w:p>
        </w:tc>
        <w:tc>
          <w:tcPr>
            <w:tcW w:w="708" w:type="dxa"/>
            <w:tcBorders>
              <w:top w:val="nil"/>
              <w:left w:val="nil"/>
              <w:bottom w:val="single" w:sz="4" w:space="0" w:color="auto"/>
              <w:right w:val="single" w:sz="4" w:space="0" w:color="auto"/>
            </w:tcBorders>
            <w:shd w:val="clear" w:color="auto" w:fill="auto"/>
            <w:noWrap/>
            <w:vAlign w:val="bottom"/>
            <w:hideMark/>
          </w:tcPr>
          <w:p w14:paraId="2EFC8FC2" w14:textId="77777777" w:rsidR="00BF4C80" w:rsidRPr="00522104" w:rsidRDefault="00BF4C80" w:rsidP="007B32A7">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219,20</w:t>
            </w:r>
          </w:p>
        </w:tc>
        <w:tc>
          <w:tcPr>
            <w:tcW w:w="709" w:type="dxa"/>
            <w:tcBorders>
              <w:top w:val="nil"/>
              <w:left w:val="nil"/>
              <w:bottom w:val="single" w:sz="4" w:space="0" w:color="auto"/>
              <w:right w:val="single" w:sz="4" w:space="0" w:color="auto"/>
            </w:tcBorders>
            <w:shd w:val="clear" w:color="auto" w:fill="auto"/>
            <w:noWrap/>
            <w:vAlign w:val="bottom"/>
            <w:hideMark/>
          </w:tcPr>
          <w:p w14:paraId="2A23E337" w14:textId="77777777" w:rsidR="00BF4C80" w:rsidRPr="00522104" w:rsidRDefault="00BF4C80" w:rsidP="007B32A7">
            <w:pPr>
              <w:spacing w:after="0" w:line="240" w:lineRule="auto"/>
              <w:ind w:left="-108" w:right="-109"/>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223,16</w:t>
            </w:r>
          </w:p>
        </w:tc>
        <w:tc>
          <w:tcPr>
            <w:tcW w:w="709" w:type="dxa"/>
            <w:tcBorders>
              <w:top w:val="nil"/>
              <w:left w:val="nil"/>
              <w:bottom w:val="single" w:sz="4" w:space="0" w:color="auto"/>
              <w:right w:val="single" w:sz="4" w:space="0" w:color="auto"/>
            </w:tcBorders>
            <w:shd w:val="clear" w:color="auto" w:fill="auto"/>
            <w:noWrap/>
            <w:vAlign w:val="bottom"/>
            <w:hideMark/>
          </w:tcPr>
          <w:p w14:paraId="3DD07160"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-902,86</w:t>
            </w:r>
          </w:p>
        </w:tc>
        <w:tc>
          <w:tcPr>
            <w:tcW w:w="709" w:type="dxa"/>
            <w:tcBorders>
              <w:top w:val="nil"/>
              <w:left w:val="nil"/>
              <w:bottom w:val="single" w:sz="4" w:space="0" w:color="auto"/>
              <w:right w:val="single" w:sz="4" w:space="0" w:color="auto"/>
            </w:tcBorders>
            <w:shd w:val="clear" w:color="auto" w:fill="auto"/>
            <w:noWrap/>
            <w:vAlign w:val="bottom"/>
            <w:hideMark/>
          </w:tcPr>
          <w:p w14:paraId="009A32CA"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19,49</w:t>
            </w:r>
          </w:p>
        </w:tc>
        <w:tc>
          <w:tcPr>
            <w:tcW w:w="850" w:type="dxa"/>
            <w:tcBorders>
              <w:top w:val="nil"/>
              <w:left w:val="nil"/>
              <w:bottom w:val="single" w:sz="4" w:space="0" w:color="auto"/>
              <w:right w:val="single" w:sz="4" w:space="0" w:color="auto"/>
            </w:tcBorders>
            <w:shd w:val="clear" w:color="auto" w:fill="auto"/>
            <w:noWrap/>
            <w:vAlign w:val="bottom"/>
            <w:hideMark/>
          </w:tcPr>
          <w:p w14:paraId="369B2ABA"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22,75</w:t>
            </w:r>
          </w:p>
        </w:tc>
        <w:tc>
          <w:tcPr>
            <w:tcW w:w="709" w:type="dxa"/>
            <w:tcBorders>
              <w:top w:val="nil"/>
              <w:left w:val="nil"/>
              <w:bottom w:val="single" w:sz="4" w:space="0" w:color="auto"/>
              <w:right w:val="single" w:sz="4" w:space="0" w:color="auto"/>
            </w:tcBorders>
            <w:shd w:val="clear" w:color="auto" w:fill="auto"/>
            <w:noWrap/>
            <w:vAlign w:val="bottom"/>
            <w:hideMark/>
          </w:tcPr>
          <w:p w14:paraId="79C2F603"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111,62</w:t>
            </w:r>
          </w:p>
        </w:tc>
      </w:tr>
      <w:tr w:rsidR="00BF4C80" w:rsidRPr="00522104" w14:paraId="28C25946" w14:textId="77777777" w:rsidTr="007B32A7">
        <w:trPr>
          <w:trHeight w:val="765"/>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01C97B7B" w14:textId="77777777" w:rsidR="00BF4C80" w:rsidRPr="00522104" w:rsidRDefault="00BF4C80" w:rsidP="007B32A7">
            <w:pPr>
              <w:spacing w:after="0" w:line="240" w:lineRule="auto"/>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ФП "Адресная поддержка повышения производительности труда на предприятиях"</w:t>
            </w:r>
          </w:p>
        </w:tc>
        <w:tc>
          <w:tcPr>
            <w:tcW w:w="851" w:type="dxa"/>
            <w:tcBorders>
              <w:top w:val="nil"/>
              <w:left w:val="nil"/>
              <w:bottom w:val="single" w:sz="4" w:space="0" w:color="auto"/>
              <w:right w:val="single" w:sz="4" w:space="0" w:color="auto"/>
            </w:tcBorders>
            <w:shd w:val="clear" w:color="auto" w:fill="auto"/>
            <w:noWrap/>
            <w:vAlign w:val="bottom"/>
            <w:hideMark/>
          </w:tcPr>
          <w:p w14:paraId="2992C732"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47,52</w:t>
            </w:r>
          </w:p>
        </w:tc>
        <w:tc>
          <w:tcPr>
            <w:tcW w:w="850" w:type="dxa"/>
            <w:tcBorders>
              <w:top w:val="nil"/>
              <w:left w:val="nil"/>
              <w:bottom w:val="single" w:sz="4" w:space="0" w:color="auto"/>
              <w:right w:val="single" w:sz="4" w:space="0" w:color="auto"/>
            </w:tcBorders>
            <w:shd w:val="clear" w:color="auto" w:fill="auto"/>
            <w:noWrap/>
            <w:vAlign w:val="bottom"/>
            <w:hideMark/>
          </w:tcPr>
          <w:p w14:paraId="7EF094C4"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47,52</w:t>
            </w:r>
          </w:p>
        </w:tc>
        <w:tc>
          <w:tcPr>
            <w:tcW w:w="851" w:type="dxa"/>
            <w:tcBorders>
              <w:top w:val="nil"/>
              <w:left w:val="nil"/>
              <w:bottom w:val="single" w:sz="4" w:space="0" w:color="auto"/>
              <w:right w:val="single" w:sz="4" w:space="0" w:color="auto"/>
            </w:tcBorders>
            <w:shd w:val="clear" w:color="auto" w:fill="auto"/>
            <w:noWrap/>
            <w:vAlign w:val="bottom"/>
            <w:hideMark/>
          </w:tcPr>
          <w:p w14:paraId="6E881E9C"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66,36</w:t>
            </w:r>
          </w:p>
        </w:tc>
        <w:tc>
          <w:tcPr>
            <w:tcW w:w="709" w:type="dxa"/>
            <w:tcBorders>
              <w:top w:val="nil"/>
              <w:left w:val="nil"/>
              <w:bottom w:val="single" w:sz="4" w:space="0" w:color="auto"/>
              <w:right w:val="single" w:sz="4" w:space="0" w:color="auto"/>
            </w:tcBorders>
            <w:shd w:val="clear" w:color="auto" w:fill="auto"/>
            <w:noWrap/>
            <w:vAlign w:val="bottom"/>
            <w:hideMark/>
          </w:tcPr>
          <w:p w14:paraId="770B26CD" w14:textId="77777777" w:rsidR="00BF4C80" w:rsidRPr="00522104" w:rsidRDefault="00BF4C80" w:rsidP="007B32A7">
            <w:pPr>
              <w:spacing w:after="0" w:line="240" w:lineRule="auto"/>
              <w:ind w:left="-109" w:right="-107"/>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66,36</w:t>
            </w:r>
          </w:p>
        </w:tc>
        <w:tc>
          <w:tcPr>
            <w:tcW w:w="708" w:type="dxa"/>
            <w:tcBorders>
              <w:top w:val="nil"/>
              <w:left w:val="nil"/>
              <w:bottom w:val="single" w:sz="4" w:space="0" w:color="auto"/>
              <w:right w:val="single" w:sz="4" w:space="0" w:color="auto"/>
            </w:tcBorders>
            <w:shd w:val="clear" w:color="auto" w:fill="auto"/>
            <w:noWrap/>
            <w:vAlign w:val="bottom"/>
            <w:hideMark/>
          </w:tcPr>
          <w:p w14:paraId="01DC887A" w14:textId="77777777" w:rsidR="00BF4C80" w:rsidRPr="00522104" w:rsidRDefault="00BF4C80" w:rsidP="007B32A7">
            <w:pPr>
              <w:spacing w:after="0" w:line="240" w:lineRule="auto"/>
              <w:ind w:left="-108" w:right="-108"/>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69,44</w:t>
            </w:r>
          </w:p>
        </w:tc>
        <w:tc>
          <w:tcPr>
            <w:tcW w:w="709" w:type="dxa"/>
            <w:tcBorders>
              <w:top w:val="nil"/>
              <w:left w:val="nil"/>
              <w:bottom w:val="single" w:sz="4" w:space="0" w:color="auto"/>
              <w:right w:val="single" w:sz="4" w:space="0" w:color="auto"/>
            </w:tcBorders>
            <w:shd w:val="clear" w:color="auto" w:fill="auto"/>
            <w:noWrap/>
            <w:vAlign w:val="bottom"/>
            <w:hideMark/>
          </w:tcPr>
          <w:p w14:paraId="046C697F" w14:textId="77777777" w:rsidR="00BF4C80" w:rsidRPr="00522104" w:rsidRDefault="00BF4C80" w:rsidP="007B32A7">
            <w:pPr>
              <w:spacing w:after="0" w:line="240" w:lineRule="auto"/>
              <w:ind w:left="-108" w:right="-109"/>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69,39</w:t>
            </w:r>
          </w:p>
        </w:tc>
        <w:tc>
          <w:tcPr>
            <w:tcW w:w="709" w:type="dxa"/>
            <w:tcBorders>
              <w:top w:val="nil"/>
              <w:left w:val="nil"/>
              <w:bottom w:val="single" w:sz="4" w:space="0" w:color="auto"/>
              <w:right w:val="single" w:sz="4" w:space="0" w:color="auto"/>
            </w:tcBorders>
            <w:shd w:val="clear" w:color="auto" w:fill="auto"/>
            <w:noWrap/>
            <w:vAlign w:val="bottom"/>
            <w:hideMark/>
          </w:tcPr>
          <w:p w14:paraId="4E17D0F4"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18,84</w:t>
            </w:r>
          </w:p>
        </w:tc>
        <w:tc>
          <w:tcPr>
            <w:tcW w:w="709" w:type="dxa"/>
            <w:tcBorders>
              <w:top w:val="nil"/>
              <w:left w:val="nil"/>
              <w:bottom w:val="single" w:sz="4" w:space="0" w:color="auto"/>
              <w:right w:val="single" w:sz="4" w:space="0" w:color="auto"/>
            </w:tcBorders>
            <w:shd w:val="clear" w:color="auto" w:fill="auto"/>
            <w:noWrap/>
            <w:vAlign w:val="bottom"/>
            <w:hideMark/>
          </w:tcPr>
          <w:p w14:paraId="02B80ABC"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139,64</w:t>
            </w:r>
          </w:p>
        </w:tc>
        <w:tc>
          <w:tcPr>
            <w:tcW w:w="850" w:type="dxa"/>
            <w:tcBorders>
              <w:top w:val="nil"/>
              <w:left w:val="nil"/>
              <w:bottom w:val="single" w:sz="4" w:space="0" w:color="auto"/>
              <w:right w:val="single" w:sz="4" w:space="0" w:color="auto"/>
            </w:tcBorders>
            <w:shd w:val="clear" w:color="auto" w:fill="auto"/>
            <w:noWrap/>
            <w:vAlign w:val="bottom"/>
            <w:hideMark/>
          </w:tcPr>
          <w:p w14:paraId="69807A47"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0DFE78A"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100,00</w:t>
            </w:r>
          </w:p>
        </w:tc>
      </w:tr>
      <w:tr w:rsidR="00BF4C80" w:rsidRPr="00522104" w14:paraId="12D3A4C6" w14:textId="77777777" w:rsidTr="007B32A7">
        <w:trPr>
          <w:trHeight w:val="390"/>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42E7987D" w14:textId="77777777" w:rsidR="00BF4C80" w:rsidRPr="00522104" w:rsidRDefault="00BF4C80" w:rsidP="007B32A7">
            <w:pPr>
              <w:spacing w:after="0" w:line="240" w:lineRule="auto"/>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ФП "Промышленный экспорт"</w:t>
            </w:r>
          </w:p>
        </w:tc>
        <w:tc>
          <w:tcPr>
            <w:tcW w:w="851" w:type="dxa"/>
            <w:tcBorders>
              <w:top w:val="nil"/>
              <w:left w:val="nil"/>
              <w:bottom w:val="single" w:sz="4" w:space="0" w:color="auto"/>
              <w:right w:val="single" w:sz="4" w:space="0" w:color="auto"/>
            </w:tcBorders>
            <w:shd w:val="clear" w:color="auto" w:fill="auto"/>
            <w:noWrap/>
            <w:vAlign w:val="bottom"/>
            <w:hideMark/>
          </w:tcPr>
          <w:p w14:paraId="49D1D262"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380,00</w:t>
            </w:r>
          </w:p>
        </w:tc>
        <w:tc>
          <w:tcPr>
            <w:tcW w:w="850" w:type="dxa"/>
            <w:tcBorders>
              <w:top w:val="nil"/>
              <w:left w:val="nil"/>
              <w:bottom w:val="single" w:sz="4" w:space="0" w:color="auto"/>
              <w:right w:val="single" w:sz="4" w:space="0" w:color="auto"/>
            </w:tcBorders>
            <w:shd w:val="clear" w:color="auto" w:fill="auto"/>
            <w:noWrap/>
            <w:vAlign w:val="bottom"/>
            <w:hideMark/>
          </w:tcPr>
          <w:p w14:paraId="1180C907"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875,00</w:t>
            </w:r>
          </w:p>
        </w:tc>
        <w:tc>
          <w:tcPr>
            <w:tcW w:w="851" w:type="dxa"/>
            <w:tcBorders>
              <w:top w:val="nil"/>
              <w:left w:val="nil"/>
              <w:bottom w:val="single" w:sz="4" w:space="0" w:color="auto"/>
              <w:right w:val="single" w:sz="4" w:space="0" w:color="auto"/>
            </w:tcBorders>
            <w:shd w:val="clear" w:color="auto" w:fill="auto"/>
            <w:noWrap/>
            <w:vAlign w:val="bottom"/>
            <w:hideMark/>
          </w:tcPr>
          <w:p w14:paraId="14ACD9B4"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6287ECB" w14:textId="77777777" w:rsidR="00BF4C80" w:rsidRPr="00522104" w:rsidRDefault="00BF4C80" w:rsidP="007B32A7">
            <w:pPr>
              <w:spacing w:after="0" w:line="240" w:lineRule="auto"/>
              <w:ind w:left="-109" w:right="-107"/>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8" w:type="dxa"/>
            <w:tcBorders>
              <w:top w:val="nil"/>
              <w:left w:val="nil"/>
              <w:bottom w:val="single" w:sz="4" w:space="0" w:color="auto"/>
              <w:right w:val="single" w:sz="4" w:space="0" w:color="auto"/>
            </w:tcBorders>
            <w:shd w:val="clear" w:color="auto" w:fill="auto"/>
            <w:noWrap/>
            <w:vAlign w:val="bottom"/>
            <w:hideMark/>
          </w:tcPr>
          <w:p w14:paraId="1A9518A0" w14:textId="77777777" w:rsidR="00BF4C80" w:rsidRPr="00522104" w:rsidRDefault="00BF4C80" w:rsidP="007B32A7">
            <w:pPr>
              <w:spacing w:after="0" w:line="240" w:lineRule="auto"/>
              <w:ind w:left="-108" w:right="-108"/>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64DE74A9" w14:textId="77777777" w:rsidR="00BF4C80" w:rsidRPr="00522104" w:rsidRDefault="00BF4C80" w:rsidP="007B32A7">
            <w:pPr>
              <w:spacing w:after="0" w:line="240" w:lineRule="auto"/>
              <w:ind w:left="-108" w:right="-109"/>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52E5C9F"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-875,00</w:t>
            </w:r>
          </w:p>
        </w:tc>
        <w:tc>
          <w:tcPr>
            <w:tcW w:w="709" w:type="dxa"/>
            <w:tcBorders>
              <w:top w:val="nil"/>
              <w:left w:val="nil"/>
              <w:bottom w:val="single" w:sz="4" w:space="0" w:color="auto"/>
              <w:right w:val="single" w:sz="4" w:space="0" w:color="auto"/>
            </w:tcBorders>
            <w:shd w:val="clear" w:color="auto" w:fill="auto"/>
            <w:noWrap/>
            <w:vAlign w:val="bottom"/>
            <w:hideMark/>
          </w:tcPr>
          <w:p w14:paraId="1EA428D0"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1ABE805E"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194F5098"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w:t>
            </w:r>
          </w:p>
        </w:tc>
      </w:tr>
      <w:tr w:rsidR="00BF4C80" w:rsidRPr="00522104" w14:paraId="53FAA0AB" w14:textId="77777777" w:rsidTr="007B32A7">
        <w:trPr>
          <w:trHeight w:val="510"/>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C64F354" w14:textId="77777777" w:rsidR="00BF4C80" w:rsidRPr="00522104" w:rsidRDefault="00BF4C80" w:rsidP="007B32A7">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Подпрограмма "Развитие малого и среднего предпринимательства в Приморском крае"</w:t>
            </w:r>
          </w:p>
        </w:tc>
        <w:tc>
          <w:tcPr>
            <w:tcW w:w="851" w:type="dxa"/>
            <w:tcBorders>
              <w:top w:val="nil"/>
              <w:left w:val="nil"/>
              <w:bottom w:val="single" w:sz="4" w:space="0" w:color="auto"/>
              <w:right w:val="single" w:sz="4" w:space="0" w:color="auto"/>
            </w:tcBorders>
            <w:shd w:val="clear" w:color="auto" w:fill="auto"/>
            <w:noWrap/>
            <w:vAlign w:val="bottom"/>
            <w:hideMark/>
          </w:tcPr>
          <w:p w14:paraId="27D7CE96"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323,74</w:t>
            </w:r>
          </w:p>
        </w:tc>
        <w:tc>
          <w:tcPr>
            <w:tcW w:w="850" w:type="dxa"/>
            <w:tcBorders>
              <w:top w:val="nil"/>
              <w:left w:val="nil"/>
              <w:bottom w:val="single" w:sz="4" w:space="0" w:color="auto"/>
              <w:right w:val="single" w:sz="4" w:space="0" w:color="auto"/>
            </w:tcBorders>
            <w:shd w:val="clear" w:color="auto" w:fill="auto"/>
            <w:noWrap/>
            <w:vAlign w:val="bottom"/>
            <w:hideMark/>
          </w:tcPr>
          <w:p w14:paraId="1D1D07A4"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444,89</w:t>
            </w:r>
          </w:p>
        </w:tc>
        <w:tc>
          <w:tcPr>
            <w:tcW w:w="851" w:type="dxa"/>
            <w:tcBorders>
              <w:top w:val="nil"/>
              <w:left w:val="nil"/>
              <w:bottom w:val="single" w:sz="4" w:space="0" w:color="auto"/>
              <w:right w:val="single" w:sz="4" w:space="0" w:color="auto"/>
            </w:tcBorders>
            <w:shd w:val="clear" w:color="auto" w:fill="auto"/>
            <w:noWrap/>
            <w:vAlign w:val="bottom"/>
            <w:hideMark/>
          </w:tcPr>
          <w:p w14:paraId="7DBAEC6D"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250,63</w:t>
            </w:r>
          </w:p>
        </w:tc>
        <w:tc>
          <w:tcPr>
            <w:tcW w:w="709" w:type="dxa"/>
            <w:tcBorders>
              <w:top w:val="nil"/>
              <w:left w:val="nil"/>
              <w:bottom w:val="single" w:sz="4" w:space="0" w:color="auto"/>
              <w:right w:val="single" w:sz="4" w:space="0" w:color="auto"/>
            </w:tcBorders>
            <w:shd w:val="clear" w:color="auto" w:fill="auto"/>
            <w:noWrap/>
            <w:vAlign w:val="bottom"/>
            <w:hideMark/>
          </w:tcPr>
          <w:p w14:paraId="070D073D" w14:textId="77777777" w:rsidR="00BF4C80" w:rsidRPr="00522104" w:rsidRDefault="00BF4C80" w:rsidP="007B32A7">
            <w:pPr>
              <w:spacing w:after="0" w:line="240" w:lineRule="auto"/>
              <w:ind w:left="-109" w:right="-107"/>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880,86</w:t>
            </w:r>
          </w:p>
        </w:tc>
        <w:tc>
          <w:tcPr>
            <w:tcW w:w="708" w:type="dxa"/>
            <w:tcBorders>
              <w:top w:val="nil"/>
              <w:left w:val="nil"/>
              <w:bottom w:val="single" w:sz="4" w:space="0" w:color="auto"/>
              <w:right w:val="single" w:sz="4" w:space="0" w:color="auto"/>
            </w:tcBorders>
            <w:shd w:val="clear" w:color="auto" w:fill="auto"/>
            <w:noWrap/>
            <w:vAlign w:val="bottom"/>
            <w:hideMark/>
          </w:tcPr>
          <w:p w14:paraId="19DB6988" w14:textId="77777777" w:rsidR="00BF4C80" w:rsidRPr="00522104" w:rsidRDefault="00BF4C80" w:rsidP="007B32A7">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673,04</w:t>
            </w:r>
          </w:p>
        </w:tc>
        <w:tc>
          <w:tcPr>
            <w:tcW w:w="709" w:type="dxa"/>
            <w:tcBorders>
              <w:top w:val="nil"/>
              <w:left w:val="nil"/>
              <w:bottom w:val="single" w:sz="4" w:space="0" w:color="auto"/>
              <w:right w:val="single" w:sz="4" w:space="0" w:color="auto"/>
            </w:tcBorders>
            <w:shd w:val="clear" w:color="auto" w:fill="auto"/>
            <w:noWrap/>
            <w:vAlign w:val="bottom"/>
            <w:hideMark/>
          </w:tcPr>
          <w:p w14:paraId="116C4CFE" w14:textId="77777777" w:rsidR="00BF4C80" w:rsidRPr="00522104" w:rsidRDefault="00BF4C80" w:rsidP="007B32A7">
            <w:pPr>
              <w:spacing w:after="0" w:line="240" w:lineRule="auto"/>
              <w:ind w:left="-108" w:right="-109"/>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291,84</w:t>
            </w:r>
          </w:p>
        </w:tc>
        <w:tc>
          <w:tcPr>
            <w:tcW w:w="709" w:type="dxa"/>
            <w:tcBorders>
              <w:top w:val="nil"/>
              <w:left w:val="nil"/>
              <w:bottom w:val="single" w:sz="4" w:space="0" w:color="auto"/>
              <w:right w:val="single" w:sz="4" w:space="0" w:color="auto"/>
            </w:tcBorders>
            <w:shd w:val="clear" w:color="auto" w:fill="auto"/>
            <w:noWrap/>
            <w:vAlign w:val="bottom"/>
            <w:hideMark/>
          </w:tcPr>
          <w:p w14:paraId="02D263CD"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435,97</w:t>
            </w:r>
          </w:p>
        </w:tc>
        <w:tc>
          <w:tcPr>
            <w:tcW w:w="709" w:type="dxa"/>
            <w:tcBorders>
              <w:top w:val="nil"/>
              <w:left w:val="nil"/>
              <w:bottom w:val="single" w:sz="4" w:space="0" w:color="auto"/>
              <w:right w:val="single" w:sz="4" w:space="0" w:color="auto"/>
            </w:tcBorders>
            <w:shd w:val="clear" w:color="auto" w:fill="auto"/>
            <w:noWrap/>
            <w:vAlign w:val="bottom"/>
            <w:hideMark/>
          </w:tcPr>
          <w:p w14:paraId="5C4B5370"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198,00</w:t>
            </w:r>
          </w:p>
        </w:tc>
        <w:tc>
          <w:tcPr>
            <w:tcW w:w="850" w:type="dxa"/>
            <w:tcBorders>
              <w:top w:val="nil"/>
              <w:left w:val="nil"/>
              <w:bottom w:val="single" w:sz="4" w:space="0" w:color="auto"/>
              <w:right w:val="single" w:sz="4" w:space="0" w:color="auto"/>
            </w:tcBorders>
            <w:shd w:val="clear" w:color="auto" w:fill="auto"/>
            <w:noWrap/>
            <w:vAlign w:val="bottom"/>
            <w:hideMark/>
          </w:tcPr>
          <w:p w14:paraId="50CCD0B9"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630,22</w:t>
            </w:r>
          </w:p>
        </w:tc>
        <w:tc>
          <w:tcPr>
            <w:tcW w:w="709" w:type="dxa"/>
            <w:tcBorders>
              <w:top w:val="nil"/>
              <w:left w:val="nil"/>
              <w:bottom w:val="single" w:sz="4" w:space="0" w:color="auto"/>
              <w:right w:val="single" w:sz="4" w:space="0" w:color="auto"/>
            </w:tcBorders>
            <w:shd w:val="clear" w:color="auto" w:fill="auto"/>
            <w:noWrap/>
            <w:vAlign w:val="bottom"/>
            <w:hideMark/>
          </w:tcPr>
          <w:p w14:paraId="5C701C4D"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351,45</w:t>
            </w:r>
          </w:p>
        </w:tc>
      </w:tr>
      <w:tr w:rsidR="00BF4C80" w:rsidRPr="00522104" w14:paraId="7E33B081" w14:textId="77777777" w:rsidTr="007B32A7">
        <w:trPr>
          <w:trHeight w:val="300"/>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50F2B323" w14:textId="77777777" w:rsidR="00BF4C80" w:rsidRPr="00522104" w:rsidRDefault="00BF4C80" w:rsidP="007B32A7">
            <w:pPr>
              <w:spacing w:after="0" w:line="240" w:lineRule="auto"/>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ФП "Поддержка самозанятых"</w:t>
            </w:r>
          </w:p>
        </w:tc>
        <w:tc>
          <w:tcPr>
            <w:tcW w:w="851" w:type="dxa"/>
            <w:tcBorders>
              <w:top w:val="nil"/>
              <w:left w:val="nil"/>
              <w:bottom w:val="single" w:sz="4" w:space="0" w:color="auto"/>
              <w:right w:val="single" w:sz="4" w:space="0" w:color="auto"/>
            </w:tcBorders>
            <w:shd w:val="clear" w:color="auto" w:fill="auto"/>
            <w:noWrap/>
            <w:vAlign w:val="bottom"/>
            <w:hideMark/>
          </w:tcPr>
          <w:p w14:paraId="09CF1897"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8EF0848"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5,12</w:t>
            </w:r>
          </w:p>
        </w:tc>
        <w:tc>
          <w:tcPr>
            <w:tcW w:w="851" w:type="dxa"/>
            <w:tcBorders>
              <w:top w:val="nil"/>
              <w:left w:val="nil"/>
              <w:bottom w:val="single" w:sz="4" w:space="0" w:color="auto"/>
              <w:right w:val="single" w:sz="4" w:space="0" w:color="auto"/>
            </w:tcBorders>
            <w:shd w:val="clear" w:color="auto" w:fill="auto"/>
            <w:noWrap/>
            <w:vAlign w:val="bottom"/>
            <w:hideMark/>
          </w:tcPr>
          <w:p w14:paraId="351DB189"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8,46</w:t>
            </w:r>
          </w:p>
        </w:tc>
        <w:tc>
          <w:tcPr>
            <w:tcW w:w="709" w:type="dxa"/>
            <w:tcBorders>
              <w:top w:val="nil"/>
              <w:left w:val="nil"/>
              <w:bottom w:val="single" w:sz="4" w:space="0" w:color="auto"/>
              <w:right w:val="single" w:sz="4" w:space="0" w:color="auto"/>
            </w:tcBorders>
            <w:shd w:val="clear" w:color="auto" w:fill="auto"/>
            <w:noWrap/>
            <w:vAlign w:val="bottom"/>
            <w:hideMark/>
          </w:tcPr>
          <w:p w14:paraId="4F30A684" w14:textId="77777777" w:rsidR="00BF4C80" w:rsidRPr="00522104" w:rsidRDefault="00BF4C80" w:rsidP="007B32A7">
            <w:pPr>
              <w:spacing w:after="0" w:line="240" w:lineRule="auto"/>
              <w:ind w:left="-109" w:right="-107"/>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8,46</w:t>
            </w:r>
          </w:p>
        </w:tc>
        <w:tc>
          <w:tcPr>
            <w:tcW w:w="708" w:type="dxa"/>
            <w:tcBorders>
              <w:top w:val="nil"/>
              <w:left w:val="nil"/>
              <w:bottom w:val="single" w:sz="4" w:space="0" w:color="auto"/>
              <w:right w:val="single" w:sz="4" w:space="0" w:color="auto"/>
            </w:tcBorders>
            <w:shd w:val="clear" w:color="auto" w:fill="auto"/>
            <w:noWrap/>
            <w:vAlign w:val="bottom"/>
            <w:hideMark/>
          </w:tcPr>
          <w:p w14:paraId="1870F650" w14:textId="77777777" w:rsidR="00BF4C80" w:rsidRPr="00522104" w:rsidRDefault="00BF4C80" w:rsidP="007B32A7">
            <w:pPr>
              <w:spacing w:after="0" w:line="240" w:lineRule="auto"/>
              <w:ind w:left="-108" w:right="-108"/>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10,46</w:t>
            </w:r>
          </w:p>
        </w:tc>
        <w:tc>
          <w:tcPr>
            <w:tcW w:w="709" w:type="dxa"/>
            <w:tcBorders>
              <w:top w:val="nil"/>
              <w:left w:val="nil"/>
              <w:bottom w:val="single" w:sz="4" w:space="0" w:color="auto"/>
              <w:right w:val="single" w:sz="4" w:space="0" w:color="auto"/>
            </w:tcBorders>
            <w:shd w:val="clear" w:color="auto" w:fill="auto"/>
            <w:noWrap/>
            <w:vAlign w:val="bottom"/>
            <w:hideMark/>
          </w:tcPr>
          <w:p w14:paraId="40A6252B" w14:textId="77777777" w:rsidR="00BF4C80" w:rsidRPr="00522104" w:rsidRDefault="00BF4C80" w:rsidP="007B32A7">
            <w:pPr>
              <w:spacing w:after="0" w:line="240" w:lineRule="auto"/>
              <w:ind w:left="-108" w:right="-109"/>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11,61</w:t>
            </w:r>
          </w:p>
        </w:tc>
        <w:tc>
          <w:tcPr>
            <w:tcW w:w="709" w:type="dxa"/>
            <w:tcBorders>
              <w:top w:val="nil"/>
              <w:left w:val="nil"/>
              <w:bottom w:val="single" w:sz="4" w:space="0" w:color="auto"/>
              <w:right w:val="single" w:sz="4" w:space="0" w:color="auto"/>
            </w:tcBorders>
            <w:shd w:val="clear" w:color="auto" w:fill="auto"/>
            <w:noWrap/>
            <w:vAlign w:val="bottom"/>
            <w:hideMark/>
          </w:tcPr>
          <w:p w14:paraId="40ECAEC0"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8,46</w:t>
            </w:r>
          </w:p>
        </w:tc>
        <w:tc>
          <w:tcPr>
            <w:tcW w:w="709" w:type="dxa"/>
            <w:tcBorders>
              <w:top w:val="nil"/>
              <w:left w:val="nil"/>
              <w:bottom w:val="single" w:sz="4" w:space="0" w:color="auto"/>
              <w:right w:val="single" w:sz="4" w:space="0" w:color="auto"/>
            </w:tcBorders>
            <w:shd w:val="clear" w:color="auto" w:fill="auto"/>
            <w:noWrap/>
            <w:vAlign w:val="bottom"/>
            <w:hideMark/>
          </w:tcPr>
          <w:p w14:paraId="52F8C434"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2C8BF188"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8,46</w:t>
            </w:r>
          </w:p>
        </w:tc>
        <w:tc>
          <w:tcPr>
            <w:tcW w:w="709" w:type="dxa"/>
            <w:tcBorders>
              <w:top w:val="nil"/>
              <w:left w:val="nil"/>
              <w:bottom w:val="single" w:sz="4" w:space="0" w:color="auto"/>
              <w:right w:val="single" w:sz="4" w:space="0" w:color="auto"/>
            </w:tcBorders>
            <w:shd w:val="clear" w:color="auto" w:fill="auto"/>
            <w:noWrap/>
            <w:vAlign w:val="bottom"/>
            <w:hideMark/>
          </w:tcPr>
          <w:p w14:paraId="0FBDC4CD"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w:t>
            </w:r>
          </w:p>
        </w:tc>
      </w:tr>
      <w:tr w:rsidR="00BF4C80" w:rsidRPr="00522104" w14:paraId="27759A22" w14:textId="77777777" w:rsidTr="007B32A7">
        <w:trPr>
          <w:trHeight w:val="328"/>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2007425F" w14:textId="77777777" w:rsidR="00BF4C80" w:rsidRPr="00522104" w:rsidRDefault="00BF4C80" w:rsidP="007B32A7">
            <w:pPr>
              <w:spacing w:after="0" w:line="240" w:lineRule="auto"/>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ФП "Создание условий для легкого старта и комфортного ведения бизнеса"</w:t>
            </w:r>
          </w:p>
        </w:tc>
        <w:tc>
          <w:tcPr>
            <w:tcW w:w="851" w:type="dxa"/>
            <w:tcBorders>
              <w:top w:val="nil"/>
              <w:left w:val="nil"/>
              <w:bottom w:val="single" w:sz="4" w:space="0" w:color="auto"/>
              <w:right w:val="single" w:sz="4" w:space="0" w:color="auto"/>
            </w:tcBorders>
            <w:shd w:val="clear" w:color="auto" w:fill="auto"/>
            <w:noWrap/>
            <w:vAlign w:val="bottom"/>
            <w:hideMark/>
          </w:tcPr>
          <w:p w14:paraId="5189F394"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110,65</w:t>
            </w:r>
          </w:p>
        </w:tc>
        <w:tc>
          <w:tcPr>
            <w:tcW w:w="850" w:type="dxa"/>
            <w:tcBorders>
              <w:top w:val="nil"/>
              <w:left w:val="nil"/>
              <w:bottom w:val="single" w:sz="4" w:space="0" w:color="auto"/>
              <w:right w:val="single" w:sz="4" w:space="0" w:color="auto"/>
            </w:tcBorders>
            <w:shd w:val="clear" w:color="auto" w:fill="auto"/>
            <w:noWrap/>
            <w:vAlign w:val="bottom"/>
            <w:hideMark/>
          </w:tcPr>
          <w:p w14:paraId="34525008"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87,52</w:t>
            </w:r>
          </w:p>
        </w:tc>
        <w:tc>
          <w:tcPr>
            <w:tcW w:w="851" w:type="dxa"/>
            <w:tcBorders>
              <w:top w:val="nil"/>
              <w:left w:val="nil"/>
              <w:bottom w:val="single" w:sz="4" w:space="0" w:color="auto"/>
              <w:right w:val="single" w:sz="4" w:space="0" w:color="auto"/>
            </w:tcBorders>
            <w:shd w:val="clear" w:color="auto" w:fill="auto"/>
            <w:noWrap/>
            <w:vAlign w:val="bottom"/>
            <w:hideMark/>
          </w:tcPr>
          <w:p w14:paraId="54D4FF86"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88,97</w:t>
            </w:r>
          </w:p>
        </w:tc>
        <w:tc>
          <w:tcPr>
            <w:tcW w:w="709" w:type="dxa"/>
            <w:tcBorders>
              <w:top w:val="nil"/>
              <w:left w:val="nil"/>
              <w:bottom w:val="single" w:sz="4" w:space="0" w:color="auto"/>
              <w:right w:val="single" w:sz="4" w:space="0" w:color="auto"/>
            </w:tcBorders>
            <w:shd w:val="clear" w:color="auto" w:fill="auto"/>
            <w:noWrap/>
            <w:vAlign w:val="bottom"/>
            <w:hideMark/>
          </w:tcPr>
          <w:p w14:paraId="0A5B8F80" w14:textId="77777777" w:rsidR="00BF4C80" w:rsidRPr="00522104" w:rsidRDefault="00BF4C80" w:rsidP="007B32A7">
            <w:pPr>
              <w:spacing w:after="0" w:line="240" w:lineRule="auto"/>
              <w:ind w:left="-109" w:right="-107"/>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128,97</w:t>
            </w:r>
          </w:p>
        </w:tc>
        <w:tc>
          <w:tcPr>
            <w:tcW w:w="708" w:type="dxa"/>
            <w:tcBorders>
              <w:top w:val="nil"/>
              <w:left w:val="nil"/>
              <w:bottom w:val="single" w:sz="4" w:space="0" w:color="auto"/>
              <w:right w:val="single" w:sz="4" w:space="0" w:color="auto"/>
            </w:tcBorders>
            <w:shd w:val="clear" w:color="auto" w:fill="auto"/>
            <w:noWrap/>
            <w:vAlign w:val="bottom"/>
            <w:hideMark/>
          </w:tcPr>
          <w:p w14:paraId="759CD07A" w14:textId="77777777" w:rsidR="00BF4C80" w:rsidRPr="00522104" w:rsidRDefault="00BF4C80" w:rsidP="007B32A7">
            <w:pPr>
              <w:spacing w:after="0" w:line="240" w:lineRule="auto"/>
              <w:ind w:left="-108" w:right="-108"/>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114,79</w:t>
            </w:r>
          </w:p>
        </w:tc>
        <w:tc>
          <w:tcPr>
            <w:tcW w:w="709" w:type="dxa"/>
            <w:tcBorders>
              <w:top w:val="nil"/>
              <w:left w:val="nil"/>
              <w:bottom w:val="single" w:sz="4" w:space="0" w:color="auto"/>
              <w:right w:val="single" w:sz="4" w:space="0" w:color="auto"/>
            </w:tcBorders>
            <w:shd w:val="clear" w:color="auto" w:fill="auto"/>
            <w:noWrap/>
            <w:vAlign w:val="bottom"/>
            <w:hideMark/>
          </w:tcPr>
          <w:p w14:paraId="1BF6D441" w14:textId="77777777" w:rsidR="00BF4C80" w:rsidRPr="00522104" w:rsidRDefault="00BF4C80" w:rsidP="007B32A7">
            <w:pPr>
              <w:spacing w:after="0" w:line="240" w:lineRule="auto"/>
              <w:ind w:left="-108" w:right="-109"/>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137,25</w:t>
            </w:r>
          </w:p>
        </w:tc>
        <w:tc>
          <w:tcPr>
            <w:tcW w:w="709" w:type="dxa"/>
            <w:tcBorders>
              <w:top w:val="nil"/>
              <w:left w:val="nil"/>
              <w:bottom w:val="single" w:sz="4" w:space="0" w:color="auto"/>
              <w:right w:val="single" w:sz="4" w:space="0" w:color="auto"/>
            </w:tcBorders>
            <w:shd w:val="clear" w:color="auto" w:fill="auto"/>
            <w:noWrap/>
            <w:vAlign w:val="bottom"/>
            <w:hideMark/>
          </w:tcPr>
          <w:p w14:paraId="673985DF"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41,45</w:t>
            </w:r>
          </w:p>
        </w:tc>
        <w:tc>
          <w:tcPr>
            <w:tcW w:w="709" w:type="dxa"/>
            <w:tcBorders>
              <w:top w:val="nil"/>
              <w:left w:val="nil"/>
              <w:bottom w:val="single" w:sz="4" w:space="0" w:color="auto"/>
              <w:right w:val="single" w:sz="4" w:space="0" w:color="auto"/>
            </w:tcBorders>
            <w:shd w:val="clear" w:color="auto" w:fill="auto"/>
            <w:noWrap/>
            <w:vAlign w:val="bottom"/>
            <w:hideMark/>
          </w:tcPr>
          <w:p w14:paraId="24D1A80F"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147,36</w:t>
            </w:r>
          </w:p>
        </w:tc>
        <w:tc>
          <w:tcPr>
            <w:tcW w:w="850" w:type="dxa"/>
            <w:tcBorders>
              <w:top w:val="nil"/>
              <w:left w:val="nil"/>
              <w:bottom w:val="single" w:sz="4" w:space="0" w:color="auto"/>
              <w:right w:val="single" w:sz="4" w:space="0" w:color="auto"/>
            </w:tcBorders>
            <w:shd w:val="clear" w:color="auto" w:fill="auto"/>
            <w:noWrap/>
            <w:vAlign w:val="bottom"/>
            <w:hideMark/>
          </w:tcPr>
          <w:p w14:paraId="1A291E72"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40,00</w:t>
            </w:r>
          </w:p>
        </w:tc>
        <w:tc>
          <w:tcPr>
            <w:tcW w:w="709" w:type="dxa"/>
            <w:tcBorders>
              <w:top w:val="nil"/>
              <w:left w:val="nil"/>
              <w:bottom w:val="single" w:sz="4" w:space="0" w:color="auto"/>
              <w:right w:val="single" w:sz="4" w:space="0" w:color="auto"/>
            </w:tcBorders>
            <w:shd w:val="clear" w:color="auto" w:fill="auto"/>
            <w:noWrap/>
            <w:vAlign w:val="bottom"/>
            <w:hideMark/>
          </w:tcPr>
          <w:p w14:paraId="3681AA78"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144,96</w:t>
            </w:r>
          </w:p>
        </w:tc>
      </w:tr>
      <w:tr w:rsidR="00BF4C80" w:rsidRPr="00522104" w14:paraId="726B26EB" w14:textId="77777777" w:rsidTr="007B32A7">
        <w:trPr>
          <w:trHeight w:val="510"/>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65A6CA57" w14:textId="77777777" w:rsidR="00BF4C80" w:rsidRPr="00522104" w:rsidRDefault="00BF4C80" w:rsidP="007B32A7">
            <w:pPr>
              <w:spacing w:after="0" w:line="240" w:lineRule="auto"/>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ФП "Акселерация субъектов малого и среднего предпринимательства"</w:t>
            </w:r>
          </w:p>
        </w:tc>
        <w:tc>
          <w:tcPr>
            <w:tcW w:w="851" w:type="dxa"/>
            <w:tcBorders>
              <w:top w:val="nil"/>
              <w:left w:val="nil"/>
              <w:bottom w:val="single" w:sz="4" w:space="0" w:color="auto"/>
              <w:right w:val="single" w:sz="4" w:space="0" w:color="auto"/>
            </w:tcBorders>
            <w:shd w:val="clear" w:color="auto" w:fill="auto"/>
            <w:noWrap/>
            <w:vAlign w:val="bottom"/>
            <w:hideMark/>
          </w:tcPr>
          <w:p w14:paraId="4AAD4A17"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205,66</w:t>
            </w:r>
          </w:p>
        </w:tc>
        <w:tc>
          <w:tcPr>
            <w:tcW w:w="850" w:type="dxa"/>
            <w:tcBorders>
              <w:top w:val="nil"/>
              <w:left w:val="nil"/>
              <w:bottom w:val="single" w:sz="4" w:space="0" w:color="auto"/>
              <w:right w:val="single" w:sz="4" w:space="0" w:color="auto"/>
            </w:tcBorders>
            <w:shd w:val="clear" w:color="auto" w:fill="auto"/>
            <w:noWrap/>
            <w:vAlign w:val="bottom"/>
            <w:hideMark/>
          </w:tcPr>
          <w:p w14:paraId="75003011"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302,25</w:t>
            </w:r>
          </w:p>
        </w:tc>
        <w:tc>
          <w:tcPr>
            <w:tcW w:w="851" w:type="dxa"/>
            <w:tcBorders>
              <w:top w:val="nil"/>
              <w:left w:val="nil"/>
              <w:bottom w:val="single" w:sz="4" w:space="0" w:color="auto"/>
              <w:right w:val="single" w:sz="4" w:space="0" w:color="auto"/>
            </w:tcBorders>
            <w:shd w:val="clear" w:color="auto" w:fill="auto"/>
            <w:noWrap/>
            <w:vAlign w:val="bottom"/>
            <w:hideMark/>
          </w:tcPr>
          <w:p w14:paraId="2340E29B"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153,21</w:t>
            </w:r>
          </w:p>
        </w:tc>
        <w:tc>
          <w:tcPr>
            <w:tcW w:w="709" w:type="dxa"/>
            <w:tcBorders>
              <w:top w:val="nil"/>
              <w:left w:val="nil"/>
              <w:bottom w:val="single" w:sz="4" w:space="0" w:color="auto"/>
              <w:right w:val="single" w:sz="4" w:space="0" w:color="auto"/>
            </w:tcBorders>
            <w:shd w:val="clear" w:color="auto" w:fill="auto"/>
            <w:noWrap/>
            <w:vAlign w:val="bottom"/>
            <w:hideMark/>
          </w:tcPr>
          <w:p w14:paraId="0B42137A" w14:textId="77777777" w:rsidR="00BF4C80" w:rsidRPr="00522104" w:rsidRDefault="00BF4C80" w:rsidP="007B32A7">
            <w:pPr>
              <w:spacing w:after="0" w:line="240" w:lineRule="auto"/>
              <w:ind w:left="-109" w:right="-107"/>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743,43</w:t>
            </w:r>
          </w:p>
        </w:tc>
        <w:tc>
          <w:tcPr>
            <w:tcW w:w="708" w:type="dxa"/>
            <w:tcBorders>
              <w:top w:val="nil"/>
              <w:left w:val="nil"/>
              <w:bottom w:val="single" w:sz="4" w:space="0" w:color="auto"/>
              <w:right w:val="single" w:sz="4" w:space="0" w:color="auto"/>
            </w:tcBorders>
            <w:shd w:val="clear" w:color="auto" w:fill="auto"/>
            <w:noWrap/>
            <w:vAlign w:val="bottom"/>
            <w:hideMark/>
          </w:tcPr>
          <w:p w14:paraId="00F1E785" w14:textId="77777777" w:rsidR="00BF4C80" w:rsidRPr="00522104" w:rsidRDefault="00BF4C80" w:rsidP="007B32A7">
            <w:pPr>
              <w:spacing w:after="0" w:line="240" w:lineRule="auto"/>
              <w:ind w:left="-108" w:right="-108"/>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547,79</w:t>
            </w:r>
          </w:p>
        </w:tc>
        <w:tc>
          <w:tcPr>
            <w:tcW w:w="709" w:type="dxa"/>
            <w:tcBorders>
              <w:top w:val="nil"/>
              <w:left w:val="nil"/>
              <w:bottom w:val="single" w:sz="4" w:space="0" w:color="auto"/>
              <w:right w:val="single" w:sz="4" w:space="0" w:color="auto"/>
            </w:tcBorders>
            <w:shd w:val="clear" w:color="auto" w:fill="auto"/>
            <w:noWrap/>
            <w:vAlign w:val="bottom"/>
            <w:hideMark/>
          </w:tcPr>
          <w:p w14:paraId="5B4B95A2" w14:textId="77777777" w:rsidR="00BF4C80" w:rsidRPr="00522104" w:rsidRDefault="00BF4C80" w:rsidP="007B32A7">
            <w:pPr>
              <w:spacing w:after="0" w:line="240" w:lineRule="auto"/>
              <w:ind w:left="-108" w:right="-109"/>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142,98</w:t>
            </w:r>
          </w:p>
        </w:tc>
        <w:tc>
          <w:tcPr>
            <w:tcW w:w="709" w:type="dxa"/>
            <w:tcBorders>
              <w:top w:val="nil"/>
              <w:left w:val="nil"/>
              <w:bottom w:val="single" w:sz="4" w:space="0" w:color="auto"/>
              <w:right w:val="single" w:sz="4" w:space="0" w:color="auto"/>
            </w:tcBorders>
            <w:shd w:val="clear" w:color="auto" w:fill="auto"/>
            <w:noWrap/>
            <w:vAlign w:val="bottom"/>
            <w:hideMark/>
          </w:tcPr>
          <w:p w14:paraId="7DB84A28"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441,18</w:t>
            </w:r>
          </w:p>
        </w:tc>
        <w:tc>
          <w:tcPr>
            <w:tcW w:w="709" w:type="dxa"/>
            <w:tcBorders>
              <w:top w:val="nil"/>
              <w:left w:val="nil"/>
              <w:bottom w:val="single" w:sz="4" w:space="0" w:color="auto"/>
              <w:right w:val="single" w:sz="4" w:space="0" w:color="auto"/>
            </w:tcBorders>
            <w:shd w:val="clear" w:color="auto" w:fill="auto"/>
            <w:noWrap/>
            <w:vAlign w:val="bottom"/>
            <w:hideMark/>
          </w:tcPr>
          <w:p w14:paraId="2201D1D3"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245,97</w:t>
            </w:r>
          </w:p>
        </w:tc>
        <w:tc>
          <w:tcPr>
            <w:tcW w:w="850" w:type="dxa"/>
            <w:tcBorders>
              <w:top w:val="nil"/>
              <w:left w:val="nil"/>
              <w:bottom w:val="single" w:sz="4" w:space="0" w:color="auto"/>
              <w:right w:val="single" w:sz="4" w:space="0" w:color="auto"/>
            </w:tcBorders>
            <w:shd w:val="clear" w:color="auto" w:fill="auto"/>
            <w:noWrap/>
            <w:vAlign w:val="bottom"/>
            <w:hideMark/>
          </w:tcPr>
          <w:p w14:paraId="3ADB57B5"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590,22</w:t>
            </w:r>
          </w:p>
        </w:tc>
        <w:tc>
          <w:tcPr>
            <w:tcW w:w="709" w:type="dxa"/>
            <w:tcBorders>
              <w:top w:val="nil"/>
              <w:left w:val="nil"/>
              <w:bottom w:val="single" w:sz="4" w:space="0" w:color="auto"/>
              <w:right w:val="single" w:sz="4" w:space="0" w:color="auto"/>
            </w:tcBorders>
            <w:shd w:val="clear" w:color="auto" w:fill="auto"/>
            <w:noWrap/>
            <w:vAlign w:val="bottom"/>
            <w:hideMark/>
          </w:tcPr>
          <w:p w14:paraId="0BC07C3F"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485,25</w:t>
            </w:r>
          </w:p>
        </w:tc>
      </w:tr>
      <w:tr w:rsidR="00BF4C80" w:rsidRPr="00522104" w14:paraId="31CFED1B" w14:textId="77777777" w:rsidTr="007B32A7">
        <w:trPr>
          <w:trHeight w:val="375"/>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3C101C1" w14:textId="77777777" w:rsidR="00BF4C80" w:rsidRPr="00522104" w:rsidRDefault="00BF4C80" w:rsidP="007B32A7">
            <w:pPr>
              <w:spacing w:after="0" w:line="240" w:lineRule="auto"/>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ФП "Популяризация предпринимательства"</w:t>
            </w:r>
          </w:p>
        </w:tc>
        <w:tc>
          <w:tcPr>
            <w:tcW w:w="851" w:type="dxa"/>
            <w:tcBorders>
              <w:top w:val="nil"/>
              <w:left w:val="nil"/>
              <w:bottom w:val="single" w:sz="4" w:space="0" w:color="auto"/>
              <w:right w:val="single" w:sz="4" w:space="0" w:color="auto"/>
            </w:tcBorders>
            <w:shd w:val="clear" w:color="auto" w:fill="auto"/>
            <w:noWrap/>
            <w:vAlign w:val="bottom"/>
            <w:hideMark/>
          </w:tcPr>
          <w:p w14:paraId="6E6D10AB"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7,43</w:t>
            </w:r>
          </w:p>
        </w:tc>
        <w:tc>
          <w:tcPr>
            <w:tcW w:w="850" w:type="dxa"/>
            <w:tcBorders>
              <w:top w:val="nil"/>
              <w:left w:val="nil"/>
              <w:bottom w:val="single" w:sz="4" w:space="0" w:color="auto"/>
              <w:right w:val="single" w:sz="4" w:space="0" w:color="auto"/>
            </w:tcBorders>
            <w:shd w:val="clear" w:color="auto" w:fill="auto"/>
            <w:noWrap/>
            <w:vAlign w:val="bottom"/>
            <w:hideMark/>
          </w:tcPr>
          <w:p w14:paraId="69255BDE"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9423547" w14:textId="77777777" w:rsidR="00BF4C80" w:rsidRPr="00522104" w:rsidRDefault="00BF4C80" w:rsidP="007B32A7">
            <w:pPr>
              <w:spacing w:after="0" w:line="240" w:lineRule="auto"/>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5C02D8A1" w14:textId="77777777" w:rsidR="00BF4C80" w:rsidRPr="00522104" w:rsidRDefault="00BF4C80" w:rsidP="007B32A7">
            <w:pPr>
              <w:spacing w:after="0" w:line="240" w:lineRule="auto"/>
              <w:ind w:left="-109" w:right="-107"/>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8" w:type="dxa"/>
            <w:tcBorders>
              <w:top w:val="nil"/>
              <w:left w:val="nil"/>
              <w:bottom w:val="single" w:sz="4" w:space="0" w:color="auto"/>
              <w:right w:val="single" w:sz="4" w:space="0" w:color="auto"/>
            </w:tcBorders>
            <w:shd w:val="clear" w:color="auto" w:fill="auto"/>
            <w:noWrap/>
            <w:vAlign w:val="bottom"/>
            <w:hideMark/>
          </w:tcPr>
          <w:p w14:paraId="743D91A5" w14:textId="77777777" w:rsidR="00BF4C80" w:rsidRPr="00522104" w:rsidRDefault="00BF4C80" w:rsidP="007B32A7">
            <w:pPr>
              <w:spacing w:after="0" w:line="240" w:lineRule="auto"/>
              <w:ind w:left="-108" w:right="-108"/>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79095C20" w14:textId="77777777" w:rsidR="00BF4C80" w:rsidRPr="00522104" w:rsidRDefault="00BF4C80" w:rsidP="007B32A7">
            <w:pPr>
              <w:spacing w:after="0" w:line="240" w:lineRule="auto"/>
              <w:ind w:left="-108" w:right="-109"/>
              <w:jc w:val="center"/>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77203B1F"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2A890C13"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66A0F976"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88F056C" w14:textId="77777777" w:rsidR="00BF4C80" w:rsidRPr="00522104" w:rsidRDefault="00BF4C80" w:rsidP="007B32A7">
            <w:pPr>
              <w:spacing w:after="0" w:line="240" w:lineRule="auto"/>
              <w:ind w:left="-151"/>
              <w:jc w:val="right"/>
              <w:rPr>
                <w:rFonts w:ascii="Times New Roman" w:eastAsia="Times New Roman" w:hAnsi="Times New Roman" w:cs="Times New Roman"/>
                <w:i/>
                <w:iCs/>
                <w:color w:val="000000"/>
                <w:sz w:val="18"/>
                <w:szCs w:val="18"/>
                <w:lang w:eastAsia="ru-RU"/>
              </w:rPr>
            </w:pPr>
            <w:r w:rsidRPr="00522104">
              <w:rPr>
                <w:rFonts w:ascii="Times New Roman" w:eastAsia="Times New Roman" w:hAnsi="Times New Roman" w:cs="Times New Roman"/>
                <w:i/>
                <w:iCs/>
                <w:color w:val="000000"/>
                <w:sz w:val="18"/>
                <w:szCs w:val="18"/>
                <w:lang w:eastAsia="ru-RU"/>
              </w:rPr>
              <w:t>-</w:t>
            </w:r>
          </w:p>
        </w:tc>
      </w:tr>
      <w:tr w:rsidR="00BF4C80" w:rsidRPr="00522104" w14:paraId="4AAAF6D1" w14:textId="77777777" w:rsidTr="007B32A7">
        <w:trPr>
          <w:trHeight w:val="410"/>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0C7FBBB" w14:textId="77777777" w:rsidR="00BF4C80" w:rsidRPr="00522104" w:rsidRDefault="00BF4C80" w:rsidP="007B32A7">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tc>
        <w:tc>
          <w:tcPr>
            <w:tcW w:w="851" w:type="dxa"/>
            <w:tcBorders>
              <w:top w:val="nil"/>
              <w:left w:val="nil"/>
              <w:bottom w:val="single" w:sz="4" w:space="0" w:color="auto"/>
              <w:right w:val="single" w:sz="4" w:space="0" w:color="auto"/>
            </w:tcBorders>
            <w:shd w:val="clear" w:color="auto" w:fill="auto"/>
            <w:noWrap/>
            <w:vAlign w:val="bottom"/>
            <w:hideMark/>
          </w:tcPr>
          <w:p w14:paraId="6310DD05"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3 931,87</w:t>
            </w:r>
          </w:p>
        </w:tc>
        <w:tc>
          <w:tcPr>
            <w:tcW w:w="850" w:type="dxa"/>
            <w:tcBorders>
              <w:top w:val="nil"/>
              <w:left w:val="nil"/>
              <w:bottom w:val="single" w:sz="4" w:space="0" w:color="auto"/>
              <w:right w:val="single" w:sz="4" w:space="0" w:color="auto"/>
            </w:tcBorders>
            <w:shd w:val="clear" w:color="auto" w:fill="auto"/>
            <w:noWrap/>
            <w:vAlign w:val="bottom"/>
            <w:hideMark/>
          </w:tcPr>
          <w:p w14:paraId="18FBE97A"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4 790,27</w:t>
            </w:r>
          </w:p>
        </w:tc>
        <w:tc>
          <w:tcPr>
            <w:tcW w:w="851" w:type="dxa"/>
            <w:tcBorders>
              <w:top w:val="nil"/>
              <w:left w:val="nil"/>
              <w:bottom w:val="single" w:sz="4" w:space="0" w:color="auto"/>
              <w:right w:val="single" w:sz="4" w:space="0" w:color="auto"/>
            </w:tcBorders>
            <w:shd w:val="clear" w:color="auto" w:fill="auto"/>
            <w:noWrap/>
            <w:vAlign w:val="bottom"/>
            <w:hideMark/>
          </w:tcPr>
          <w:p w14:paraId="1338ACF0"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2 746,63</w:t>
            </w:r>
          </w:p>
        </w:tc>
        <w:tc>
          <w:tcPr>
            <w:tcW w:w="709" w:type="dxa"/>
            <w:tcBorders>
              <w:top w:val="nil"/>
              <w:left w:val="nil"/>
              <w:bottom w:val="single" w:sz="4" w:space="0" w:color="auto"/>
              <w:right w:val="single" w:sz="4" w:space="0" w:color="auto"/>
            </w:tcBorders>
            <w:shd w:val="clear" w:color="auto" w:fill="auto"/>
            <w:noWrap/>
            <w:vAlign w:val="bottom"/>
            <w:hideMark/>
          </w:tcPr>
          <w:p w14:paraId="004F2ED6" w14:textId="77777777" w:rsidR="00BF4C80" w:rsidRPr="00522104" w:rsidRDefault="00BF4C80" w:rsidP="007B32A7">
            <w:pPr>
              <w:spacing w:after="0" w:line="240" w:lineRule="auto"/>
              <w:ind w:left="-109" w:right="-107"/>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4 810,80</w:t>
            </w:r>
          </w:p>
        </w:tc>
        <w:tc>
          <w:tcPr>
            <w:tcW w:w="708" w:type="dxa"/>
            <w:tcBorders>
              <w:top w:val="nil"/>
              <w:left w:val="nil"/>
              <w:bottom w:val="single" w:sz="4" w:space="0" w:color="auto"/>
              <w:right w:val="single" w:sz="4" w:space="0" w:color="auto"/>
            </w:tcBorders>
            <w:shd w:val="clear" w:color="auto" w:fill="auto"/>
            <w:noWrap/>
            <w:vAlign w:val="bottom"/>
            <w:hideMark/>
          </w:tcPr>
          <w:p w14:paraId="78C46B54" w14:textId="77777777" w:rsidR="00BF4C80" w:rsidRPr="00522104" w:rsidRDefault="00BF4C80" w:rsidP="007B32A7">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3 085,10</w:t>
            </w:r>
          </w:p>
        </w:tc>
        <w:tc>
          <w:tcPr>
            <w:tcW w:w="709" w:type="dxa"/>
            <w:tcBorders>
              <w:top w:val="nil"/>
              <w:left w:val="nil"/>
              <w:bottom w:val="single" w:sz="4" w:space="0" w:color="auto"/>
              <w:right w:val="single" w:sz="4" w:space="0" w:color="auto"/>
            </w:tcBorders>
            <w:shd w:val="clear" w:color="auto" w:fill="auto"/>
            <w:noWrap/>
            <w:vAlign w:val="bottom"/>
            <w:hideMark/>
          </w:tcPr>
          <w:p w14:paraId="22568070" w14:textId="77777777" w:rsidR="00BF4C80" w:rsidRPr="00522104" w:rsidRDefault="00BF4C80" w:rsidP="007B32A7">
            <w:pPr>
              <w:spacing w:after="0" w:line="240" w:lineRule="auto"/>
              <w:ind w:left="-108" w:right="-109"/>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3 069,33</w:t>
            </w:r>
          </w:p>
        </w:tc>
        <w:tc>
          <w:tcPr>
            <w:tcW w:w="709" w:type="dxa"/>
            <w:tcBorders>
              <w:top w:val="nil"/>
              <w:left w:val="nil"/>
              <w:bottom w:val="single" w:sz="4" w:space="0" w:color="auto"/>
              <w:right w:val="single" w:sz="4" w:space="0" w:color="auto"/>
            </w:tcBorders>
            <w:shd w:val="clear" w:color="auto" w:fill="auto"/>
            <w:noWrap/>
            <w:vAlign w:val="bottom"/>
            <w:hideMark/>
          </w:tcPr>
          <w:p w14:paraId="6B8A0168"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20,53</w:t>
            </w:r>
          </w:p>
        </w:tc>
        <w:tc>
          <w:tcPr>
            <w:tcW w:w="709" w:type="dxa"/>
            <w:tcBorders>
              <w:top w:val="nil"/>
              <w:left w:val="nil"/>
              <w:bottom w:val="single" w:sz="4" w:space="0" w:color="auto"/>
              <w:right w:val="single" w:sz="4" w:space="0" w:color="auto"/>
            </w:tcBorders>
            <w:shd w:val="clear" w:color="auto" w:fill="auto"/>
            <w:noWrap/>
            <w:vAlign w:val="bottom"/>
            <w:hideMark/>
          </w:tcPr>
          <w:p w14:paraId="2864DFE1"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100,43</w:t>
            </w:r>
          </w:p>
        </w:tc>
        <w:tc>
          <w:tcPr>
            <w:tcW w:w="850" w:type="dxa"/>
            <w:tcBorders>
              <w:top w:val="nil"/>
              <w:left w:val="nil"/>
              <w:bottom w:val="single" w:sz="4" w:space="0" w:color="auto"/>
              <w:right w:val="single" w:sz="4" w:space="0" w:color="auto"/>
            </w:tcBorders>
            <w:shd w:val="clear" w:color="auto" w:fill="auto"/>
            <w:noWrap/>
            <w:vAlign w:val="bottom"/>
            <w:hideMark/>
          </w:tcPr>
          <w:p w14:paraId="40ED8032"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2 064,17</w:t>
            </w:r>
          </w:p>
        </w:tc>
        <w:tc>
          <w:tcPr>
            <w:tcW w:w="709" w:type="dxa"/>
            <w:tcBorders>
              <w:top w:val="nil"/>
              <w:left w:val="nil"/>
              <w:bottom w:val="single" w:sz="4" w:space="0" w:color="auto"/>
              <w:right w:val="single" w:sz="4" w:space="0" w:color="auto"/>
            </w:tcBorders>
            <w:shd w:val="clear" w:color="auto" w:fill="auto"/>
            <w:noWrap/>
            <w:vAlign w:val="bottom"/>
            <w:hideMark/>
          </w:tcPr>
          <w:p w14:paraId="725BE69D"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175,15</w:t>
            </w:r>
          </w:p>
        </w:tc>
      </w:tr>
      <w:tr w:rsidR="00BF4C80" w:rsidRPr="00522104" w14:paraId="43D585A9" w14:textId="77777777" w:rsidTr="007B32A7">
        <w:trPr>
          <w:trHeight w:val="268"/>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1BCB8B6A" w14:textId="77777777" w:rsidR="00BF4C80" w:rsidRPr="00522104" w:rsidRDefault="00BF4C80" w:rsidP="007B32A7">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Подпрограмма "Управление имуществом, находящимся в собственности и в ведении Приморского края"</w:t>
            </w:r>
          </w:p>
        </w:tc>
        <w:tc>
          <w:tcPr>
            <w:tcW w:w="851" w:type="dxa"/>
            <w:tcBorders>
              <w:top w:val="nil"/>
              <w:left w:val="nil"/>
              <w:bottom w:val="single" w:sz="4" w:space="0" w:color="auto"/>
              <w:right w:val="single" w:sz="4" w:space="0" w:color="auto"/>
            </w:tcBorders>
            <w:shd w:val="clear" w:color="auto" w:fill="auto"/>
            <w:noWrap/>
            <w:vAlign w:val="bottom"/>
            <w:hideMark/>
          </w:tcPr>
          <w:p w14:paraId="6AB03307"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1 435,73</w:t>
            </w:r>
          </w:p>
        </w:tc>
        <w:tc>
          <w:tcPr>
            <w:tcW w:w="850" w:type="dxa"/>
            <w:tcBorders>
              <w:top w:val="nil"/>
              <w:left w:val="nil"/>
              <w:bottom w:val="single" w:sz="4" w:space="0" w:color="auto"/>
              <w:right w:val="single" w:sz="4" w:space="0" w:color="auto"/>
            </w:tcBorders>
            <w:shd w:val="clear" w:color="auto" w:fill="auto"/>
            <w:noWrap/>
            <w:vAlign w:val="bottom"/>
            <w:hideMark/>
          </w:tcPr>
          <w:p w14:paraId="04A2855D"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1 520,13</w:t>
            </w:r>
          </w:p>
        </w:tc>
        <w:tc>
          <w:tcPr>
            <w:tcW w:w="851" w:type="dxa"/>
            <w:tcBorders>
              <w:top w:val="nil"/>
              <w:left w:val="nil"/>
              <w:bottom w:val="single" w:sz="4" w:space="0" w:color="auto"/>
              <w:right w:val="single" w:sz="4" w:space="0" w:color="auto"/>
            </w:tcBorders>
            <w:shd w:val="clear" w:color="auto" w:fill="auto"/>
            <w:noWrap/>
            <w:vAlign w:val="bottom"/>
            <w:hideMark/>
          </w:tcPr>
          <w:p w14:paraId="69E2F0E3"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1 102,37</w:t>
            </w:r>
          </w:p>
        </w:tc>
        <w:tc>
          <w:tcPr>
            <w:tcW w:w="709" w:type="dxa"/>
            <w:tcBorders>
              <w:top w:val="nil"/>
              <w:left w:val="nil"/>
              <w:bottom w:val="single" w:sz="4" w:space="0" w:color="auto"/>
              <w:right w:val="single" w:sz="4" w:space="0" w:color="auto"/>
            </w:tcBorders>
            <w:shd w:val="clear" w:color="auto" w:fill="auto"/>
            <w:noWrap/>
            <w:vAlign w:val="bottom"/>
            <w:hideMark/>
          </w:tcPr>
          <w:p w14:paraId="424025D5" w14:textId="77777777" w:rsidR="00BF4C80" w:rsidRPr="00522104" w:rsidRDefault="00BF4C80" w:rsidP="007B32A7">
            <w:pPr>
              <w:spacing w:after="0" w:line="240" w:lineRule="auto"/>
              <w:ind w:left="-109" w:right="-107"/>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1 496,39</w:t>
            </w:r>
          </w:p>
        </w:tc>
        <w:tc>
          <w:tcPr>
            <w:tcW w:w="708" w:type="dxa"/>
            <w:tcBorders>
              <w:top w:val="nil"/>
              <w:left w:val="nil"/>
              <w:bottom w:val="single" w:sz="4" w:space="0" w:color="auto"/>
              <w:right w:val="single" w:sz="4" w:space="0" w:color="auto"/>
            </w:tcBorders>
            <w:shd w:val="clear" w:color="auto" w:fill="auto"/>
            <w:noWrap/>
            <w:vAlign w:val="bottom"/>
            <w:hideMark/>
          </w:tcPr>
          <w:p w14:paraId="31F82F67" w14:textId="77777777" w:rsidR="00BF4C80" w:rsidRPr="00522104" w:rsidRDefault="00BF4C80" w:rsidP="007B32A7">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1 227,70</w:t>
            </w:r>
          </w:p>
        </w:tc>
        <w:tc>
          <w:tcPr>
            <w:tcW w:w="709" w:type="dxa"/>
            <w:tcBorders>
              <w:top w:val="nil"/>
              <w:left w:val="nil"/>
              <w:bottom w:val="single" w:sz="4" w:space="0" w:color="auto"/>
              <w:right w:val="single" w:sz="4" w:space="0" w:color="auto"/>
            </w:tcBorders>
            <w:shd w:val="clear" w:color="auto" w:fill="auto"/>
            <w:noWrap/>
            <w:vAlign w:val="bottom"/>
            <w:hideMark/>
          </w:tcPr>
          <w:p w14:paraId="193F3FC9" w14:textId="77777777" w:rsidR="00BF4C80" w:rsidRPr="00522104" w:rsidRDefault="00BF4C80" w:rsidP="007B32A7">
            <w:pPr>
              <w:spacing w:after="0" w:line="240" w:lineRule="auto"/>
              <w:ind w:left="-108" w:right="-109"/>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1 265,40</w:t>
            </w:r>
          </w:p>
        </w:tc>
        <w:tc>
          <w:tcPr>
            <w:tcW w:w="709" w:type="dxa"/>
            <w:tcBorders>
              <w:top w:val="nil"/>
              <w:left w:val="nil"/>
              <w:bottom w:val="single" w:sz="4" w:space="0" w:color="auto"/>
              <w:right w:val="single" w:sz="4" w:space="0" w:color="auto"/>
            </w:tcBorders>
            <w:shd w:val="clear" w:color="auto" w:fill="auto"/>
            <w:noWrap/>
            <w:vAlign w:val="bottom"/>
            <w:hideMark/>
          </w:tcPr>
          <w:p w14:paraId="2A7ED2CB"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-23,74</w:t>
            </w:r>
          </w:p>
        </w:tc>
        <w:tc>
          <w:tcPr>
            <w:tcW w:w="709" w:type="dxa"/>
            <w:tcBorders>
              <w:top w:val="nil"/>
              <w:left w:val="nil"/>
              <w:bottom w:val="single" w:sz="4" w:space="0" w:color="auto"/>
              <w:right w:val="single" w:sz="4" w:space="0" w:color="auto"/>
            </w:tcBorders>
            <w:shd w:val="clear" w:color="auto" w:fill="auto"/>
            <w:noWrap/>
            <w:vAlign w:val="bottom"/>
            <w:hideMark/>
          </w:tcPr>
          <w:p w14:paraId="5E69883E"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98,44</w:t>
            </w:r>
          </w:p>
        </w:tc>
        <w:tc>
          <w:tcPr>
            <w:tcW w:w="850" w:type="dxa"/>
            <w:tcBorders>
              <w:top w:val="nil"/>
              <w:left w:val="nil"/>
              <w:bottom w:val="single" w:sz="4" w:space="0" w:color="auto"/>
              <w:right w:val="single" w:sz="4" w:space="0" w:color="auto"/>
            </w:tcBorders>
            <w:shd w:val="clear" w:color="auto" w:fill="auto"/>
            <w:noWrap/>
            <w:vAlign w:val="bottom"/>
            <w:hideMark/>
          </w:tcPr>
          <w:p w14:paraId="119C8BD7"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394,02</w:t>
            </w:r>
          </w:p>
        </w:tc>
        <w:tc>
          <w:tcPr>
            <w:tcW w:w="709" w:type="dxa"/>
            <w:tcBorders>
              <w:top w:val="nil"/>
              <w:left w:val="nil"/>
              <w:bottom w:val="single" w:sz="4" w:space="0" w:color="auto"/>
              <w:right w:val="single" w:sz="4" w:space="0" w:color="auto"/>
            </w:tcBorders>
            <w:shd w:val="clear" w:color="auto" w:fill="auto"/>
            <w:noWrap/>
            <w:vAlign w:val="bottom"/>
            <w:hideMark/>
          </w:tcPr>
          <w:p w14:paraId="3DAD7E5D"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135,74</w:t>
            </w:r>
          </w:p>
        </w:tc>
      </w:tr>
      <w:tr w:rsidR="00BF4C80" w:rsidRPr="00522104" w14:paraId="6A6776C3" w14:textId="77777777" w:rsidTr="007B32A7">
        <w:trPr>
          <w:trHeight w:val="510"/>
          <w:jc w:val="center"/>
        </w:trPr>
        <w:tc>
          <w:tcPr>
            <w:tcW w:w="2410" w:type="dxa"/>
            <w:tcBorders>
              <w:top w:val="nil"/>
              <w:left w:val="single" w:sz="4" w:space="0" w:color="auto"/>
              <w:bottom w:val="single" w:sz="4" w:space="0" w:color="auto"/>
              <w:right w:val="single" w:sz="4" w:space="0" w:color="auto"/>
            </w:tcBorders>
            <w:shd w:val="clear" w:color="auto" w:fill="auto"/>
            <w:vAlign w:val="center"/>
            <w:hideMark/>
          </w:tcPr>
          <w:p w14:paraId="71756FFF" w14:textId="77777777" w:rsidR="00BF4C80" w:rsidRPr="00522104" w:rsidRDefault="00BF4C80" w:rsidP="007B32A7">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Подпрограмма "Развитие промышленного комплекса в Приморском крае"</w:t>
            </w:r>
          </w:p>
        </w:tc>
        <w:tc>
          <w:tcPr>
            <w:tcW w:w="851" w:type="dxa"/>
            <w:tcBorders>
              <w:top w:val="nil"/>
              <w:left w:val="nil"/>
              <w:bottom w:val="single" w:sz="4" w:space="0" w:color="auto"/>
              <w:right w:val="single" w:sz="4" w:space="0" w:color="auto"/>
            </w:tcBorders>
            <w:shd w:val="clear" w:color="auto" w:fill="auto"/>
            <w:noWrap/>
            <w:vAlign w:val="bottom"/>
            <w:hideMark/>
          </w:tcPr>
          <w:p w14:paraId="41566E0A"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BC85EC2"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0E80C3F" w14:textId="77777777" w:rsidR="00BF4C80" w:rsidRPr="00522104" w:rsidRDefault="00BF4C80" w:rsidP="007B32A7">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212AA993" w14:textId="77777777" w:rsidR="00BF4C80" w:rsidRPr="00522104" w:rsidRDefault="00BF4C80" w:rsidP="007B32A7">
            <w:pPr>
              <w:spacing w:after="0" w:line="240" w:lineRule="auto"/>
              <w:ind w:left="-109" w:right="-107"/>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300,00</w:t>
            </w:r>
          </w:p>
        </w:tc>
        <w:tc>
          <w:tcPr>
            <w:tcW w:w="708" w:type="dxa"/>
            <w:tcBorders>
              <w:top w:val="nil"/>
              <w:left w:val="nil"/>
              <w:bottom w:val="single" w:sz="4" w:space="0" w:color="auto"/>
              <w:right w:val="single" w:sz="4" w:space="0" w:color="auto"/>
            </w:tcBorders>
            <w:shd w:val="clear" w:color="auto" w:fill="auto"/>
            <w:noWrap/>
            <w:vAlign w:val="bottom"/>
            <w:hideMark/>
          </w:tcPr>
          <w:p w14:paraId="7CB83A53" w14:textId="77777777" w:rsidR="00BF4C80" w:rsidRPr="00522104" w:rsidRDefault="00BF4C80" w:rsidP="007B32A7">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2A27EC2" w14:textId="77777777" w:rsidR="00BF4C80" w:rsidRPr="00522104" w:rsidRDefault="00BF4C80" w:rsidP="007B32A7">
            <w:pPr>
              <w:spacing w:after="0" w:line="240" w:lineRule="auto"/>
              <w:ind w:left="-108" w:right="-109"/>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6EE5B503"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300,00</w:t>
            </w:r>
          </w:p>
        </w:tc>
        <w:tc>
          <w:tcPr>
            <w:tcW w:w="709" w:type="dxa"/>
            <w:tcBorders>
              <w:top w:val="nil"/>
              <w:left w:val="nil"/>
              <w:bottom w:val="single" w:sz="4" w:space="0" w:color="auto"/>
              <w:right w:val="single" w:sz="4" w:space="0" w:color="auto"/>
            </w:tcBorders>
            <w:shd w:val="clear" w:color="auto" w:fill="auto"/>
            <w:noWrap/>
            <w:vAlign w:val="bottom"/>
            <w:hideMark/>
          </w:tcPr>
          <w:p w14:paraId="7D5E1A70"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w:t>
            </w:r>
          </w:p>
        </w:tc>
        <w:tc>
          <w:tcPr>
            <w:tcW w:w="850" w:type="dxa"/>
            <w:tcBorders>
              <w:top w:val="nil"/>
              <w:left w:val="nil"/>
              <w:bottom w:val="single" w:sz="4" w:space="0" w:color="auto"/>
              <w:right w:val="single" w:sz="4" w:space="0" w:color="auto"/>
            </w:tcBorders>
            <w:shd w:val="clear" w:color="auto" w:fill="auto"/>
            <w:noWrap/>
            <w:vAlign w:val="bottom"/>
            <w:hideMark/>
          </w:tcPr>
          <w:p w14:paraId="1E293FB0"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300,00</w:t>
            </w:r>
          </w:p>
        </w:tc>
        <w:tc>
          <w:tcPr>
            <w:tcW w:w="709" w:type="dxa"/>
            <w:tcBorders>
              <w:top w:val="nil"/>
              <w:left w:val="nil"/>
              <w:bottom w:val="single" w:sz="4" w:space="0" w:color="auto"/>
              <w:right w:val="single" w:sz="4" w:space="0" w:color="auto"/>
            </w:tcBorders>
            <w:shd w:val="clear" w:color="auto" w:fill="auto"/>
            <w:noWrap/>
            <w:vAlign w:val="bottom"/>
            <w:hideMark/>
          </w:tcPr>
          <w:p w14:paraId="2F7D064D" w14:textId="77777777" w:rsidR="00BF4C80" w:rsidRPr="00522104" w:rsidRDefault="00BF4C80" w:rsidP="007B32A7">
            <w:pPr>
              <w:spacing w:after="0" w:line="240" w:lineRule="auto"/>
              <w:ind w:left="-151"/>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w:t>
            </w:r>
          </w:p>
        </w:tc>
      </w:tr>
    </w:tbl>
    <w:p w14:paraId="1E43F8EC" w14:textId="77777777" w:rsidR="00BF4C80" w:rsidRPr="00522104" w:rsidRDefault="00BF4C80" w:rsidP="00BF4C80">
      <w:pPr>
        <w:spacing w:after="0" w:line="240" w:lineRule="auto"/>
        <w:ind w:firstLine="709"/>
        <w:jc w:val="both"/>
        <w:rPr>
          <w:rFonts w:ascii="Times New Roman" w:eastAsiaTheme="minorEastAsia" w:hAnsi="Times New Roman" w:cs="Times New Roman"/>
          <w:sz w:val="28"/>
          <w:szCs w:val="28"/>
          <w:lang w:eastAsia="ru-RU"/>
        </w:rPr>
      </w:pPr>
    </w:p>
    <w:p w14:paraId="30B146A8" w14:textId="77777777" w:rsidR="00BF4C80" w:rsidRPr="00522104" w:rsidRDefault="00BF4C80" w:rsidP="00BF4C80">
      <w:pPr>
        <w:spacing w:after="0" w:line="240" w:lineRule="auto"/>
        <w:ind w:firstLine="709"/>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Согласно законопроекту в 2022 году мероприятия программы будут реализовывать: министерство экономического развития Приморского края (1066,51 млн рублей), министерство финансов Приморского края (4660,80 млн рублей), агентство проектного управления Приморского края (180,67 млн рублей), министерство имущественных и земельных отношений Приморского края (1496,39 млн рублей), министерство профессионального образования и занятости населения Приморского края (2,18 млн рублей), министерство промышленности и торговли Приморского края (300,00 млн рублей).</w:t>
      </w:r>
    </w:p>
    <w:p w14:paraId="1BF07B77" w14:textId="77777777" w:rsidR="00BF4C80" w:rsidRPr="00522104" w:rsidRDefault="00BF4C80" w:rsidP="00BF4C80">
      <w:pPr>
        <w:spacing w:after="0" w:line="240" w:lineRule="auto"/>
        <w:ind w:firstLine="709"/>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В рамках ГП осуществляется реализация 2 национальных проектов:</w:t>
      </w:r>
    </w:p>
    <w:p w14:paraId="73BD554D" w14:textId="52E526F6" w:rsidR="00BF4C80" w:rsidRPr="00522104" w:rsidRDefault="00BF4C80" w:rsidP="00BF4C80">
      <w:pPr>
        <w:spacing w:after="0" w:line="240" w:lineRule="auto"/>
        <w:ind w:firstLine="709"/>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 xml:space="preserve">"Малое и среднее предпринимательство и поддержка индивидуальной предпринимательской инициативы" через </w:t>
      </w:r>
      <w:r w:rsidRPr="00522104">
        <w:rPr>
          <w:rFonts w:ascii="Times New Roman" w:eastAsia="Times New Roman" w:hAnsi="Times New Roman" w:cs="Times New Roman"/>
          <w:sz w:val="28"/>
          <w:szCs w:val="24"/>
          <w:lang w:eastAsia="ru-RU"/>
        </w:rPr>
        <w:t>3 федеральных проекта: "Поддержка самозанятых" (в 2021 году – ФП "Создание благоприятных условий для осуществления деятельности самозанятыми гражданами"), "Создание условий для легкого старта и комфортного ведения бизнеса", "Акселерация субъектов малого и среднего предпринимательства". Общий объем средств на 2022 год составит 880,86 млн рублей, что больше утвержденных назначений на 638,68 млн рублей, или в 3,51 раза, и 2021 года на 491,09 млн рублей, или в 2,23 раза</w:t>
      </w:r>
      <w:r w:rsidRPr="00522104">
        <w:rPr>
          <w:rFonts w:ascii="Times New Roman" w:eastAsiaTheme="minorEastAsia" w:hAnsi="Times New Roman" w:cs="Times New Roman"/>
          <w:sz w:val="28"/>
          <w:szCs w:val="28"/>
          <w:lang w:eastAsia="ru-RU"/>
        </w:rPr>
        <w:t>;</w:t>
      </w:r>
    </w:p>
    <w:p w14:paraId="417E5958" w14:textId="3C1488CE" w:rsidR="00BF4C80" w:rsidRPr="00522104" w:rsidRDefault="00BF4C80" w:rsidP="00BF4C80">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heme="minorEastAsia" w:hAnsi="Times New Roman" w:cs="Times New Roman"/>
          <w:sz w:val="28"/>
          <w:szCs w:val="28"/>
          <w:lang w:eastAsia="ru-RU"/>
        </w:rPr>
        <w:t>"Производительность труда и поддержка занятости" через ФП "Адресная поддержка повышения производительности труда".</w:t>
      </w:r>
      <w:r w:rsidRPr="00522104">
        <w:rPr>
          <w:rFonts w:ascii="Times New Roman" w:eastAsia="Times New Roman" w:hAnsi="Times New Roman" w:cs="Times New Roman"/>
          <w:sz w:val="28"/>
          <w:szCs w:val="24"/>
          <w:lang w:eastAsia="ru-RU"/>
        </w:rPr>
        <w:t xml:space="preserve"> На 2022 год средства предусмотрены в сумме 66,36 млн рублей, что соответствует объему, утвержденному на 2022 год</w:t>
      </w:r>
      <w:r w:rsidR="00531185"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и выше на 2021 год на 18,84 млн рублей, или на 39,64 %.</w:t>
      </w:r>
    </w:p>
    <w:p w14:paraId="27364DE0" w14:textId="58F63296" w:rsidR="00BF4C80" w:rsidRPr="00522104" w:rsidRDefault="00BF4C80" w:rsidP="00BF4C80">
      <w:pPr>
        <w:spacing w:after="0" w:line="240" w:lineRule="auto"/>
        <w:ind w:firstLine="709"/>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 xml:space="preserve">В отличие от предыдущего года в 2022 году расходы на реализацию НП </w:t>
      </w:r>
      <w:r w:rsidR="00976861"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Международная кооперация и экспорт" через ФП "Промышленный экспорт" не запланированы (на 2021 году утверждены расходы в объеме 875,00 млн рублей). </w:t>
      </w:r>
    </w:p>
    <w:p w14:paraId="69565A19" w14:textId="5E0D1B24" w:rsidR="00BF4C80" w:rsidRPr="00522104" w:rsidRDefault="00BF4C80" w:rsidP="00BF4C80">
      <w:pPr>
        <w:spacing w:after="0" w:line="240" w:lineRule="auto"/>
        <w:ind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Согласно законопроекту расходы</w:t>
      </w:r>
      <w:r w:rsidRPr="00522104">
        <w:rPr>
          <w:rFonts w:ascii="Times New Roman" w:eastAsia="Times New Roman" w:hAnsi="Times New Roman" w:cs="Times New Roman"/>
          <w:b/>
          <w:i/>
          <w:sz w:val="28"/>
          <w:szCs w:val="24"/>
          <w:lang w:eastAsia="ru-RU"/>
        </w:rPr>
        <w:t xml:space="preserve"> </w:t>
      </w:r>
      <w:r w:rsidRPr="00522104">
        <w:rPr>
          <w:rFonts w:ascii="Times New Roman" w:eastAsia="Times New Roman" w:hAnsi="Times New Roman" w:cs="Times New Roman"/>
          <w:sz w:val="28"/>
          <w:szCs w:val="24"/>
          <w:lang w:eastAsia="ru-RU"/>
        </w:rPr>
        <w:t xml:space="preserve">по </w:t>
      </w:r>
      <w:r w:rsidRPr="00522104">
        <w:rPr>
          <w:rFonts w:ascii="Times New Roman" w:eastAsia="Times New Roman" w:hAnsi="Times New Roman" w:cs="Times New Roman"/>
          <w:b/>
          <w:i/>
          <w:sz w:val="28"/>
          <w:szCs w:val="24"/>
          <w:lang w:eastAsia="ru-RU"/>
        </w:rPr>
        <w:t xml:space="preserve">подпрограмме "Улучшение инвестиционного климата в Приморском крае" </w:t>
      </w:r>
      <w:r w:rsidRPr="00522104">
        <w:rPr>
          <w:rFonts w:ascii="Times New Roman" w:eastAsia="Times New Roman" w:hAnsi="Times New Roman" w:cs="Times New Roman"/>
          <w:sz w:val="28"/>
          <w:szCs w:val="24"/>
          <w:lang w:eastAsia="ru-RU"/>
        </w:rPr>
        <w:t>выше</w:t>
      </w:r>
      <w:r w:rsidRPr="00522104">
        <w:rPr>
          <w:rFonts w:ascii="Times New Roman" w:eastAsia="Times New Roman" w:hAnsi="Times New Roman" w:cs="Times New Roman"/>
          <w:b/>
          <w:i/>
          <w:sz w:val="28"/>
          <w:szCs w:val="24"/>
          <w:lang w:eastAsia="ru-RU"/>
        </w:rPr>
        <w:t xml:space="preserve"> </w:t>
      </w:r>
      <w:r w:rsidRPr="00522104">
        <w:rPr>
          <w:rFonts w:ascii="Times New Roman" w:eastAsia="Times New Roman" w:hAnsi="Times New Roman" w:cs="Times New Roman"/>
          <w:sz w:val="28"/>
          <w:szCs w:val="24"/>
          <w:lang w:eastAsia="ru-RU"/>
        </w:rPr>
        <w:t>по сравнению с утвержденными назначениями на 22,75 млн рублей, или на 11,62 %</w:t>
      </w:r>
      <w:r w:rsidR="00531185"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и ниже по сравнению с утвержденными назначениями на 2021 год на 902,86 млн рублей, или в 5,13 раз (утверждено на 2021 год – 1121,36 млн рублей, на 2022 год – 195,75 млн рублей). </w:t>
      </w:r>
    </w:p>
    <w:p w14:paraId="30CB551D" w14:textId="77777777" w:rsidR="00BF4C80" w:rsidRPr="00522104" w:rsidRDefault="00BF4C80" w:rsidP="00BF4C80">
      <w:pPr>
        <w:spacing w:after="0" w:line="240" w:lineRule="auto"/>
        <w:ind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Увеличение в 2022 году по сравнению с утвержденными расходами на тот же год связано с увеличением расходов на:</w:t>
      </w:r>
    </w:p>
    <w:p w14:paraId="038CFFD2" w14:textId="4FD366D4" w:rsidR="00BF4C80" w:rsidRPr="00522104" w:rsidRDefault="00BF4C80" w:rsidP="00BF4C80">
      <w:pPr>
        <w:spacing w:after="0" w:line="240" w:lineRule="auto"/>
        <w:ind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руководство и управление в сфере установленных функций органов государственной власти Приморского края на 16,18 млн рублей, или на 19,54 %, до 98,93 млн рублей, в том числе по министерству экономического развития Приморского края – 68,26 млн рублей, по агентству проектного управления Приморского края </w:t>
      </w:r>
      <w:r w:rsidR="00531185"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30,67 млн рублей; </w:t>
      </w:r>
    </w:p>
    <w:p w14:paraId="533EDD4D" w14:textId="77777777" w:rsidR="00BF4C80" w:rsidRPr="00522104" w:rsidRDefault="00BF4C80" w:rsidP="00BF4C80">
      <w:pPr>
        <w:spacing w:after="0" w:line="240" w:lineRule="auto"/>
        <w:ind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субсидии на осуществление уставной деятельности автономной некоммерческой организации "Инвестиционное Агентство Приморского края" на 6,26 млн рублей, или на 14,28 %, составят в 2022 году 50,14 млн рублей;</w:t>
      </w:r>
    </w:p>
    <w:p w14:paraId="2DBCADCA" w14:textId="72E981AF" w:rsidR="00BF4C80" w:rsidRPr="00522104" w:rsidRDefault="00BF4C80" w:rsidP="00BF4C80">
      <w:pPr>
        <w:spacing w:after="0" w:line="240" w:lineRule="auto"/>
        <w:ind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подготовку управленческих кадров для организаций народного хозяйства на 0,33 млн рублей, или на 17,84 %, до 2,18 млн рублей (за 9 месяцев 2021 года данные доходы исполнены на 0,28 млн рублей, или на 13,51 % (план 1,85 млн рублей).</w:t>
      </w:r>
    </w:p>
    <w:p w14:paraId="3A63D78E" w14:textId="77777777"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imes New Roman" w:hAnsi="Times New Roman" w:cs="Times New Roman"/>
          <w:sz w:val="28"/>
          <w:szCs w:val="24"/>
          <w:lang w:eastAsia="ru-RU"/>
        </w:rPr>
        <w:t>Снижение расходов в 2022 году по сравнению с утвержденными назначениями на текущий год в основном связано с тем, что расходы в 2021 году</w:t>
      </w:r>
      <w:r w:rsidRPr="00522104">
        <w:rPr>
          <w:rFonts w:ascii="Times New Roman" w:eastAsiaTheme="minorEastAsia" w:hAnsi="Times New Roman" w:cs="Times New Roman"/>
          <w:sz w:val="28"/>
          <w:szCs w:val="28"/>
          <w:lang w:eastAsia="ru-RU"/>
        </w:rPr>
        <w:t xml:space="preserve"> в рамках реализации НП Международная кооперация и экспорт" через ФП "Промышленный экспорт" (875,00 млн рублей) перенесены на 2022 год по новой подпрограмме "Развитие промышленного комплекса в Приморском крае" (300,00 тыс. рублей).</w:t>
      </w:r>
    </w:p>
    <w:p w14:paraId="23512CC4" w14:textId="032117FB" w:rsidR="00BF4C80" w:rsidRPr="00522104" w:rsidRDefault="00BF4C80" w:rsidP="00BF4C80">
      <w:pPr>
        <w:spacing w:after="0" w:line="240" w:lineRule="auto"/>
        <w:ind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Объем расходов </w:t>
      </w:r>
      <w:r w:rsidRPr="00522104">
        <w:rPr>
          <w:rFonts w:ascii="Times New Roman" w:eastAsia="Times New Roman" w:hAnsi="Times New Roman" w:cs="Times New Roman"/>
          <w:b/>
          <w:i/>
          <w:sz w:val="28"/>
          <w:szCs w:val="24"/>
          <w:lang w:eastAsia="ru-RU"/>
        </w:rPr>
        <w:t>подпрограммы "Развитие малого и среднего предпринимательства в Приморском крае"</w:t>
      </w:r>
      <w:r w:rsidRPr="00522104">
        <w:rPr>
          <w:rFonts w:ascii="Times New Roman" w:eastAsia="Times New Roman" w:hAnsi="Times New Roman" w:cs="Times New Roman"/>
          <w:sz w:val="28"/>
          <w:szCs w:val="24"/>
          <w:lang w:eastAsia="ru-RU"/>
        </w:rPr>
        <w:t xml:space="preserve"> в 2022 году</w:t>
      </w:r>
      <w:r w:rsidRPr="00522104">
        <w:rPr>
          <w:rFonts w:ascii="Times New Roman" w:eastAsia="Times New Roman" w:hAnsi="Times New Roman" w:cs="Times New Roman"/>
          <w:b/>
          <w:i/>
          <w:sz w:val="28"/>
          <w:szCs w:val="24"/>
          <w:lang w:eastAsia="ru-RU"/>
        </w:rPr>
        <w:t xml:space="preserve"> </w:t>
      </w:r>
      <w:r w:rsidRPr="00522104">
        <w:rPr>
          <w:rFonts w:ascii="Times New Roman" w:eastAsia="Times New Roman" w:hAnsi="Times New Roman" w:cs="Times New Roman"/>
          <w:sz w:val="28"/>
          <w:szCs w:val="24"/>
          <w:lang w:eastAsia="ru-RU"/>
        </w:rPr>
        <w:t>составит 880,86 млн рублей, что выше утвержденных назначений на 630,22 млн рублей, или в 3,51 раза</w:t>
      </w:r>
      <w:r w:rsidR="00531185"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и выше утвержденных на 2021 год на 435,97 млн рублей, или на 98,00 %.</w:t>
      </w:r>
    </w:p>
    <w:p w14:paraId="7C2F2E4C" w14:textId="77FF88F8" w:rsidR="00BF4C80" w:rsidRPr="00522104" w:rsidRDefault="00BF4C80" w:rsidP="00BF4C80">
      <w:pPr>
        <w:spacing w:after="0" w:line="240" w:lineRule="auto"/>
        <w:ind w:firstLine="708"/>
        <w:jc w:val="both"/>
        <w:rPr>
          <w:rFonts w:ascii="Times New Roman" w:eastAsia="Times New Roman" w:hAnsi="Times New Roman" w:cs="Times New Roman"/>
          <w:color w:val="000000"/>
          <w:sz w:val="28"/>
          <w:szCs w:val="28"/>
          <w:lang w:eastAsia="ru-RU"/>
        </w:rPr>
      </w:pPr>
      <w:r w:rsidRPr="00522104">
        <w:rPr>
          <w:rFonts w:ascii="Times New Roman" w:eastAsia="Times New Roman" w:hAnsi="Times New Roman" w:cs="Times New Roman"/>
          <w:color w:val="000000"/>
          <w:sz w:val="28"/>
          <w:szCs w:val="28"/>
          <w:lang w:eastAsia="ru-RU"/>
        </w:rPr>
        <w:t xml:space="preserve">Отклонения к утвержденным назначениям связаны с увеличением расходов по НП "Малое и среднее предпринимательство и поддержка индивидуальной предпринимательской инициативы" на 630,22 млн рублей, в том числе по ФП "Создание условий для легкого старта и комфортного ведения бизнеса" на 40,00 млн рублей (на 2022 год расходы запланированы </w:t>
      </w:r>
      <w:r w:rsidR="00976861" w:rsidRPr="00522104">
        <w:rPr>
          <w:rFonts w:ascii="Times New Roman" w:eastAsia="Times New Roman" w:hAnsi="Times New Roman" w:cs="Times New Roman"/>
          <w:color w:val="000000"/>
          <w:sz w:val="28"/>
          <w:szCs w:val="28"/>
          <w:lang w:eastAsia="ru-RU"/>
        </w:rPr>
        <w:t xml:space="preserve">в сумме </w:t>
      </w:r>
      <w:r w:rsidRPr="00522104">
        <w:rPr>
          <w:rFonts w:ascii="Times New Roman" w:eastAsia="Times New Roman" w:hAnsi="Times New Roman" w:cs="Times New Roman"/>
          <w:color w:val="000000"/>
          <w:sz w:val="28"/>
          <w:szCs w:val="28"/>
          <w:lang w:eastAsia="ru-RU"/>
        </w:rPr>
        <w:t xml:space="preserve">128,97 млн рублей), а также по ФП "Акселерация субъектов малого и среднего предпринимательства" – на 590,23 млн рублей (в 2022 году расходы составят 743,43 млн рублей). </w:t>
      </w:r>
    </w:p>
    <w:p w14:paraId="3910044F" w14:textId="7CAEA99F"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imes New Roman" w:hAnsi="Times New Roman" w:cs="Times New Roman"/>
          <w:color w:val="000000"/>
          <w:sz w:val="28"/>
          <w:szCs w:val="28"/>
          <w:lang w:eastAsia="ru-RU"/>
        </w:rPr>
        <w:t xml:space="preserve">В рамках ФП "Акселерация субъектов малого и среднего предпринимательства" законопроектом на 2022 год предлагаются новые расходные обязательства на: субсидии юридическим лицам на финансовое обеспечение затрат, связанных с созданием промышленных парков, технопарков на территории Приморского края в  сумме 501,32 млн рублей; на 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 в сумме 13,00 млн рублей. </w:t>
      </w:r>
      <w:r w:rsidR="00531185" w:rsidRPr="00522104">
        <w:rPr>
          <w:rFonts w:ascii="Times New Roman" w:eastAsiaTheme="minorEastAsia" w:hAnsi="Times New Roman" w:cs="Times New Roman"/>
          <w:sz w:val="28"/>
          <w:szCs w:val="28"/>
          <w:lang w:eastAsia="ru-RU"/>
        </w:rPr>
        <w:t>Также</w:t>
      </w:r>
      <w:r w:rsidRPr="00522104">
        <w:rPr>
          <w:rFonts w:ascii="Times New Roman" w:eastAsiaTheme="minorEastAsia" w:hAnsi="Times New Roman" w:cs="Times New Roman"/>
          <w:sz w:val="28"/>
          <w:szCs w:val="28"/>
          <w:lang w:eastAsia="ru-RU"/>
        </w:rPr>
        <w:t xml:space="preserve"> </w:t>
      </w:r>
      <w:r w:rsidRPr="00522104">
        <w:rPr>
          <w:rFonts w:ascii="Times New Roman" w:eastAsia="Times New Roman" w:hAnsi="Times New Roman" w:cs="Times New Roman"/>
          <w:sz w:val="28"/>
          <w:szCs w:val="24"/>
          <w:lang w:eastAsia="ru-RU"/>
        </w:rPr>
        <w:t xml:space="preserve">предусмотрены на 2022 год с увеличением </w:t>
      </w:r>
      <w:r w:rsidRPr="00522104">
        <w:rPr>
          <w:rFonts w:ascii="Times New Roman" w:eastAsiaTheme="minorEastAsia" w:hAnsi="Times New Roman" w:cs="Times New Roman"/>
          <w:sz w:val="28"/>
          <w:szCs w:val="28"/>
          <w:lang w:eastAsia="ru-RU"/>
        </w:rPr>
        <w:t xml:space="preserve">субсидии на осуществление уставной деятельности автономной некоммерческой организации "Центр поддержки предпринимательства Приморского края" на 55,90 млн рублей и составят 76,84 млн рублей, (утверждено на 2022 год – 20,94 млн рублей). </w:t>
      </w:r>
    </w:p>
    <w:p w14:paraId="3682175A" w14:textId="53AE3691"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 xml:space="preserve">Объем расходов по </w:t>
      </w:r>
      <w:r w:rsidRPr="00522104">
        <w:rPr>
          <w:rFonts w:ascii="Times New Roman" w:eastAsiaTheme="minorEastAsia" w:hAnsi="Times New Roman" w:cs="Times New Roman"/>
          <w:b/>
          <w:i/>
          <w:sz w:val="28"/>
          <w:szCs w:val="28"/>
          <w:lang w:eastAsia="ru-RU"/>
        </w:rPr>
        <w:t>подпрограмме "Управление имуществом, находящимся в собственности в ведении Приморского края"</w:t>
      </w:r>
      <w:r w:rsidR="00531185" w:rsidRPr="00522104">
        <w:rPr>
          <w:rFonts w:ascii="Times New Roman" w:eastAsiaTheme="minorEastAsia" w:hAnsi="Times New Roman" w:cs="Times New Roman"/>
          <w:b/>
          <w:i/>
          <w:sz w:val="28"/>
          <w:szCs w:val="28"/>
          <w:lang w:eastAsia="ru-RU"/>
        </w:rPr>
        <w:t>,</w:t>
      </w:r>
      <w:r w:rsidRPr="00522104">
        <w:rPr>
          <w:rFonts w:ascii="Times New Roman" w:eastAsiaTheme="minorEastAsia" w:hAnsi="Times New Roman" w:cs="Times New Roman"/>
          <w:sz w:val="28"/>
          <w:szCs w:val="28"/>
          <w:lang w:eastAsia="ru-RU"/>
        </w:rPr>
        <w:t xml:space="preserve"> на 2022 год составит 1496,39 млн рублей, что выше утвержденных назначений на 394,02 млн рублей, или на 35,74 %, и ниже утвержденных на 2021 год на 23,74 млн рублей, или на 1,56 %. </w:t>
      </w:r>
    </w:p>
    <w:p w14:paraId="37C6AA91" w14:textId="3940980E"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В рамках подпрограммы по сравнению с утвержденными расходами на 2022 год планируется увеличение расходов на:</w:t>
      </w:r>
    </w:p>
    <w:p w14:paraId="5B8A5278" w14:textId="37EA6043"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обеспечение деятельности (оказание услуг, выполнение работ) краевых государственных учреждений на 246,83 млн рублей, и состав</w:t>
      </w:r>
      <w:r w:rsidR="003E76B0" w:rsidRPr="00522104">
        <w:rPr>
          <w:rFonts w:ascii="Times New Roman" w:eastAsiaTheme="minorEastAsia" w:hAnsi="Times New Roman" w:cs="Times New Roman"/>
          <w:sz w:val="28"/>
          <w:szCs w:val="28"/>
          <w:lang w:eastAsia="ru-RU"/>
        </w:rPr>
        <w:t>я</w:t>
      </w:r>
      <w:r w:rsidRPr="00522104">
        <w:rPr>
          <w:rFonts w:ascii="Times New Roman" w:eastAsiaTheme="minorEastAsia" w:hAnsi="Times New Roman" w:cs="Times New Roman"/>
          <w:sz w:val="28"/>
          <w:szCs w:val="28"/>
          <w:lang w:eastAsia="ru-RU"/>
        </w:rPr>
        <w:t>т в 2022 году 1213,63 млн рублей (утверждено на 2022 год – 966,84 млн рублей, на 2021 год</w:t>
      </w:r>
      <w:r w:rsidR="00531185" w:rsidRPr="00522104">
        <w:rPr>
          <w:rFonts w:ascii="Times New Roman" w:eastAsiaTheme="minorEastAsia" w:hAnsi="Times New Roman" w:cs="Times New Roman"/>
          <w:sz w:val="28"/>
          <w:szCs w:val="28"/>
          <w:lang w:eastAsia="ru-RU"/>
        </w:rPr>
        <w:t> </w:t>
      </w:r>
      <w:r w:rsidRPr="00522104">
        <w:rPr>
          <w:rFonts w:ascii="Times New Roman" w:eastAsiaTheme="minorEastAsia" w:hAnsi="Times New Roman" w:cs="Times New Roman"/>
          <w:sz w:val="28"/>
          <w:szCs w:val="28"/>
          <w:lang w:eastAsia="ru-RU"/>
        </w:rPr>
        <w:t>– 1137,86 млн рублей), в том числе: КГКУ "Управление землями и имуществом на территории Приморского края" – 241,21 млн рублей, КГБУ "Центр кадастровой оценки Приморского края" – 80,30 млн рублей, КГБУ "Хозяйственное управление Правительства Приморского края" – 801,92 млн рублей, КГКУ "Представительство Правительства Приморского края при Правительстве Российской Федерации" – 69,45 млн рублей, КГБУ "Госнедвижимость" – 20,79 млн рублей. Увеличение расходов связано в основном с индексаций окладов с 01.10.2022;</w:t>
      </w:r>
    </w:p>
    <w:p w14:paraId="648A9E9B" w14:textId="711EEF59"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управление и распоряжение имуществом, находящимся в собственности и ведении Приморского края – на 21,16 млн рублей, и составят 38,61 млн рублей (утверждено на 2022 год – 17,44 млн рублей, на 2021 год – 16,40 млн рублей)</w:t>
      </w:r>
      <w:r w:rsidR="00F07D30"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Расходы запланированы министерству имущественных и земельных отношений Приморского края на проведение в 2022 году комплексных кадастровых работ.</w:t>
      </w:r>
    </w:p>
    <w:p w14:paraId="34F3986B" w14:textId="357BB352"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 xml:space="preserve">Также законопроектом на 2022 год в отличие от утвержденных расходов предусмотрены субсидии краевым государственным бюджетным и автономным учреждениям на иные цели в сумме 135,67 млн рублей, а именно: КГБУ "Хозяйственное управление </w:t>
      </w:r>
      <w:r w:rsidR="00976861" w:rsidRPr="00522104">
        <w:rPr>
          <w:rFonts w:ascii="Times New Roman" w:eastAsiaTheme="minorEastAsia" w:hAnsi="Times New Roman" w:cs="Times New Roman"/>
          <w:sz w:val="28"/>
          <w:szCs w:val="28"/>
          <w:lang w:eastAsia="ru-RU"/>
        </w:rPr>
        <w:t>П</w:t>
      </w:r>
      <w:r w:rsidRPr="00522104">
        <w:rPr>
          <w:rFonts w:ascii="Times New Roman" w:eastAsiaTheme="minorEastAsia" w:hAnsi="Times New Roman" w:cs="Times New Roman"/>
          <w:sz w:val="28"/>
          <w:szCs w:val="28"/>
          <w:lang w:eastAsia="ru-RU"/>
        </w:rPr>
        <w:t>равительства Приморского края" на проведение капитального ремонта, приобретение основных средств, обеспечение видеонаблюдения, обеспечение требований пожарной безопасности. На 2021 год данные расходы утверждены в сумме 249,53 млн рублей.</w:t>
      </w:r>
    </w:p>
    <w:p w14:paraId="002B213C" w14:textId="06B382E1"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Законопроектом на 2022 год по сравнению с утвержденными назначениями не планируются 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r w:rsidR="003E76B0"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в сумме 9,77 млн рублей.</w:t>
      </w:r>
    </w:p>
    <w:p w14:paraId="11A69E8A" w14:textId="77777777"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 xml:space="preserve">Согласно законопроекту расходы по </w:t>
      </w:r>
      <w:r w:rsidRPr="00522104">
        <w:rPr>
          <w:rFonts w:ascii="Times New Roman" w:eastAsiaTheme="minorEastAsia" w:hAnsi="Times New Roman" w:cs="Times New Roman"/>
          <w:b/>
          <w:i/>
          <w:sz w:val="28"/>
          <w:szCs w:val="28"/>
          <w:lang w:eastAsia="ru-RU"/>
        </w:rPr>
        <w:t>подпрограмме "Развитие промышленного комплекса в Приморском крае"</w:t>
      </w:r>
      <w:r w:rsidRPr="00522104">
        <w:rPr>
          <w:rFonts w:ascii="Times New Roman" w:eastAsiaTheme="minorEastAsia" w:hAnsi="Times New Roman" w:cs="Times New Roman"/>
          <w:sz w:val="28"/>
          <w:szCs w:val="28"/>
          <w:lang w:eastAsia="ru-RU"/>
        </w:rPr>
        <w:t xml:space="preserve"> предусмотрены в объеме 300,00 тыс. рублей. В 2021 году бюджетные ассигнования на исполнение мероприятий подпрограммы утверждены по подпрограмме "Улучшение инвестиционного климата в Приморском крае" в сумме 875,00 млн рублей. На 2022 год Законом № 969-КЗ данные расходы не утверждены.</w:t>
      </w:r>
    </w:p>
    <w:p w14:paraId="401CE043" w14:textId="77777777"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Расходы в рамках подпрограммы планируются на:</w:t>
      </w:r>
    </w:p>
    <w:p w14:paraId="2ED4412A" w14:textId="2FB0B03B"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r w:rsidR="003E76B0"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в сумме 200,00 млн рублей;</w:t>
      </w:r>
    </w:p>
    <w:p w14:paraId="1FD4B79C" w14:textId="5AF7ADFC" w:rsidR="00BF4C80" w:rsidRPr="00522104" w:rsidRDefault="00BF4C80" w:rsidP="00BF4C80">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 в сумме 100,00 млн рублей (за 9 месяцев 2021 года данные расходы, запланированные в объеме 100,00 млн рублей</w:t>
      </w:r>
      <w:r w:rsidR="003E76B0"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в 2021 году не исполнены).</w:t>
      </w:r>
    </w:p>
    <w:p w14:paraId="3E949CDC"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Объем расходов </w:t>
      </w:r>
      <w:r w:rsidRPr="00522104">
        <w:rPr>
          <w:rFonts w:ascii="Times New Roman" w:eastAsia="Times New Roman" w:hAnsi="Times New Roman" w:cs="Times New Roman"/>
          <w:b/>
          <w:i/>
          <w:sz w:val="28"/>
          <w:szCs w:val="24"/>
          <w:lang w:eastAsia="ru-RU"/>
        </w:rPr>
        <w:t>подпрограммы "Долгосрочное финансовое планирование и организация бюджетного процесса, совершенствование межбюджетных отношений в Приморском крае"</w:t>
      </w:r>
      <w:r w:rsidRPr="00522104">
        <w:rPr>
          <w:rFonts w:ascii="Times New Roman" w:eastAsia="Times New Roman" w:hAnsi="Times New Roman" w:cs="Times New Roman"/>
          <w:sz w:val="28"/>
          <w:szCs w:val="24"/>
          <w:lang w:eastAsia="ru-RU"/>
        </w:rPr>
        <w:t xml:space="preserve"> в 2022 году</w:t>
      </w:r>
      <w:r w:rsidRPr="00522104">
        <w:rPr>
          <w:rFonts w:ascii="Times New Roman" w:eastAsia="Times New Roman" w:hAnsi="Times New Roman" w:cs="Times New Roman"/>
          <w:b/>
          <w:i/>
          <w:sz w:val="28"/>
          <w:szCs w:val="24"/>
          <w:lang w:eastAsia="ru-RU"/>
        </w:rPr>
        <w:t xml:space="preserve"> </w:t>
      </w:r>
      <w:r w:rsidRPr="00522104">
        <w:rPr>
          <w:rFonts w:ascii="Times New Roman" w:eastAsia="Times New Roman" w:hAnsi="Times New Roman" w:cs="Times New Roman"/>
          <w:sz w:val="28"/>
          <w:szCs w:val="24"/>
          <w:lang w:eastAsia="ru-RU"/>
        </w:rPr>
        <w:t xml:space="preserve">составит 4810,80 млн рублей, что выше утвержденных назначений на 2064,17 млн рублей, или на 75,15 %, и выше утвержденных на 2021 год на 20,53 млн рублей, или на 0,43 %. </w:t>
      </w:r>
    </w:p>
    <w:p w14:paraId="66527ECF" w14:textId="6ADA7B7B"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Главным распорядителем бюджетных средств в рамках подпрограммы на 2022 год является министерство финансов Приморского края и агентство проектного управления Приморского края.</w:t>
      </w:r>
    </w:p>
    <w:p w14:paraId="05D7B1B4" w14:textId="15DAE51D"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С увеличением к уровню утвержденных на 2022 год запланированы расходы на руководство и управление </w:t>
      </w:r>
      <w:r w:rsidRPr="00522104">
        <w:rPr>
          <w:rFonts w:ascii="Times New Roman" w:eastAsia="Calibri" w:hAnsi="Times New Roman" w:cs="Times New Roman"/>
          <w:sz w:val="28"/>
          <w:szCs w:val="28"/>
        </w:rPr>
        <w:t>в сфере установленных функций на 5,47 млн рублей и составят 131,36 млн рублей (утверждено на 2022 год 125,89 млн рублей, на 2021 год – 132,34 млн рублей).</w:t>
      </w:r>
    </w:p>
    <w:p w14:paraId="3EC90C73"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На уровне утвержденных назначений на 2022 год запланированы расходы на:</w:t>
      </w:r>
    </w:p>
    <w:p w14:paraId="41EF6B3F"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совершенствование бюджетного процесса Приморского края в сумме 216,21 млн рублей;</w:t>
      </w:r>
    </w:p>
    <w:p w14:paraId="18F23711" w14:textId="6BA89EF9"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процентные платежи по государственному долгу Приморского края </w:t>
      </w:r>
      <w:r w:rsidR="00261A0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592,02 млн рублей;</w:t>
      </w:r>
    </w:p>
    <w:p w14:paraId="1F373F39"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процентные платежи по реструктурированной задолженности по бюджетным кредитам – 2,27 млн рублей. </w:t>
      </w:r>
    </w:p>
    <w:p w14:paraId="25814274"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отличие от утвержденных назначений законопроектом на 2022 год планируются расходы (на уровне утвержденных на 2021 год) на:</w:t>
      </w:r>
    </w:p>
    <w:p w14:paraId="6ADF2053"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 в объеме 1,00 млн рублей;</w:t>
      </w:r>
    </w:p>
    <w:p w14:paraId="0CE7F53C" w14:textId="591B115E"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4"/>
          <w:lang w:eastAsia="ru-RU"/>
        </w:rPr>
        <w:t>реализация проектов инициативного бюджетирования по направлению "Твой проект" – 261,00 млн рублей (на 2021 год средства выделяются на</w:t>
      </w:r>
      <w:r w:rsidRPr="00522104">
        <w:t xml:space="preserve"> </w:t>
      </w:r>
      <w:r w:rsidRPr="00522104">
        <w:rPr>
          <w:rFonts w:ascii="Times New Roman" w:hAnsi="Times New Roman" w:cs="Times New Roman"/>
          <w:sz w:val="28"/>
          <w:szCs w:val="28"/>
        </w:rPr>
        <w:t>с</w:t>
      </w:r>
      <w:r w:rsidRPr="00522104">
        <w:rPr>
          <w:rFonts w:ascii="Times New Roman" w:eastAsia="Times New Roman" w:hAnsi="Times New Roman" w:cs="Times New Roman"/>
          <w:sz w:val="28"/>
          <w:szCs w:val="28"/>
          <w:lang w:eastAsia="ru-RU"/>
        </w:rPr>
        <w:t>убс</w:t>
      </w:r>
      <w:r w:rsidRPr="00522104">
        <w:rPr>
          <w:rFonts w:ascii="Times New Roman" w:eastAsia="Times New Roman" w:hAnsi="Times New Roman" w:cs="Times New Roman"/>
          <w:sz w:val="28"/>
          <w:szCs w:val="24"/>
          <w:lang w:eastAsia="ru-RU"/>
        </w:rPr>
        <w:t>идии бюджетам муниципальных образований Приморского края на реализацию проектов инициативного бюджетирования по направлению "Твой проект"). За 9 месяцев 2021 года данные расходы, запланированные в сумме 261,00 млн рублей</w:t>
      </w:r>
      <w:r w:rsidR="00261A04" w:rsidRPr="00522104">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исполнены на 20,59</w:t>
      </w:r>
      <w:r w:rsidRPr="00522104">
        <w:t> </w:t>
      </w:r>
      <w:r w:rsidRPr="00522104">
        <w:rPr>
          <w:rFonts w:ascii="Times New Roman" w:hAnsi="Times New Roman" w:cs="Times New Roman"/>
          <w:sz w:val="28"/>
          <w:szCs w:val="28"/>
        </w:rPr>
        <w:t>%, или на 53,73 млн рублей</w:t>
      </w:r>
      <w:r w:rsidRPr="00522104">
        <w:rPr>
          <w:rFonts w:ascii="Times New Roman" w:eastAsia="Times New Roman" w:hAnsi="Times New Roman" w:cs="Times New Roman"/>
          <w:sz w:val="28"/>
          <w:szCs w:val="28"/>
          <w:lang w:eastAsia="ru-RU"/>
        </w:rPr>
        <w:t>;</w:t>
      </w:r>
    </w:p>
    <w:p w14:paraId="39B7B39F" w14:textId="61CE335B"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поощрение достижения наилучших показателей социально-экономического развития муниципальных образований – 150,00 млн рублей (согласно законопроекту главны</w:t>
      </w:r>
      <w:r w:rsidR="00167412" w:rsidRPr="00522104">
        <w:rPr>
          <w:rFonts w:ascii="Times New Roman" w:eastAsia="Times New Roman" w:hAnsi="Times New Roman" w:cs="Times New Roman"/>
          <w:sz w:val="28"/>
          <w:szCs w:val="28"/>
          <w:lang w:eastAsia="ru-RU"/>
        </w:rPr>
        <w:t>м</w:t>
      </w:r>
      <w:r w:rsidRPr="00522104">
        <w:rPr>
          <w:rFonts w:ascii="Times New Roman" w:eastAsia="Times New Roman" w:hAnsi="Times New Roman" w:cs="Times New Roman"/>
          <w:sz w:val="28"/>
          <w:szCs w:val="28"/>
          <w:lang w:eastAsia="ru-RU"/>
        </w:rPr>
        <w:t xml:space="preserve"> распорядител</w:t>
      </w:r>
      <w:r w:rsidR="00167412" w:rsidRPr="00522104">
        <w:rPr>
          <w:rFonts w:ascii="Times New Roman" w:eastAsia="Times New Roman" w:hAnsi="Times New Roman" w:cs="Times New Roman"/>
          <w:sz w:val="28"/>
          <w:szCs w:val="28"/>
          <w:lang w:eastAsia="ru-RU"/>
        </w:rPr>
        <w:t>ем</w:t>
      </w:r>
      <w:r w:rsidRPr="00522104">
        <w:rPr>
          <w:rFonts w:ascii="Times New Roman" w:eastAsia="Times New Roman" w:hAnsi="Times New Roman" w:cs="Times New Roman"/>
          <w:sz w:val="28"/>
          <w:szCs w:val="28"/>
          <w:lang w:eastAsia="ru-RU"/>
        </w:rPr>
        <w:t xml:space="preserve"> бюджетных средств является агентство проектного управления Приморского края, в 2021 году главный распорядитель </w:t>
      </w:r>
      <w:r w:rsidR="00261A0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министерство экономического развития Приморского края).</w:t>
      </w:r>
    </w:p>
    <w:p w14:paraId="5772B6C6" w14:textId="2AF79C4A"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рамках подпрограммы на совершенствование межбюджетных отношений в Приморском крае законопроектом на 2022 год с увеличением по сравнению с утвержденными назначениями предусмотрена финансовая помощ</w:t>
      </w:r>
      <w:r w:rsidR="00531185" w:rsidRPr="00522104">
        <w:rPr>
          <w:rFonts w:ascii="Times New Roman" w:eastAsia="Times New Roman" w:hAnsi="Times New Roman" w:cs="Times New Roman"/>
          <w:sz w:val="28"/>
          <w:szCs w:val="28"/>
          <w:lang w:eastAsia="ru-RU"/>
        </w:rPr>
        <w:t>ь</w:t>
      </w:r>
      <w:r w:rsidRPr="00522104">
        <w:rPr>
          <w:rFonts w:ascii="Times New Roman" w:eastAsia="Times New Roman" w:hAnsi="Times New Roman" w:cs="Times New Roman"/>
          <w:sz w:val="28"/>
          <w:szCs w:val="28"/>
          <w:lang w:eastAsia="ru-RU"/>
        </w:rPr>
        <w:t xml:space="preserve"> из краевого бюджета в муниципальные бюджеты в виде:</w:t>
      </w:r>
    </w:p>
    <w:p w14:paraId="66DAA5DD"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дотаций на поддержку мер по обеспечению сбалансированности бюджетов увеличение на 279,60 млн рублей, или в 2,15 раза, что составит на 2022 год 521,82 млн рублей;</w:t>
      </w:r>
    </w:p>
    <w:p w14:paraId="6D1A0A9D" w14:textId="1FE46BE6"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отличие от утвержденных </w:t>
      </w:r>
      <w:r w:rsidR="008C1DFB" w:rsidRPr="00522104">
        <w:rPr>
          <w:rFonts w:ascii="Times New Roman" w:eastAsia="Times New Roman" w:hAnsi="Times New Roman" w:cs="Times New Roman"/>
          <w:sz w:val="28"/>
          <w:szCs w:val="28"/>
          <w:lang w:eastAsia="ru-RU"/>
        </w:rPr>
        <w:t xml:space="preserve">Законом № 969-КЗ </w:t>
      </w:r>
      <w:r w:rsidRPr="00522104">
        <w:rPr>
          <w:rFonts w:ascii="Times New Roman" w:eastAsia="Times New Roman" w:hAnsi="Times New Roman" w:cs="Times New Roman"/>
          <w:sz w:val="28"/>
          <w:szCs w:val="28"/>
          <w:lang w:eastAsia="ru-RU"/>
        </w:rPr>
        <w:t>на 2022 год законопроектом на 2022 год планируется финансовая помощ</w:t>
      </w:r>
      <w:r w:rsidR="00694F84" w:rsidRPr="00522104">
        <w:rPr>
          <w:rFonts w:ascii="Times New Roman" w:eastAsia="Times New Roman" w:hAnsi="Times New Roman" w:cs="Times New Roman"/>
          <w:sz w:val="28"/>
          <w:szCs w:val="28"/>
          <w:lang w:eastAsia="ru-RU"/>
        </w:rPr>
        <w:t>ь</w:t>
      </w:r>
      <w:r w:rsidRPr="00522104">
        <w:rPr>
          <w:rFonts w:ascii="Times New Roman" w:eastAsia="Times New Roman" w:hAnsi="Times New Roman" w:cs="Times New Roman"/>
          <w:sz w:val="28"/>
          <w:szCs w:val="28"/>
          <w:lang w:eastAsia="ru-RU"/>
        </w:rPr>
        <w:t xml:space="preserve"> из краевого бюджета в муниципальные бюджеты на:</w:t>
      </w:r>
    </w:p>
    <w:p w14:paraId="1B16287E"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финансовое обеспечение осуществления городом Владивостоком функций административного центра Приморского края в сумме 800,00 млн рублей (на 2021 год утверждено 620,00 млн рублей);</w:t>
      </w:r>
    </w:p>
    <w:p w14:paraId="3C1C1C33" w14:textId="7A6C4A8E"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поощрение муниципальных округов в связи с их образованием в течение трех финансовых лет после образования соответствующих муниципальных округов </w:t>
      </w:r>
      <w:r w:rsidR="00261A0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293,96 млн рублей (на 2021 год утверждено 301,89 млн рублей);</w:t>
      </w:r>
    </w:p>
    <w:p w14:paraId="1D72B3BC" w14:textId="157EE9D6"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Законопроектом на 2022 год предусмотрены </w:t>
      </w:r>
      <w:r w:rsidR="009A07FD" w:rsidRPr="00522104">
        <w:rPr>
          <w:rFonts w:ascii="Times New Roman" w:eastAsia="Times New Roman" w:hAnsi="Times New Roman" w:cs="Times New Roman"/>
          <w:sz w:val="28"/>
          <w:szCs w:val="28"/>
          <w:lang w:eastAsia="ru-RU"/>
        </w:rPr>
        <w:t xml:space="preserve">бюджетные ассигнования </w:t>
      </w:r>
      <w:r w:rsidRPr="00522104">
        <w:rPr>
          <w:rFonts w:ascii="Times New Roman" w:eastAsia="Times New Roman" w:hAnsi="Times New Roman" w:cs="Times New Roman"/>
          <w:sz w:val="28"/>
          <w:szCs w:val="28"/>
          <w:lang w:eastAsia="ru-RU"/>
        </w:rPr>
        <w:t xml:space="preserve">на уровне утвержденных </w:t>
      </w:r>
      <w:r w:rsidR="009A07FD" w:rsidRPr="00522104">
        <w:rPr>
          <w:rFonts w:ascii="Times New Roman" w:eastAsia="Times New Roman" w:hAnsi="Times New Roman" w:cs="Times New Roman"/>
          <w:sz w:val="28"/>
          <w:szCs w:val="28"/>
          <w:lang w:eastAsia="ru-RU"/>
        </w:rPr>
        <w:t xml:space="preserve">Законом № 969-КЗ </w:t>
      </w:r>
      <w:r w:rsidRPr="00522104">
        <w:rPr>
          <w:rFonts w:ascii="Times New Roman" w:eastAsia="Times New Roman" w:hAnsi="Times New Roman" w:cs="Times New Roman"/>
          <w:sz w:val="28"/>
          <w:szCs w:val="28"/>
          <w:lang w:eastAsia="ru-RU"/>
        </w:rPr>
        <w:t>на 2022 год расходы в виде финансовой помощи из краевого бюджета в муниципальные бюджеты на:</w:t>
      </w:r>
    </w:p>
    <w:p w14:paraId="5465F9A7"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дотации, связанные с особым режимом безопасного функционирования закрытых административно-территориальных образований в сумме 216,21 млн рублей;</w:t>
      </w:r>
    </w:p>
    <w:p w14:paraId="67276B02" w14:textId="77777777"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 – 10,00 млн рублей.</w:t>
      </w:r>
    </w:p>
    <w:p w14:paraId="6E4128C8" w14:textId="38564AFD" w:rsidR="00BF4C80" w:rsidRPr="00522104" w:rsidRDefault="00BF4C80" w:rsidP="00BF4C8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Общий объем финансовой помощи из краевого бюджета в муниципальные бюджеты, расчет которой произведен согласно приложени</w:t>
      </w:r>
      <w:r w:rsidR="00C826E0" w:rsidRPr="00522104">
        <w:rPr>
          <w:rFonts w:ascii="Times New Roman" w:eastAsia="Times New Roman" w:hAnsi="Times New Roman" w:cs="Times New Roman"/>
          <w:sz w:val="28"/>
          <w:szCs w:val="28"/>
          <w:lang w:eastAsia="ru-RU"/>
        </w:rPr>
        <w:t>ям</w:t>
      </w:r>
      <w:r w:rsidRPr="00522104">
        <w:rPr>
          <w:rFonts w:ascii="Times New Roman" w:eastAsia="Times New Roman" w:hAnsi="Times New Roman" w:cs="Times New Roman"/>
          <w:sz w:val="28"/>
          <w:szCs w:val="28"/>
          <w:lang w:eastAsia="ru-RU"/>
        </w:rPr>
        <w:t xml:space="preserve"> 1 и 3 </w:t>
      </w:r>
      <w:r w:rsidR="0050323B" w:rsidRPr="00522104">
        <w:rPr>
          <w:rFonts w:ascii="Times New Roman" w:eastAsia="Times New Roman" w:hAnsi="Times New Roman" w:cs="Times New Roman"/>
          <w:sz w:val="28"/>
          <w:szCs w:val="28"/>
          <w:lang w:eastAsia="ru-RU"/>
        </w:rPr>
        <w:t>к Закону</w:t>
      </w:r>
      <w:r w:rsidRPr="00522104">
        <w:rPr>
          <w:rFonts w:ascii="Times New Roman" w:eastAsia="Times New Roman" w:hAnsi="Times New Roman" w:cs="Times New Roman"/>
          <w:sz w:val="28"/>
          <w:szCs w:val="28"/>
          <w:lang w:eastAsia="ru-RU"/>
        </w:rPr>
        <w:t xml:space="preserve"> Приморского края № 271-КЗ</w:t>
      </w:r>
      <w:r w:rsidR="00DF29FE"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на 2022 год составит 1798,89 млн рублей, что больше утвержденных назначений на 273,14 млн рублей и уровня 2021 года на 73,55 млн рублей (</w:t>
      </w:r>
      <w:r w:rsidR="00C046BD" w:rsidRPr="00522104">
        <w:rPr>
          <w:rFonts w:ascii="Times New Roman" w:eastAsia="Times New Roman" w:hAnsi="Times New Roman" w:cs="Times New Roman"/>
          <w:sz w:val="28"/>
          <w:szCs w:val="28"/>
          <w:lang w:eastAsia="ru-RU"/>
        </w:rPr>
        <w:t xml:space="preserve">утверждено на </w:t>
      </w:r>
      <w:r w:rsidRPr="00522104">
        <w:rPr>
          <w:rFonts w:ascii="Times New Roman" w:eastAsia="Times New Roman" w:hAnsi="Times New Roman" w:cs="Times New Roman"/>
          <w:sz w:val="28"/>
          <w:szCs w:val="28"/>
          <w:lang w:eastAsia="ru-RU"/>
        </w:rPr>
        <w:t>2021 год –</w:t>
      </w:r>
      <w:r w:rsidR="00C046BD" w:rsidRPr="00522104">
        <w:rPr>
          <w:rFonts w:ascii="Times New Roman" w:eastAsia="Times New Roman" w:hAnsi="Times New Roman" w:cs="Times New Roman"/>
          <w:sz w:val="28"/>
          <w:szCs w:val="28"/>
          <w:lang w:eastAsia="ru-RU"/>
        </w:rPr>
        <w:t xml:space="preserve"> 1725,34</w:t>
      </w:r>
      <w:r w:rsidRPr="00522104">
        <w:rPr>
          <w:rFonts w:ascii="Times New Roman" w:eastAsia="Times New Roman" w:hAnsi="Times New Roman" w:cs="Times New Roman"/>
          <w:sz w:val="28"/>
          <w:szCs w:val="28"/>
          <w:lang w:eastAsia="ru-RU"/>
        </w:rPr>
        <w:t xml:space="preserve"> млн рублей,</w:t>
      </w:r>
      <w:r w:rsidR="00C046BD"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 xml:space="preserve">на 2022 год </w:t>
      </w:r>
      <w:r w:rsidR="00C046BD" w:rsidRPr="00522104">
        <w:rPr>
          <w:rFonts w:ascii="Times New Roman" w:eastAsia="Times New Roman" w:hAnsi="Times New Roman" w:cs="Times New Roman"/>
          <w:sz w:val="28"/>
          <w:szCs w:val="28"/>
          <w:lang w:eastAsia="ru-RU"/>
        </w:rPr>
        <w:t>1525,75</w:t>
      </w:r>
      <w:r w:rsidRPr="00522104">
        <w:rPr>
          <w:rFonts w:ascii="Times New Roman" w:eastAsia="Times New Roman" w:hAnsi="Times New Roman" w:cs="Times New Roman"/>
          <w:sz w:val="28"/>
          <w:szCs w:val="28"/>
          <w:lang w:eastAsia="ru-RU"/>
        </w:rPr>
        <w:t xml:space="preserve"> млн рублей). На 202</w:t>
      </w:r>
      <w:r w:rsidR="00CC56D1" w:rsidRPr="00522104">
        <w:rPr>
          <w:rFonts w:ascii="Times New Roman" w:eastAsia="Times New Roman" w:hAnsi="Times New Roman" w:cs="Times New Roman"/>
          <w:sz w:val="28"/>
          <w:szCs w:val="28"/>
          <w:lang w:eastAsia="ru-RU"/>
        </w:rPr>
        <w:t>3</w:t>
      </w:r>
      <w:r w:rsidR="006211CE" w:rsidRPr="00522104">
        <w:rPr>
          <w:rFonts w:ascii="Times New Roman" w:eastAsia="Times New Roman" w:hAnsi="Times New Roman" w:cs="Times New Roman"/>
          <w:sz w:val="28"/>
          <w:szCs w:val="28"/>
          <w:lang w:eastAsia="ru-RU"/>
        </w:rPr>
        <w:t xml:space="preserve"> год прогнозируется 1574,20</w:t>
      </w:r>
      <w:r w:rsidRPr="00522104">
        <w:rPr>
          <w:rFonts w:ascii="Times New Roman" w:eastAsia="Times New Roman" w:hAnsi="Times New Roman" w:cs="Times New Roman"/>
          <w:sz w:val="28"/>
          <w:szCs w:val="28"/>
          <w:lang w:eastAsia="ru-RU"/>
        </w:rPr>
        <w:t> млн рублей, на 202</w:t>
      </w:r>
      <w:r w:rsidR="00CC56D1" w:rsidRPr="00522104">
        <w:rPr>
          <w:rFonts w:ascii="Times New Roman" w:eastAsia="Times New Roman" w:hAnsi="Times New Roman" w:cs="Times New Roman"/>
          <w:sz w:val="28"/>
          <w:szCs w:val="28"/>
          <w:lang w:eastAsia="ru-RU"/>
        </w:rPr>
        <w:t>4</w:t>
      </w:r>
      <w:r w:rsidR="006211CE" w:rsidRPr="00522104">
        <w:rPr>
          <w:rFonts w:ascii="Times New Roman" w:eastAsia="Times New Roman" w:hAnsi="Times New Roman" w:cs="Times New Roman"/>
          <w:sz w:val="28"/>
          <w:szCs w:val="28"/>
          <w:lang w:eastAsia="ru-RU"/>
        </w:rPr>
        <w:t xml:space="preserve"> год – 1553,20</w:t>
      </w:r>
      <w:r w:rsidRPr="00522104">
        <w:rPr>
          <w:rFonts w:ascii="Times New Roman" w:eastAsia="Times New Roman" w:hAnsi="Times New Roman" w:cs="Times New Roman"/>
          <w:sz w:val="28"/>
          <w:szCs w:val="28"/>
          <w:lang w:eastAsia="ru-RU"/>
        </w:rPr>
        <w:t xml:space="preserve"> млн рублей.</w:t>
      </w:r>
    </w:p>
    <w:p w14:paraId="54C66090" w14:textId="73D720F4"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Дотации на выравнивание бюджетной обеспеченности муниципальных районов (муниципальных округов, городских округов) запланированы на 2022 год в сумме 1553,31 млн рублей, что выше утвержденных назначений на 275,08 млн рублей, или 21,52 %, и выше на 2021 год на 75,47 млн рублей, или на 5,11 % (утверждено на 2021 год 1477,84 м</w:t>
      </w:r>
      <w:r w:rsidR="004D0380" w:rsidRPr="00522104">
        <w:rPr>
          <w:rFonts w:ascii="Times New Roman" w:eastAsia="Times New Roman" w:hAnsi="Times New Roman" w:cs="Times New Roman"/>
          <w:sz w:val="28"/>
          <w:szCs w:val="28"/>
          <w:lang w:eastAsia="ru-RU"/>
        </w:rPr>
        <w:t>лн рублей, на 2022 год – 1278,23</w:t>
      </w:r>
      <w:r w:rsidRPr="00522104">
        <w:rPr>
          <w:rFonts w:ascii="Times New Roman" w:eastAsia="Times New Roman" w:hAnsi="Times New Roman" w:cs="Times New Roman"/>
          <w:sz w:val="28"/>
          <w:szCs w:val="28"/>
          <w:lang w:eastAsia="ru-RU"/>
        </w:rPr>
        <w:t xml:space="preserve"> млн рублей). </w:t>
      </w:r>
    </w:p>
    <w:p w14:paraId="59736155" w14:textId="0264F7B9" w:rsidR="00BF4C80" w:rsidRPr="00522104" w:rsidRDefault="00BF4C80" w:rsidP="00BF4C8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Расчет и распределение дотаций в местные бюджеты произведен в соответствии с </w:t>
      </w:r>
      <w:r w:rsidR="00694F84" w:rsidRPr="00522104">
        <w:rPr>
          <w:rFonts w:ascii="Times New Roman" w:eastAsia="Times New Roman" w:hAnsi="Times New Roman" w:cs="Times New Roman"/>
          <w:sz w:val="28"/>
          <w:szCs w:val="28"/>
          <w:lang w:eastAsia="ru-RU"/>
        </w:rPr>
        <w:t>частью</w:t>
      </w:r>
      <w:r w:rsidRPr="00522104">
        <w:rPr>
          <w:rFonts w:ascii="Times New Roman" w:eastAsia="Times New Roman" w:hAnsi="Times New Roman" w:cs="Times New Roman"/>
          <w:sz w:val="28"/>
          <w:szCs w:val="28"/>
          <w:lang w:eastAsia="ru-RU"/>
        </w:rPr>
        <w:t xml:space="preserve"> 4 статьи 9 законопроекта при расчете дотаций на 2022 год и плановый п</w:t>
      </w:r>
      <w:r w:rsidR="00694F84" w:rsidRPr="00522104">
        <w:rPr>
          <w:rFonts w:ascii="Times New Roman" w:eastAsia="Times New Roman" w:hAnsi="Times New Roman" w:cs="Times New Roman"/>
          <w:sz w:val="28"/>
          <w:szCs w:val="28"/>
          <w:lang w:eastAsia="ru-RU"/>
        </w:rPr>
        <w:t>ериод 2023 и 2024 годов, который</w:t>
      </w:r>
      <w:r w:rsidRPr="00522104">
        <w:rPr>
          <w:rFonts w:ascii="Times New Roman" w:eastAsia="Times New Roman" w:hAnsi="Times New Roman" w:cs="Times New Roman"/>
          <w:sz w:val="28"/>
          <w:szCs w:val="28"/>
          <w:lang w:eastAsia="ru-RU"/>
        </w:rPr>
        <w:t xml:space="preserve"> определяет:</w:t>
      </w:r>
    </w:p>
    <w:p w14:paraId="3A69DEBC" w14:textId="77777777" w:rsidR="00BF4C80" w:rsidRPr="00522104" w:rsidRDefault="00BF4C80" w:rsidP="00BF4C8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минимальный уровень расчетной бюджетной обеспеченности муниципальных районов (муниципальных округов,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(муниципальных округов, городских округов) Приморского края, в размере 0,7;</w:t>
      </w:r>
    </w:p>
    <w:p w14:paraId="0A929882" w14:textId="6D8B4A9F" w:rsidR="00BF4C80" w:rsidRPr="00522104" w:rsidRDefault="00BF4C80" w:rsidP="00BF4C8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уровень, установленный в качестве второго критерия выравнивания бюджетной обеспеченности муниципальных районов (муниципальных округов, городских округов) Приморского края: на 2022 год в размере 1,92, на 2023 год – 1,82, на 2024 год </w:t>
      </w:r>
      <w:r w:rsidR="00DF29FE"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1,79.</w:t>
      </w:r>
    </w:p>
    <w:p w14:paraId="34F16E45" w14:textId="4DDFC07E" w:rsidR="00BF4C80" w:rsidRPr="00522104" w:rsidRDefault="00BF4C80" w:rsidP="00BF4C8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таблице 1 приложения 13 к законопроекту в разрезе 34 муниципальных образований Приморского края (городских и муниципальных округов, муниципальных районов) представлен общий расчетный объем дотации, в том числе заменяемый дополнительными нормативами отчислений от налога на доходы физических лиц</w:t>
      </w:r>
      <w:r w:rsidRPr="00522104">
        <w:rPr>
          <w:rStyle w:val="af"/>
          <w:rFonts w:ascii="Times New Roman" w:eastAsia="Times New Roman" w:hAnsi="Times New Roman" w:cs="Times New Roman"/>
          <w:sz w:val="28"/>
          <w:szCs w:val="28"/>
          <w:lang w:eastAsia="ru-RU"/>
        </w:rPr>
        <w:footnoteReference w:id="51"/>
      </w:r>
      <w:r w:rsidRPr="00522104">
        <w:rPr>
          <w:rFonts w:ascii="Times New Roman" w:eastAsia="Times New Roman" w:hAnsi="Times New Roman" w:cs="Times New Roman"/>
          <w:sz w:val="28"/>
          <w:szCs w:val="28"/>
          <w:lang w:eastAsia="ru-RU"/>
        </w:rPr>
        <w:t xml:space="preserve"> (далее – НДФЛ), а также представлен объем дотации на выравнивание бюджетной обеспеченности, подлежащи</w:t>
      </w:r>
      <w:r w:rsidR="0047596C" w:rsidRPr="00522104">
        <w:rPr>
          <w:rFonts w:ascii="Times New Roman" w:eastAsia="Times New Roman" w:hAnsi="Times New Roman" w:cs="Times New Roman"/>
          <w:sz w:val="28"/>
          <w:szCs w:val="28"/>
          <w:lang w:eastAsia="ru-RU"/>
        </w:rPr>
        <w:t>й</w:t>
      </w:r>
      <w:r w:rsidRPr="00522104">
        <w:rPr>
          <w:rFonts w:ascii="Times New Roman" w:eastAsia="Times New Roman" w:hAnsi="Times New Roman" w:cs="Times New Roman"/>
          <w:sz w:val="28"/>
          <w:szCs w:val="28"/>
          <w:lang w:eastAsia="ru-RU"/>
        </w:rPr>
        <w:t xml:space="preserve"> перечислению из краевого бюджета, на три года в полном объеме. В указанной таблице нераспределенный объем дотаций</w:t>
      </w:r>
      <w:r w:rsidRPr="00522104">
        <w:rPr>
          <w:rStyle w:val="af"/>
          <w:rFonts w:ascii="Times New Roman" w:eastAsia="Times New Roman" w:hAnsi="Times New Roman" w:cs="Times New Roman"/>
          <w:sz w:val="28"/>
          <w:szCs w:val="28"/>
          <w:lang w:eastAsia="ru-RU"/>
        </w:rPr>
        <w:footnoteReference w:id="52"/>
      </w:r>
      <w:r w:rsidRPr="00522104">
        <w:rPr>
          <w:rFonts w:ascii="Times New Roman" w:eastAsia="Times New Roman" w:hAnsi="Times New Roman" w:cs="Times New Roman"/>
          <w:sz w:val="28"/>
          <w:szCs w:val="28"/>
          <w:lang w:eastAsia="ru-RU"/>
        </w:rPr>
        <w:t xml:space="preserve"> на плановый период первого и второго годов отсутствует.</w:t>
      </w:r>
    </w:p>
    <w:p w14:paraId="2D202C01" w14:textId="0943EFF6" w:rsidR="00BF4C80" w:rsidRPr="00522104" w:rsidRDefault="00BF4C80" w:rsidP="00BF4C80">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Согласно таблице 2 приложения 15 к законопроекту общий объем дотации на 2022 год составит 12778,85 млн рублей, что </w:t>
      </w:r>
      <w:r w:rsidR="00E255AA" w:rsidRPr="00522104">
        <w:rPr>
          <w:rFonts w:ascii="Times New Roman" w:eastAsia="Times New Roman" w:hAnsi="Times New Roman" w:cs="Times New Roman"/>
          <w:sz w:val="28"/>
          <w:szCs w:val="28"/>
          <w:lang w:eastAsia="ru-RU"/>
        </w:rPr>
        <w:t>отвечает условиям</w:t>
      </w:r>
      <w:r w:rsidRPr="00522104">
        <w:rPr>
          <w:rFonts w:ascii="Times New Roman" w:eastAsia="Times New Roman" w:hAnsi="Times New Roman" w:cs="Times New Roman"/>
          <w:sz w:val="28"/>
          <w:szCs w:val="28"/>
          <w:lang w:eastAsia="ru-RU"/>
        </w:rPr>
        <w:t>, установленны</w:t>
      </w:r>
      <w:r w:rsidR="00E255AA" w:rsidRPr="00522104">
        <w:rPr>
          <w:rFonts w:ascii="Times New Roman" w:eastAsia="Times New Roman" w:hAnsi="Times New Roman" w:cs="Times New Roman"/>
          <w:sz w:val="28"/>
          <w:szCs w:val="28"/>
          <w:lang w:eastAsia="ru-RU"/>
        </w:rPr>
        <w:t>м</w:t>
      </w:r>
      <w:r w:rsidRPr="00522104">
        <w:rPr>
          <w:rFonts w:ascii="Times New Roman" w:eastAsia="Times New Roman" w:hAnsi="Times New Roman" w:cs="Times New Roman"/>
          <w:sz w:val="28"/>
          <w:szCs w:val="28"/>
          <w:lang w:eastAsia="ru-RU"/>
        </w:rPr>
        <w:t xml:space="preserve"> бюджетным законодательством (не менее 9440,70 млн рублей</w:t>
      </w:r>
      <w:r w:rsidRPr="00522104">
        <w:rPr>
          <w:rStyle w:val="af"/>
          <w:rFonts w:ascii="Times New Roman" w:eastAsia="Times New Roman" w:hAnsi="Times New Roman" w:cs="Times New Roman"/>
          <w:sz w:val="28"/>
          <w:szCs w:val="28"/>
          <w:lang w:eastAsia="ru-RU"/>
        </w:rPr>
        <w:footnoteReference w:id="53"/>
      </w:r>
      <w:r w:rsidRPr="00522104">
        <w:rPr>
          <w:rFonts w:ascii="Times New Roman" w:eastAsia="Times New Roman" w:hAnsi="Times New Roman" w:cs="Times New Roman"/>
          <w:sz w:val="28"/>
          <w:szCs w:val="28"/>
          <w:lang w:eastAsia="ru-RU"/>
        </w:rPr>
        <w:t xml:space="preserve">). Объем дотации к предыдущему году увеличен на 1340,59 млн рублей, или 11,72 % (11438,26 млн рублей). </w:t>
      </w:r>
    </w:p>
    <w:p w14:paraId="4644DB29" w14:textId="4D35700F"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краевого бюджета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 (в 2021 году </w:t>
      </w:r>
      <w:r w:rsidR="0047596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r w:rsidR="0047596C"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запланированы на 2022 год и плановый период в одинаковом объеме по 245,58 млн рублей, что ниже утвержденных на 2022 год на 1,94 млн рублей, или на 0,78 %, и ниже утвержденных на 2021 год на 1,</w:t>
      </w:r>
      <w:r w:rsidR="00B410D9" w:rsidRPr="00522104">
        <w:rPr>
          <w:rFonts w:ascii="Times New Roman" w:eastAsia="Times New Roman" w:hAnsi="Times New Roman" w:cs="Times New Roman"/>
          <w:sz w:val="28"/>
          <w:szCs w:val="28"/>
          <w:lang w:eastAsia="ru-RU"/>
        </w:rPr>
        <w:t xml:space="preserve">91 </w:t>
      </w:r>
      <w:r w:rsidRPr="00522104">
        <w:rPr>
          <w:rFonts w:ascii="Times New Roman" w:eastAsia="Times New Roman" w:hAnsi="Times New Roman" w:cs="Times New Roman"/>
          <w:sz w:val="28"/>
          <w:szCs w:val="28"/>
          <w:lang w:eastAsia="ru-RU"/>
        </w:rPr>
        <w:t>млн рублей, или на 0,78 %.</w:t>
      </w:r>
    </w:p>
    <w:p w14:paraId="39F9C6E2" w14:textId="77777777" w:rsidR="00E255AA" w:rsidRPr="00522104" w:rsidRDefault="00E255AA"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соответствии с частью 5 статьи 9 законопроекта, как и в 2020 и 2021 годах, на 2022 год и плановый период 2023 и 2024 годов предлагается без изменений для расчета общего объема субвенций на исполнение полномочий по расчету и предоставлению дотаций бюджетам поселений (далее – субвенция) среднекраевой объем субвенций бюджетам муниципальных районов Приморского края в расчете на одного жителя: </w:t>
      </w:r>
    </w:p>
    <w:p w14:paraId="27B08BEC" w14:textId="3E4F96CE" w:rsidR="00BF4C80" w:rsidRPr="00522104" w:rsidRDefault="00BF4C80" w:rsidP="00BF4C80">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городских поселений в размере 604 рубля;</w:t>
      </w:r>
    </w:p>
    <w:p w14:paraId="3AF49F32" w14:textId="5EF37EEA" w:rsidR="00BF4C80" w:rsidRPr="00522104" w:rsidRDefault="00BF4C80" w:rsidP="00BF4C80">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сельских поселений в размере 850 рублей.</w:t>
      </w:r>
    </w:p>
    <w:p w14:paraId="558C1F6C" w14:textId="5E573A99" w:rsidR="00BF4C80" w:rsidRPr="00522104" w:rsidRDefault="00203ECA" w:rsidP="00BF4C80">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Расчет субвенции произведен в соответствии с пунктом 1 Приложения 2 к Закону № 271-КЗ по численности постоянного населения городских и сельских поселений. В таблице 17 приложения 15 к законопроекту представлено распределение субвенций по 14 муниципальным районам по численности постоянного населения городских и сельских поселений на 01.01.2021. </w:t>
      </w:r>
      <w:r w:rsidR="003F78D9" w:rsidRPr="00522104">
        <w:rPr>
          <w:rFonts w:ascii="Times New Roman" w:eastAsia="Times New Roman" w:hAnsi="Times New Roman" w:cs="Times New Roman"/>
          <w:sz w:val="28"/>
          <w:szCs w:val="28"/>
          <w:lang w:eastAsia="ru-RU"/>
        </w:rPr>
        <w:t>Согласно данны</w:t>
      </w:r>
      <w:r w:rsidR="0047596C" w:rsidRPr="00522104">
        <w:rPr>
          <w:rFonts w:ascii="Times New Roman" w:eastAsia="Times New Roman" w:hAnsi="Times New Roman" w:cs="Times New Roman"/>
          <w:sz w:val="28"/>
          <w:szCs w:val="28"/>
          <w:lang w:eastAsia="ru-RU"/>
        </w:rPr>
        <w:t>м</w:t>
      </w:r>
      <w:r w:rsidR="003F78D9" w:rsidRPr="00522104">
        <w:rPr>
          <w:rFonts w:ascii="Times New Roman" w:eastAsia="Times New Roman" w:hAnsi="Times New Roman" w:cs="Times New Roman"/>
          <w:sz w:val="28"/>
          <w:szCs w:val="28"/>
          <w:lang w:eastAsia="ru-RU"/>
        </w:rPr>
        <w:t xml:space="preserve"> Росстата</w:t>
      </w:r>
      <w:r w:rsidR="0047596C" w:rsidRPr="00522104">
        <w:rPr>
          <w:rFonts w:ascii="Times New Roman" w:eastAsia="Times New Roman" w:hAnsi="Times New Roman" w:cs="Times New Roman"/>
          <w:sz w:val="28"/>
          <w:szCs w:val="28"/>
          <w:lang w:eastAsia="ru-RU"/>
        </w:rPr>
        <w:t>,</w:t>
      </w:r>
      <w:r w:rsidR="00BF4C80" w:rsidRPr="00522104">
        <w:rPr>
          <w:rFonts w:ascii="Times New Roman" w:eastAsia="Times New Roman" w:hAnsi="Times New Roman" w:cs="Times New Roman"/>
          <w:sz w:val="28"/>
          <w:szCs w:val="28"/>
          <w:lang w:eastAsia="ru-RU"/>
        </w:rPr>
        <w:t xml:space="preserve"> оценка численности постоянного населени</w:t>
      </w:r>
      <w:r w:rsidR="0047596C" w:rsidRPr="00522104">
        <w:rPr>
          <w:rFonts w:ascii="Times New Roman" w:eastAsia="Times New Roman" w:hAnsi="Times New Roman" w:cs="Times New Roman"/>
          <w:sz w:val="28"/>
          <w:szCs w:val="28"/>
          <w:lang w:eastAsia="ru-RU"/>
        </w:rPr>
        <w:t>я</w:t>
      </w:r>
      <w:r w:rsidR="00BF4C80" w:rsidRPr="00522104">
        <w:rPr>
          <w:rFonts w:ascii="Times New Roman" w:eastAsia="Times New Roman" w:hAnsi="Times New Roman" w:cs="Times New Roman"/>
          <w:sz w:val="28"/>
          <w:szCs w:val="28"/>
          <w:lang w:eastAsia="ru-RU"/>
        </w:rPr>
        <w:t xml:space="preserve"> на 01.01.2021</w:t>
      </w:r>
      <w:r w:rsidR="00BF4C80" w:rsidRPr="00522104">
        <w:rPr>
          <w:rStyle w:val="af"/>
          <w:rFonts w:ascii="Times New Roman" w:eastAsia="Times New Roman" w:hAnsi="Times New Roman" w:cs="Times New Roman"/>
          <w:sz w:val="28"/>
          <w:szCs w:val="28"/>
          <w:lang w:eastAsia="ru-RU"/>
        </w:rPr>
        <w:footnoteReference w:id="54"/>
      </w:r>
      <w:r w:rsidR="00BF4C80" w:rsidRPr="00522104">
        <w:rPr>
          <w:rFonts w:ascii="Times New Roman" w:eastAsia="Times New Roman" w:hAnsi="Times New Roman" w:cs="Times New Roman"/>
          <w:sz w:val="28"/>
          <w:szCs w:val="28"/>
          <w:lang w:eastAsia="ru-RU"/>
        </w:rPr>
        <w:t xml:space="preserve"> в целом по муниципальным районам соответствует численности, указанной в расчете. Однако имеются отклонения в расчете распределения в части применения численности населения в разрезе отдельных городских и сельских поселений. Так, согласно расчету</w:t>
      </w:r>
      <w:r w:rsidR="00F62185" w:rsidRPr="00522104">
        <w:rPr>
          <w:rFonts w:ascii="Times New Roman" w:eastAsia="Times New Roman" w:hAnsi="Times New Roman" w:cs="Times New Roman"/>
          <w:sz w:val="28"/>
          <w:szCs w:val="28"/>
          <w:lang w:eastAsia="ru-RU"/>
        </w:rPr>
        <w:t>,</w:t>
      </w:r>
      <w:r w:rsidR="00BF4C80" w:rsidRPr="00522104">
        <w:rPr>
          <w:rFonts w:ascii="Times New Roman" w:eastAsia="Times New Roman" w:hAnsi="Times New Roman" w:cs="Times New Roman"/>
          <w:sz w:val="28"/>
          <w:szCs w:val="28"/>
          <w:lang w:eastAsia="ru-RU"/>
        </w:rPr>
        <w:t xml:space="preserve"> в Кавалеровском муниципальном районе численность населения городских поселений указана 16969 человек, а по статистическим данным – 21928 человек, сельских поселений – 1133 человек, тогда как по статистическим данным – 6092 человек</w:t>
      </w:r>
      <w:r w:rsidR="00F62185" w:rsidRPr="00522104">
        <w:rPr>
          <w:rFonts w:ascii="Times New Roman" w:eastAsia="Times New Roman" w:hAnsi="Times New Roman" w:cs="Times New Roman"/>
          <w:sz w:val="28"/>
          <w:szCs w:val="28"/>
          <w:lang w:eastAsia="ru-RU"/>
        </w:rPr>
        <w:t>,</w:t>
      </w:r>
      <w:r w:rsidR="00BF4C80" w:rsidRPr="00522104">
        <w:rPr>
          <w:rFonts w:ascii="Times New Roman" w:eastAsia="Times New Roman" w:hAnsi="Times New Roman" w:cs="Times New Roman"/>
          <w:sz w:val="28"/>
          <w:szCs w:val="28"/>
          <w:lang w:eastAsia="ru-RU"/>
        </w:rPr>
        <w:t xml:space="preserve"> в Кировском муниципальном районе </w:t>
      </w:r>
      <w:r w:rsidR="00F62185" w:rsidRPr="00522104">
        <w:rPr>
          <w:rFonts w:ascii="Times New Roman" w:eastAsia="Times New Roman" w:hAnsi="Times New Roman" w:cs="Times New Roman"/>
          <w:sz w:val="28"/>
          <w:szCs w:val="28"/>
          <w:lang w:eastAsia="ru-RU"/>
        </w:rPr>
        <w:t>–</w:t>
      </w:r>
      <w:r w:rsidR="00BF4C80" w:rsidRPr="00522104">
        <w:rPr>
          <w:rFonts w:ascii="Times New Roman" w:eastAsia="Times New Roman" w:hAnsi="Times New Roman" w:cs="Times New Roman"/>
          <w:sz w:val="28"/>
          <w:szCs w:val="28"/>
          <w:lang w:eastAsia="ru-RU"/>
        </w:rPr>
        <w:t xml:space="preserve"> в городских поселени</w:t>
      </w:r>
      <w:r w:rsidR="005C403C" w:rsidRPr="00522104">
        <w:rPr>
          <w:rFonts w:ascii="Times New Roman" w:eastAsia="Times New Roman" w:hAnsi="Times New Roman" w:cs="Times New Roman"/>
          <w:sz w:val="28"/>
          <w:szCs w:val="28"/>
          <w:lang w:eastAsia="ru-RU"/>
        </w:rPr>
        <w:t>ях</w:t>
      </w:r>
      <w:r w:rsidR="00BF4C80" w:rsidRPr="00522104">
        <w:rPr>
          <w:rFonts w:ascii="Times New Roman" w:eastAsia="Times New Roman" w:hAnsi="Times New Roman" w:cs="Times New Roman"/>
          <w:sz w:val="28"/>
          <w:szCs w:val="28"/>
          <w:lang w:eastAsia="ru-RU"/>
        </w:rPr>
        <w:t xml:space="preserve"> указана 16178 человек, а по статистическим данным – 12089 человек, сельских поселений – 1564 человек, по статистическим данным – 5653 человек. Подобные отклонения имеются в Михайловском, Ольгинском, Хасанском, Черниговском муниципальных районах, что влияет на уровень </w:t>
      </w:r>
      <w:r w:rsidRPr="00522104">
        <w:rPr>
          <w:rFonts w:ascii="Times New Roman" w:eastAsia="Times New Roman" w:hAnsi="Times New Roman" w:cs="Times New Roman"/>
          <w:sz w:val="28"/>
          <w:szCs w:val="28"/>
          <w:lang w:eastAsia="ru-RU"/>
        </w:rPr>
        <w:t xml:space="preserve">расчетной </w:t>
      </w:r>
      <w:r w:rsidR="00BF4C80" w:rsidRPr="00522104">
        <w:rPr>
          <w:rFonts w:ascii="Times New Roman" w:eastAsia="Times New Roman" w:hAnsi="Times New Roman" w:cs="Times New Roman"/>
          <w:sz w:val="28"/>
          <w:szCs w:val="28"/>
          <w:lang w:eastAsia="ru-RU"/>
        </w:rPr>
        <w:t>бюджетной обеспеченности муниципальных бюджетов поселений.</w:t>
      </w:r>
    </w:p>
    <w:p w14:paraId="7D8CD524" w14:textId="77777777" w:rsidR="00827437" w:rsidRPr="00522104" w:rsidRDefault="00827437" w:rsidP="00827437">
      <w:pPr>
        <w:spacing w:after="0" w:line="240" w:lineRule="auto"/>
        <w:ind w:firstLine="720"/>
        <w:jc w:val="both"/>
        <w:rPr>
          <w:rFonts w:ascii="Times New Roman" w:eastAsiaTheme="minorEastAsia" w:hAnsi="Times New Roman" w:cs="Times New Roman"/>
          <w:sz w:val="28"/>
          <w:szCs w:val="28"/>
          <w:lang w:eastAsia="ru-RU"/>
        </w:rPr>
      </w:pPr>
    </w:p>
    <w:p w14:paraId="1ED9C3BC"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hAnsi="Times New Roman" w:cs="Times New Roman"/>
          <w:noProof/>
          <w:lang w:eastAsia="ru-RU"/>
        </w:rPr>
        <w:drawing>
          <wp:anchor distT="0" distB="0" distL="114300" distR="114300" simplePos="0" relativeHeight="251721728" behindDoc="0" locked="0" layoutInCell="1" allowOverlap="1" wp14:anchorId="0C3A0338" wp14:editId="289A3125">
            <wp:simplePos x="0" y="0"/>
            <wp:positionH relativeFrom="column">
              <wp:posOffset>135552</wp:posOffset>
            </wp:positionH>
            <wp:positionV relativeFrom="paragraph">
              <wp:posOffset>36493</wp:posOffset>
            </wp:positionV>
            <wp:extent cx="1439545" cy="1312545"/>
            <wp:effectExtent l="0" t="0" r="0" b="0"/>
            <wp:wrapSquare wrapText="bothSides"/>
            <wp:docPr id="37" name="Рисунок 37" descr="C:\Users\zavzyataya_sv\Desktop\Картинки\blagoustrojstvo-dvora-e1577339490653.jpg"/>
            <wp:cNvGraphicFramePr/>
            <a:graphic xmlns:a="http://schemas.openxmlformats.org/drawingml/2006/main">
              <a:graphicData uri="http://schemas.openxmlformats.org/drawingml/2006/picture">
                <pic:pic xmlns:pic="http://schemas.openxmlformats.org/drawingml/2006/picture">
                  <pic:nvPicPr>
                    <pic:cNvPr id="37" name="Рисунок 37" descr="C:\Users\zavzyataya_sv\Desktop\Картинки\blagoustrojstvo-dvora-e1577339490653.jpg"/>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39545" cy="1312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2104">
        <w:rPr>
          <w:rFonts w:ascii="Times New Roman" w:eastAsia="Times New Roman" w:hAnsi="Times New Roman" w:cs="Times New Roman"/>
          <w:b/>
          <w:sz w:val="28"/>
          <w:szCs w:val="28"/>
          <w:lang w:eastAsia="ru-RU"/>
        </w:rPr>
        <w:t>Государственная программа "Формирование современной городской среды муниципальных образований Приморского края"</w:t>
      </w:r>
    </w:p>
    <w:p w14:paraId="2336CE4D"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паспорту ГП ответственным исполнителем является м</w:t>
      </w:r>
      <w:r w:rsidRPr="00522104">
        <w:rPr>
          <w:rFonts w:ascii="Times New Roman" w:hAnsi="Times New Roman" w:cs="Times New Roman"/>
          <w:sz w:val="28"/>
          <w:szCs w:val="28"/>
        </w:rPr>
        <w:t>инистерство жилищно-коммунального хозяйства Приморского края.</w:t>
      </w:r>
      <w:r w:rsidRPr="00522104">
        <w:rPr>
          <w:rFonts w:ascii="Times New Roman" w:eastAsia="Times New Roman" w:hAnsi="Times New Roman" w:cs="Times New Roman"/>
          <w:sz w:val="28"/>
          <w:szCs w:val="28"/>
          <w:lang w:eastAsia="ru-RU"/>
        </w:rPr>
        <w:t xml:space="preserve"> </w:t>
      </w:r>
    </w:p>
    <w:p w14:paraId="089532FF" w14:textId="365A9DC1"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Объем финансового обеспечения в паспорте ГП соответствует бюджетным ассигнованиям, предусмотренным на 2022 год действующим законом о краевом бюджете </w:t>
      </w:r>
      <w:r w:rsidR="0079689B" w:rsidRPr="00522104">
        <w:rPr>
          <w:rFonts w:ascii="Times New Roman" w:hAnsi="Times New Roman" w:cs="Times New Roman"/>
          <w:sz w:val="28"/>
          <w:szCs w:val="28"/>
        </w:rPr>
        <w:t>–</w:t>
      </w:r>
      <w:r w:rsidRPr="00522104">
        <w:rPr>
          <w:rFonts w:ascii="Times New Roman" w:hAnsi="Times New Roman" w:cs="Times New Roman"/>
          <w:sz w:val="28"/>
          <w:szCs w:val="28"/>
        </w:rPr>
        <w:t xml:space="preserve"> 1 745,68 млн рублей, из них: за счет средств федерального бюджета – 534,76 млн рублей, краевого – 1 210,92 млн рублей.</w:t>
      </w:r>
    </w:p>
    <w:p w14:paraId="5ED21E00" w14:textId="4D62D1F3" w:rsidR="00827437" w:rsidRPr="00522104" w:rsidRDefault="00827437" w:rsidP="00827437">
      <w:pPr>
        <w:widowControl w:val="0"/>
        <w:shd w:val="clear" w:color="auto" w:fill="FFFFFF"/>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законопроекте по отношению к действующей редакции Закона № 969-КЗ расходы на 2022 год уменьшены на 24,75 %, или на 432,13 млн рублей и составили 1 313,55 млн рублей. На плановый период 2023 - 2024 годов бюджетные ассигнования на реализацию мероприятий государственной программы предусмотрены на 2023 год – 1 743,55 млн рублей и на 2024 год – 1 803,95 млн рублей, при этом действующей редакцией ГП ресурсное обеспечение на 2024 год не предусмотрено.</w:t>
      </w:r>
    </w:p>
    <w:p w14:paraId="3DD5DD23"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Относительно показателей 2021 года в действующей редакции ГП проектное ресурсное обеспечение на 2022 год </w:t>
      </w:r>
      <w:r w:rsidRPr="00522104">
        <w:rPr>
          <w:rFonts w:ascii="Times New Roman" w:eastAsia="Times New Roman" w:hAnsi="Times New Roman" w:cs="Times New Roman"/>
          <w:sz w:val="28"/>
          <w:szCs w:val="28"/>
          <w:lang w:eastAsia="ru-RU"/>
        </w:rPr>
        <w:t>уменьшено на 5,84 %, или на 81,45 млн рублей, в основном, за счет уменьшения расходов из средств краевого бюджета в рамках подпрограммы "</w:t>
      </w:r>
      <w:r w:rsidRPr="00522104">
        <w:rPr>
          <w:rFonts w:ascii="Times New Roman" w:eastAsia="Times New Roman" w:hAnsi="Times New Roman" w:cs="Times New Roman"/>
          <w:color w:val="000000"/>
          <w:sz w:val="28"/>
          <w:szCs w:val="28"/>
          <w:lang w:eastAsia="ru-RU"/>
        </w:rPr>
        <w:t>Благоустройство территорий муниципальных образований Приморского края"</w:t>
      </w:r>
      <w:r w:rsidRPr="00522104">
        <w:rPr>
          <w:rFonts w:ascii="Times New Roman" w:hAnsi="Times New Roman" w:cs="Times New Roman"/>
          <w:sz w:val="28"/>
          <w:szCs w:val="28"/>
        </w:rPr>
        <w:t xml:space="preserve"> на 141,41 млн рублей.</w:t>
      </w:r>
    </w:p>
    <w:p w14:paraId="50915A36" w14:textId="723FBA13" w:rsidR="00827437" w:rsidRPr="00522104"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Законопроектом расходы по ГП предусмотрены по </w:t>
      </w:r>
      <w:r w:rsidRPr="00522104">
        <w:rPr>
          <w:rFonts w:ascii="Times New Roman" w:eastAsia="Times New Roman" w:hAnsi="Times New Roman" w:cs="Times New Roman"/>
          <w:sz w:val="28"/>
          <w:szCs w:val="28"/>
          <w:lang w:eastAsia="ru-RU"/>
        </w:rPr>
        <w:t xml:space="preserve">министерству жилищно-коммунального хозяйства Приморского края в разрезе двух подпрограмм. </w:t>
      </w:r>
      <w:r w:rsidRPr="00522104">
        <w:rPr>
          <w:rFonts w:ascii="Times New Roman" w:hAnsi="Times New Roman" w:cs="Times New Roman"/>
          <w:sz w:val="28"/>
          <w:szCs w:val="28"/>
        </w:rPr>
        <w:t xml:space="preserve">В рамках ГП на 2022 год запланированы средства на общую сумму 1 313,55 млн рублей, из них 602,68 млн рублей за счет средств федерального бюджета в рамках ФП "Формирование комфортной городской среды", 710,87 млн рублей </w:t>
      </w:r>
      <w:r w:rsidR="0079689B" w:rsidRPr="00522104">
        <w:rPr>
          <w:rFonts w:ascii="Times New Roman" w:hAnsi="Times New Roman" w:cs="Times New Roman"/>
          <w:sz w:val="28"/>
          <w:szCs w:val="28"/>
        </w:rPr>
        <w:t>–</w:t>
      </w:r>
      <w:r w:rsidRPr="00522104">
        <w:rPr>
          <w:rFonts w:ascii="Times New Roman" w:hAnsi="Times New Roman" w:cs="Times New Roman"/>
          <w:sz w:val="28"/>
          <w:szCs w:val="28"/>
        </w:rPr>
        <w:t xml:space="preserve"> за счет средств краевого бюджета. </w:t>
      </w:r>
    </w:p>
    <w:p w14:paraId="733EA2EE" w14:textId="77777777" w:rsidR="00827437" w:rsidRDefault="00827437" w:rsidP="00827437">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Распределение бюджетных ассигнований на финансовое обеспечение ГП в разрезе подпрограмм с указанием федерального проекта приведено в таблице.</w:t>
      </w:r>
    </w:p>
    <w:p w14:paraId="474D41A5" w14:textId="77777777" w:rsidR="00467069" w:rsidRPr="00522104" w:rsidRDefault="00467069" w:rsidP="00827437">
      <w:pPr>
        <w:spacing w:after="0" w:line="240" w:lineRule="auto"/>
        <w:ind w:firstLine="709"/>
        <w:jc w:val="both"/>
        <w:rPr>
          <w:rFonts w:ascii="Times New Roman" w:hAnsi="Times New Roman" w:cs="Times New Roman"/>
          <w:sz w:val="28"/>
          <w:szCs w:val="28"/>
        </w:rPr>
      </w:pPr>
    </w:p>
    <w:tbl>
      <w:tblPr>
        <w:tblW w:w="9707" w:type="dxa"/>
        <w:tblInd w:w="-284" w:type="dxa"/>
        <w:tblLayout w:type="fixed"/>
        <w:tblLook w:val="04A0" w:firstRow="1" w:lastRow="0" w:firstColumn="1" w:lastColumn="0" w:noHBand="0" w:noVBand="1"/>
      </w:tblPr>
      <w:tblGrid>
        <w:gridCol w:w="2694"/>
        <w:gridCol w:w="992"/>
        <w:gridCol w:w="850"/>
        <w:gridCol w:w="851"/>
        <w:gridCol w:w="851"/>
        <w:gridCol w:w="851"/>
        <w:gridCol w:w="850"/>
        <w:gridCol w:w="884"/>
        <w:gridCol w:w="884"/>
      </w:tblGrid>
      <w:tr w:rsidR="00827437" w:rsidRPr="000B3CF8" w14:paraId="54FD3972" w14:textId="77777777" w:rsidTr="00467069">
        <w:trPr>
          <w:trHeight w:val="167"/>
          <w:tblHeader/>
        </w:trPr>
        <w:tc>
          <w:tcPr>
            <w:tcW w:w="2694" w:type="dxa"/>
            <w:tcBorders>
              <w:bottom w:val="single" w:sz="4" w:space="0" w:color="auto"/>
            </w:tcBorders>
            <w:shd w:val="clear" w:color="DCE6F1" w:fill="FFFFFF"/>
            <w:vAlign w:val="center"/>
          </w:tcPr>
          <w:p w14:paraId="44FD7215"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p>
        </w:tc>
        <w:tc>
          <w:tcPr>
            <w:tcW w:w="992" w:type="dxa"/>
            <w:tcBorders>
              <w:bottom w:val="single" w:sz="4" w:space="0" w:color="auto"/>
            </w:tcBorders>
            <w:shd w:val="clear" w:color="DCE6F1" w:fill="FFFFFF"/>
          </w:tcPr>
          <w:p w14:paraId="4A0E5F94"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p>
        </w:tc>
        <w:tc>
          <w:tcPr>
            <w:tcW w:w="850" w:type="dxa"/>
            <w:tcBorders>
              <w:bottom w:val="single" w:sz="4" w:space="0" w:color="auto"/>
            </w:tcBorders>
            <w:shd w:val="clear" w:color="DCE6F1" w:fill="FFFFFF"/>
          </w:tcPr>
          <w:p w14:paraId="24758357"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p>
        </w:tc>
        <w:tc>
          <w:tcPr>
            <w:tcW w:w="851" w:type="dxa"/>
            <w:tcBorders>
              <w:bottom w:val="single" w:sz="4" w:space="0" w:color="auto"/>
            </w:tcBorders>
            <w:shd w:val="clear" w:color="DCE6F1" w:fill="FFFFFF"/>
            <w:vAlign w:val="center"/>
          </w:tcPr>
          <w:p w14:paraId="4B3C5A86"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p>
        </w:tc>
        <w:tc>
          <w:tcPr>
            <w:tcW w:w="2552" w:type="dxa"/>
            <w:gridSpan w:val="3"/>
            <w:tcBorders>
              <w:bottom w:val="single" w:sz="4" w:space="0" w:color="auto"/>
            </w:tcBorders>
            <w:shd w:val="clear" w:color="DCE6F1" w:fill="FFFFFF"/>
            <w:vAlign w:val="center"/>
          </w:tcPr>
          <w:p w14:paraId="6569B02D"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p>
        </w:tc>
        <w:tc>
          <w:tcPr>
            <w:tcW w:w="1768" w:type="dxa"/>
            <w:gridSpan w:val="2"/>
            <w:tcBorders>
              <w:bottom w:val="single" w:sz="4" w:space="0" w:color="auto"/>
            </w:tcBorders>
            <w:shd w:val="clear" w:color="DCE6F1" w:fill="FFFFFF"/>
            <w:vAlign w:val="center"/>
          </w:tcPr>
          <w:p w14:paraId="2298A4F6" w14:textId="77777777" w:rsidR="00827437" w:rsidRPr="000B3CF8" w:rsidRDefault="00827437" w:rsidP="00E40BEE">
            <w:pPr>
              <w:spacing w:after="0" w:line="240" w:lineRule="auto"/>
              <w:jc w:val="right"/>
              <w:rPr>
                <w:rFonts w:ascii="Times New Roman" w:eastAsia="Times New Roman" w:hAnsi="Times New Roman" w:cs="Times New Roman"/>
                <w:bCs/>
                <w:color w:val="000000"/>
                <w:sz w:val="20"/>
                <w:szCs w:val="20"/>
                <w:lang w:eastAsia="ru-RU"/>
              </w:rPr>
            </w:pPr>
            <w:r w:rsidRPr="000B3CF8">
              <w:rPr>
                <w:rFonts w:ascii="Times New Roman" w:eastAsia="Times New Roman" w:hAnsi="Times New Roman" w:cs="Times New Roman"/>
                <w:bCs/>
                <w:color w:val="000000"/>
                <w:sz w:val="20"/>
                <w:szCs w:val="20"/>
                <w:lang w:eastAsia="ru-RU"/>
              </w:rPr>
              <w:t>(млн рублей)</w:t>
            </w:r>
          </w:p>
        </w:tc>
      </w:tr>
      <w:tr w:rsidR="00827437" w:rsidRPr="00522104" w14:paraId="1B6F903F" w14:textId="77777777" w:rsidTr="00467069">
        <w:trPr>
          <w:trHeight w:val="255"/>
          <w:tblHeader/>
        </w:trPr>
        <w:tc>
          <w:tcPr>
            <w:tcW w:w="2694" w:type="dxa"/>
            <w:vMerge w:val="restart"/>
            <w:tcBorders>
              <w:top w:val="single" w:sz="4" w:space="0" w:color="auto"/>
              <w:left w:val="single" w:sz="4" w:space="0" w:color="auto"/>
              <w:right w:val="single" w:sz="4" w:space="0" w:color="auto"/>
            </w:tcBorders>
            <w:shd w:val="clear" w:color="DCE6F1" w:fill="FFFFFF"/>
            <w:vAlign w:val="center"/>
          </w:tcPr>
          <w:p w14:paraId="1191C094"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Наименование</w:t>
            </w:r>
          </w:p>
        </w:tc>
        <w:tc>
          <w:tcPr>
            <w:tcW w:w="2693" w:type="dxa"/>
            <w:gridSpan w:val="3"/>
            <w:tcBorders>
              <w:top w:val="single" w:sz="4" w:space="0" w:color="auto"/>
              <w:left w:val="single" w:sz="4" w:space="0" w:color="auto"/>
              <w:bottom w:val="single" w:sz="4" w:space="0" w:color="auto"/>
              <w:right w:val="single" w:sz="4" w:space="0" w:color="auto"/>
            </w:tcBorders>
            <w:shd w:val="clear" w:color="DCE6F1" w:fill="FFFFFF"/>
          </w:tcPr>
          <w:p w14:paraId="1F95B267"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Закон № 969-КЗ</w:t>
            </w:r>
          </w:p>
        </w:tc>
        <w:tc>
          <w:tcPr>
            <w:tcW w:w="2552" w:type="dxa"/>
            <w:gridSpan w:val="3"/>
            <w:vMerge w:val="restart"/>
            <w:tcBorders>
              <w:top w:val="single" w:sz="4" w:space="0" w:color="auto"/>
              <w:left w:val="single" w:sz="4" w:space="0" w:color="auto"/>
              <w:right w:val="single" w:sz="4" w:space="0" w:color="auto"/>
            </w:tcBorders>
            <w:shd w:val="clear" w:color="DCE6F1" w:fill="FFFFFF"/>
            <w:vAlign w:val="center"/>
          </w:tcPr>
          <w:p w14:paraId="4CE9DB94"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 xml:space="preserve">Законопроект </w:t>
            </w:r>
          </w:p>
        </w:tc>
        <w:tc>
          <w:tcPr>
            <w:tcW w:w="1768" w:type="dxa"/>
            <w:gridSpan w:val="2"/>
            <w:vMerge w:val="restart"/>
            <w:tcBorders>
              <w:top w:val="single" w:sz="4" w:space="0" w:color="auto"/>
              <w:left w:val="nil"/>
              <w:right w:val="single" w:sz="4" w:space="0" w:color="auto"/>
            </w:tcBorders>
            <w:shd w:val="clear" w:color="DCE6F1" w:fill="FFFFFF"/>
            <w:vAlign w:val="center"/>
          </w:tcPr>
          <w:p w14:paraId="4299A584" w14:textId="77777777" w:rsidR="00827437" w:rsidRPr="00522104" w:rsidRDefault="0082743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Отклонения законопроекта от утвержденных назначений</w:t>
            </w:r>
          </w:p>
        </w:tc>
      </w:tr>
      <w:tr w:rsidR="00272907" w:rsidRPr="00522104" w14:paraId="2FB2C8D2" w14:textId="77777777" w:rsidTr="00467069">
        <w:trPr>
          <w:trHeight w:val="307"/>
          <w:tblHeader/>
        </w:trPr>
        <w:tc>
          <w:tcPr>
            <w:tcW w:w="2694" w:type="dxa"/>
            <w:vMerge/>
            <w:tcBorders>
              <w:left w:val="single" w:sz="4" w:space="0" w:color="auto"/>
              <w:right w:val="single" w:sz="4" w:space="0" w:color="auto"/>
            </w:tcBorders>
            <w:shd w:val="clear" w:color="DCE6F1" w:fill="FFFFFF"/>
            <w:vAlign w:val="center"/>
          </w:tcPr>
          <w:p w14:paraId="21FD8BD1"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p>
        </w:tc>
        <w:tc>
          <w:tcPr>
            <w:tcW w:w="992" w:type="dxa"/>
            <w:vMerge w:val="restart"/>
            <w:tcBorders>
              <w:top w:val="single" w:sz="4" w:space="0" w:color="auto"/>
              <w:left w:val="single" w:sz="4" w:space="0" w:color="auto"/>
              <w:right w:val="single" w:sz="4" w:space="0" w:color="auto"/>
            </w:tcBorders>
            <w:shd w:val="clear" w:color="DCE6F1" w:fill="FFFFFF"/>
          </w:tcPr>
          <w:p w14:paraId="4DCBB96E" w14:textId="3643C290"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Первона</w:t>
            </w:r>
            <w:r>
              <w:rPr>
                <w:rFonts w:ascii="Times New Roman" w:eastAsia="Times New Roman" w:hAnsi="Times New Roman" w:cs="Times New Roman"/>
                <w:bCs/>
                <w:color w:val="000000"/>
                <w:sz w:val="18"/>
                <w:szCs w:val="18"/>
                <w:lang w:eastAsia="ru-RU"/>
              </w:rPr>
              <w:t>-</w:t>
            </w:r>
            <w:r w:rsidRPr="00522104">
              <w:rPr>
                <w:rFonts w:ascii="Times New Roman" w:eastAsia="Times New Roman" w:hAnsi="Times New Roman" w:cs="Times New Roman"/>
                <w:bCs/>
                <w:color w:val="000000"/>
                <w:sz w:val="18"/>
                <w:szCs w:val="18"/>
                <w:lang w:eastAsia="ru-RU"/>
              </w:rPr>
              <w:t>чальная редакция</w:t>
            </w:r>
          </w:p>
          <w:p w14:paraId="16E99CFB" w14:textId="1B959BF6"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2021 год</w:t>
            </w:r>
          </w:p>
        </w:tc>
        <w:tc>
          <w:tcPr>
            <w:tcW w:w="1701" w:type="dxa"/>
            <w:gridSpan w:val="2"/>
            <w:tcBorders>
              <w:top w:val="single" w:sz="4" w:space="0" w:color="auto"/>
              <w:left w:val="single" w:sz="4" w:space="0" w:color="auto"/>
              <w:bottom w:val="single" w:sz="4" w:space="0" w:color="auto"/>
              <w:right w:val="single" w:sz="4" w:space="0" w:color="auto"/>
            </w:tcBorders>
            <w:shd w:val="clear" w:color="DCE6F1" w:fill="FFFFFF"/>
            <w:vAlign w:val="center"/>
          </w:tcPr>
          <w:p w14:paraId="1B380AAC"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8 редакция</w:t>
            </w:r>
          </w:p>
        </w:tc>
        <w:tc>
          <w:tcPr>
            <w:tcW w:w="2552" w:type="dxa"/>
            <w:gridSpan w:val="3"/>
            <w:vMerge/>
            <w:tcBorders>
              <w:left w:val="single" w:sz="4" w:space="0" w:color="auto"/>
              <w:bottom w:val="single" w:sz="4" w:space="0" w:color="000000"/>
              <w:right w:val="single" w:sz="4" w:space="0" w:color="auto"/>
            </w:tcBorders>
            <w:shd w:val="clear" w:color="DCE6F1" w:fill="FFFFFF"/>
            <w:vAlign w:val="center"/>
          </w:tcPr>
          <w:p w14:paraId="4FFE38E2"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p>
        </w:tc>
        <w:tc>
          <w:tcPr>
            <w:tcW w:w="1768" w:type="dxa"/>
            <w:gridSpan w:val="2"/>
            <w:vMerge/>
            <w:tcBorders>
              <w:left w:val="nil"/>
              <w:bottom w:val="single" w:sz="4" w:space="0" w:color="auto"/>
              <w:right w:val="single" w:sz="4" w:space="0" w:color="auto"/>
            </w:tcBorders>
            <w:shd w:val="clear" w:color="DCE6F1" w:fill="FFFFFF"/>
            <w:vAlign w:val="center"/>
          </w:tcPr>
          <w:p w14:paraId="66D90C1E"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p>
        </w:tc>
      </w:tr>
      <w:tr w:rsidR="00272907" w:rsidRPr="00522104" w14:paraId="4E87ADED" w14:textId="77777777" w:rsidTr="00467069">
        <w:trPr>
          <w:trHeight w:val="230"/>
          <w:tblHeader/>
        </w:trPr>
        <w:tc>
          <w:tcPr>
            <w:tcW w:w="2694" w:type="dxa"/>
            <w:vMerge/>
            <w:tcBorders>
              <w:left w:val="single" w:sz="4" w:space="0" w:color="auto"/>
              <w:bottom w:val="single" w:sz="4" w:space="0" w:color="auto"/>
              <w:right w:val="single" w:sz="4" w:space="0" w:color="auto"/>
            </w:tcBorders>
            <w:shd w:val="clear" w:color="DCE6F1" w:fill="FFFFFF"/>
            <w:vAlign w:val="center"/>
            <w:hideMark/>
          </w:tcPr>
          <w:p w14:paraId="78CEE5AB"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p>
        </w:tc>
        <w:tc>
          <w:tcPr>
            <w:tcW w:w="992" w:type="dxa"/>
            <w:vMerge/>
            <w:tcBorders>
              <w:left w:val="single" w:sz="4" w:space="0" w:color="auto"/>
              <w:right w:val="single" w:sz="4" w:space="0" w:color="auto"/>
            </w:tcBorders>
            <w:shd w:val="clear" w:color="DCE6F1" w:fill="FFFFFF"/>
            <w:vAlign w:val="center"/>
          </w:tcPr>
          <w:p w14:paraId="344DD8F8" w14:textId="3DC8720A"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p>
        </w:tc>
        <w:tc>
          <w:tcPr>
            <w:tcW w:w="850" w:type="dxa"/>
            <w:tcBorders>
              <w:top w:val="single" w:sz="4" w:space="0" w:color="auto"/>
              <w:left w:val="single" w:sz="4" w:space="0" w:color="auto"/>
              <w:right w:val="single" w:sz="4" w:space="0" w:color="auto"/>
            </w:tcBorders>
            <w:shd w:val="clear" w:color="DCE6F1" w:fill="FFFFFF"/>
            <w:vAlign w:val="center"/>
          </w:tcPr>
          <w:p w14:paraId="298961B6"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2021 год</w:t>
            </w:r>
          </w:p>
        </w:tc>
        <w:tc>
          <w:tcPr>
            <w:tcW w:w="851" w:type="dxa"/>
            <w:tcBorders>
              <w:top w:val="single" w:sz="4" w:space="0" w:color="auto"/>
              <w:left w:val="single" w:sz="4" w:space="0" w:color="auto"/>
              <w:right w:val="single" w:sz="4" w:space="0" w:color="auto"/>
            </w:tcBorders>
            <w:shd w:val="clear" w:color="DCE6F1" w:fill="FFFFFF"/>
            <w:vAlign w:val="center"/>
            <w:hideMark/>
          </w:tcPr>
          <w:p w14:paraId="16763EC3"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 год</w:t>
            </w:r>
          </w:p>
        </w:tc>
        <w:tc>
          <w:tcPr>
            <w:tcW w:w="851" w:type="dxa"/>
            <w:tcBorders>
              <w:top w:val="single" w:sz="4" w:space="0" w:color="auto"/>
              <w:left w:val="single" w:sz="4" w:space="0" w:color="auto"/>
              <w:bottom w:val="single" w:sz="4" w:space="0" w:color="000000"/>
              <w:right w:val="single" w:sz="4" w:space="0" w:color="auto"/>
            </w:tcBorders>
            <w:shd w:val="clear" w:color="DCE6F1" w:fill="FFFFFF"/>
            <w:vAlign w:val="center"/>
            <w:hideMark/>
          </w:tcPr>
          <w:p w14:paraId="515288CB"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 год</w:t>
            </w:r>
          </w:p>
        </w:tc>
        <w:tc>
          <w:tcPr>
            <w:tcW w:w="851" w:type="dxa"/>
            <w:tcBorders>
              <w:top w:val="single" w:sz="4" w:space="0" w:color="auto"/>
              <w:left w:val="single" w:sz="4" w:space="0" w:color="auto"/>
              <w:bottom w:val="single" w:sz="4" w:space="0" w:color="000000"/>
              <w:right w:val="single" w:sz="4" w:space="0" w:color="auto"/>
            </w:tcBorders>
            <w:shd w:val="clear" w:color="DCE6F1" w:fill="FFFFFF"/>
            <w:vAlign w:val="center"/>
            <w:hideMark/>
          </w:tcPr>
          <w:p w14:paraId="6656B84C"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2023 год</w:t>
            </w:r>
          </w:p>
        </w:tc>
        <w:tc>
          <w:tcPr>
            <w:tcW w:w="850" w:type="dxa"/>
            <w:tcBorders>
              <w:top w:val="single" w:sz="4" w:space="0" w:color="auto"/>
              <w:left w:val="single" w:sz="4" w:space="0" w:color="auto"/>
              <w:bottom w:val="single" w:sz="4" w:space="0" w:color="000000"/>
              <w:right w:val="single" w:sz="4" w:space="0" w:color="auto"/>
            </w:tcBorders>
            <w:shd w:val="clear" w:color="DCE6F1" w:fill="FFFFFF"/>
            <w:vAlign w:val="center"/>
            <w:hideMark/>
          </w:tcPr>
          <w:p w14:paraId="27E932AC" w14:textId="77777777"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2024 год</w:t>
            </w:r>
          </w:p>
        </w:tc>
        <w:tc>
          <w:tcPr>
            <w:tcW w:w="884" w:type="dxa"/>
            <w:tcBorders>
              <w:top w:val="single" w:sz="4" w:space="0" w:color="auto"/>
              <w:left w:val="nil"/>
              <w:bottom w:val="single" w:sz="4" w:space="0" w:color="auto"/>
              <w:right w:val="single" w:sz="4" w:space="0" w:color="auto"/>
            </w:tcBorders>
            <w:shd w:val="clear" w:color="DCE6F1" w:fill="FFFFFF"/>
            <w:vAlign w:val="center"/>
            <w:hideMark/>
          </w:tcPr>
          <w:p w14:paraId="51221FAF" w14:textId="77777777" w:rsidR="00467069"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w:t>
            </w:r>
          </w:p>
          <w:p w14:paraId="3849BC03" w14:textId="25264E9F"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2021</w:t>
            </w:r>
          </w:p>
        </w:tc>
        <w:tc>
          <w:tcPr>
            <w:tcW w:w="884" w:type="dxa"/>
            <w:tcBorders>
              <w:top w:val="single" w:sz="4" w:space="0" w:color="auto"/>
              <w:left w:val="single" w:sz="4" w:space="0" w:color="auto"/>
              <w:bottom w:val="single" w:sz="4" w:space="0" w:color="auto"/>
              <w:right w:val="single" w:sz="4" w:space="0" w:color="auto"/>
            </w:tcBorders>
            <w:shd w:val="clear" w:color="DCE6F1" w:fill="FFFFFF"/>
            <w:vAlign w:val="center"/>
          </w:tcPr>
          <w:p w14:paraId="48154B78" w14:textId="77777777" w:rsidR="00467069"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w:t>
            </w:r>
          </w:p>
          <w:p w14:paraId="7FBE9C86" w14:textId="73FD2284" w:rsidR="00272907" w:rsidRPr="00522104" w:rsidRDefault="00272907" w:rsidP="00E40BEE">
            <w:pPr>
              <w:spacing w:after="0" w:line="240" w:lineRule="auto"/>
              <w:jc w:val="center"/>
              <w:rPr>
                <w:rFonts w:ascii="Times New Roman" w:eastAsia="Times New Roman" w:hAnsi="Times New Roman" w:cs="Times New Roman"/>
                <w:bCs/>
                <w:color w:val="000000"/>
                <w:sz w:val="18"/>
                <w:szCs w:val="18"/>
                <w:lang w:eastAsia="ru-RU"/>
              </w:rPr>
            </w:pPr>
            <w:r w:rsidRPr="00522104">
              <w:rPr>
                <w:rFonts w:ascii="Times New Roman" w:eastAsia="Times New Roman" w:hAnsi="Times New Roman" w:cs="Times New Roman"/>
                <w:bCs/>
                <w:color w:val="000000"/>
                <w:sz w:val="18"/>
                <w:szCs w:val="18"/>
                <w:lang w:eastAsia="ru-RU"/>
              </w:rPr>
              <w:t>2022</w:t>
            </w:r>
          </w:p>
        </w:tc>
      </w:tr>
      <w:tr w:rsidR="00827437" w:rsidRPr="00522104" w14:paraId="0C908FEF" w14:textId="77777777" w:rsidTr="00467069">
        <w:trPr>
          <w:trHeight w:val="162"/>
        </w:trPr>
        <w:tc>
          <w:tcPr>
            <w:tcW w:w="2694" w:type="dxa"/>
            <w:tcBorders>
              <w:top w:val="single" w:sz="4" w:space="0" w:color="auto"/>
              <w:left w:val="single" w:sz="4" w:space="0" w:color="auto"/>
              <w:bottom w:val="single" w:sz="4" w:space="0" w:color="auto"/>
              <w:right w:val="single" w:sz="4" w:space="0" w:color="auto"/>
            </w:tcBorders>
            <w:shd w:val="clear" w:color="000000" w:fill="FFFFFF"/>
          </w:tcPr>
          <w:p w14:paraId="462830A5"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w:t>
            </w:r>
          </w:p>
        </w:tc>
        <w:tc>
          <w:tcPr>
            <w:tcW w:w="992" w:type="dxa"/>
            <w:tcBorders>
              <w:top w:val="single" w:sz="4" w:space="0" w:color="auto"/>
              <w:left w:val="nil"/>
              <w:bottom w:val="single" w:sz="4" w:space="0" w:color="auto"/>
              <w:right w:val="single" w:sz="4" w:space="0" w:color="auto"/>
            </w:tcBorders>
            <w:shd w:val="clear" w:color="000000" w:fill="FFFFFF"/>
          </w:tcPr>
          <w:p w14:paraId="0EDEF1BA" w14:textId="77777777" w:rsidR="00827437" w:rsidRPr="00522104" w:rsidRDefault="00827437" w:rsidP="00E40BEE">
            <w:pPr>
              <w:tabs>
                <w:tab w:val="left" w:pos="268"/>
              </w:tabs>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14:paraId="19EC2080" w14:textId="77777777" w:rsidR="00827437" w:rsidRPr="00522104" w:rsidRDefault="00827437" w:rsidP="00E40BEE">
            <w:pPr>
              <w:tabs>
                <w:tab w:val="left" w:pos="268"/>
              </w:tabs>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tcPr>
          <w:p w14:paraId="12A77D42"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w:t>
            </w:r>
          </w:p>
        </w:tc>
        <w:tc>
          <w:tcPr>
            <w:tcW w:w="851" w:type="dxa"/>
            <w:tcBorders>
              <w:top w:val="nil"/>
              <w:left w:val="nil"/>
              <w:bottom w:val="single" w:sz="4" w:space="0" w:color="auto"/>
              <w:right w:val="single" w:sz="4" w:space="0" w:color="auto"/>
            </w:tcBorders>
            <w:shd w:val="clear" w:color="000000" w:fill="FFFFFF"/>
            <w:noWrap/>
          </w:tcPr>
          <w:p w14:paraId="3E7D0DA4" w14:textId="77777777" w:rsidR="00827437" w:rsidRPr="00522104" w:rsidRDefault="00827437" w:rsidP="00E40BEE">
            <w:pPr>
              <w:spacing w:after="0" w:line="240" w:lineRule="auto"/>
              <w:jc w:val="center"/>
              <w:rPr>
                <w:rFonts w:ascii="Times New Roman" w:hAnsi="Times New Roman" w:cs="Times New Roman"/>
                <w:bCs/>
                <w:color w:val="000000"/>
                <w:sz w:val="18"/>
                <w:szCs w:val="18"/>
              </w:rPr>
            </w:pPr>
            <w:r w:rsidRPr="00522104">
              <w:rPr>
                <w:rFonts w:ascii="Times New Roman" w:hAnsi="Times New Roman" w:cs="Times New Roman"/>
                <w:bCs/>
                <w:color w:val="000000"/>
                <w:sz w:val="18"/>
                <w:szCs w:val="18"/>
              </w:rPr>
              <w:t>5</w:t>
            </w:r>
          </w:p>
        </w:tc>
        <w:tc>
          <w:tcPr>
            <w:tcW w:w="851" w:type="dxa"/>
            <w:tcBorders>
              <w:top w:val="nil"/>
              <w:left w:val="nil"/>
              <w:bottom w:val="single" w:sz="4" w:space="0" w:color="auto"/>
              <w:right w:val="single" w:sz="4" w:space="0" w:color="auto"/>
            </w:tcBorders>
            <w:shd w:val="clear" w:color="000000" w:fill="FFFFFF"/>
            <w:noWrap/>
          </w:tcPr>
          <w:p w14:paraId="5E811D0D" w14:textId="77777777" w:rsidR="00827437" w:rsidRPr="00522104" w:rsidRDefault="00827437" w:rsidP="00E40BEE">
            <w:pPr>
              <w:spacing w:after="0" w:line="240" w:lineRule="auto"/>
              <w:jc w:val="center"/>
              <w:rPr>
                <w:rFonts w:ascii="Times New Roman" w:hAnsi="Times New Roman" w:cs="Times New Roman"/>
                <w:bCs/>
                <w:color w:val="000000"/>
                <w:sz w:val="18"/>
                <w:szCs w:val="18"/>
              </w:rPr>
            </w:pPr>
            <w:r w:rsidRPr="00522104">
              <w:rPr>
                <w:rFonts w:ascii="Times New Roman" w:hAnsi="Times New Roman" w:cs="Times New Roman"/>
                <w:bCs/>
                <w:color w:val="000000"/>
                <w:sz w:val="18"/>
                <w:szCs w:val="18"/>
              </w:rPr>
              <w:t>6</w:t>
            </w:r>
          </w:p>
        </w:tc>
        <w:tc>
          <w:tcPr>
            <w:tcW w:w="850" w:type="dxa"/>
            <w:tcBorders>
              <w:top w:val="nil"/>
              <w:left w:val="nil"/>
              <w:bottom w:val="single" w:sz="4" w:space="0" w:color="auto"/>
              <w:right w:val="single" w:sz="4" w:space="0" w:color="auto"/>
            </w:tcBorders>
            <w:shd w:val="clear" w:color="000000" w:fill="FFFFFF"/>
            <w:noWrap/>
          </w:tcPr>
          <w:p w14:paraId="1A4458B6" w14:textId="77777777" w:rsidR="00827437" w:rsidRPr="00522104" w:rsidRDefault="00827437" w:rsidP="00E40BEE">
            <w:pPr>
              <w:spacing w:after="0" w:line="240" w:lineRule="auto"/>
              <w:jc w:val="center"/>
              <w:rPr>
                <w:rFonts w:ascii="Times New Roman" w:hAnsi="Times New Roman" w:cs="Times New Roman"/>
                <w:bCs/>
                <w:color w:val="000000"/>
                <w:sz w:val="18"/>
                <w:szCs w:val="18"/>
              </w:rPr>
            </w:pPr>
            <w:r w:rsidRPr="00522104">
              <w:rPr>
                <w:rFonts w:ascii="Times New Roman" w:hAnsi="Times New Roman" w:cs="Times New Roman"/>
                <w:bCs/>
                <w:color w:val="000000"/>
                <w:sz w:val="18"/>
                <w:szCs w:val="18"/>
              </w:rPr>
              <w:t>7</w:t>
            </w:r>
          </w:p>
        </w:tc>
        <w:tc>
          <w:tcPr>
            <w:tcW w:w="884" w:type="dxa"/>
            <w:tcBorders>
              <w:top w:val="nil"/>
              <w:left w:val="nil"/>
              <w:bottom w:val="single" w:sz="4" w:space="0" w:color="auto"/>
              <w:right w:val="single" w:sz="4" w:space="0" w:color="auto"/>
            </w:tcBorders>
            <w:shd w:val="clear" w:color="000000" w:fill="FFFFFF"/>
            <w:noWrap/>
          </w:tcPr>
          <w:p w14:paraId="4B0C018D"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8=5-3</w:t>
            </w:r>
          </w:p>
        </w:tc>
        <w:tc>
          <w:tcPr>
            <w:tcW w:w="884" w:type="dxa"/>
            <w:tcBorders>
              <w:top w:val="nil"/>
              <w:left w:val="nil"/>
              <w:bottom w:val="single" w:sz="4" w:space="0" w:color="auto"/>
              <w:right w:val="single" w:sz="4" w:space="0" w:color="auto"/>
            </w:tcBorders>
            <w:shd w:val="clear" w:color="000000" w:fill="FFFFFF"/>
            <w:noWrap/>
          </w:tcPr>
          <w:p w14:paraId="26A46A59"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9=5-4</w:t>
            </w:r>
          </w:p>
        </w:tc>
      </w:tr>
      <w:tr w:rsidR="00827437" w:rsidRPr="00522104" w14:paraId="709A5AA4" w14:textId="77777777" w:rsidTr="00467069">
        <w:trPr>
          <w:trHeight w:val="279"/>
        </w:trPr>
        <w:tc>
          <w:tcPr>
            <w:tcW w:w="2694" w:type="dxa"/>
            <w:tcBorders>
              <w:top w:val="nil"/>
              <w:left w:val="single" w:sz="4" w:space="0" w:color="auto"/>
              <w:bottom w:val="single" w:sz="4" w:space="0" w:color="auto"/>
              <w:right w:val="single" w:sz="4" w:space="0" w:color="auto"/>
            </w:tcBorders>
            <w:shd w:val="clear" w:color="000000" w:fill="FFFFFF"/>
            <w:hideMark/>
          </w:tcPr>
          <w:p w14:paraId="20EE6EC3" w14:textId="77777777" w:rsidR="00827437" w:rsidRPr="00522104" w:rsidRDefault="00827437" w:rsidP="00E40BEE">
            <w:pPr>
              <w:spacing w:after="0" w:line="240" w:lineRule="auto"/>
              <w:rPr>
                <w:rFonts w:ascii="Times New Roman" w:eastAsia="Times New Roman" w:hAnsi="Times New Roman" w:cs="Times New Roman"/>
                <w:b/>
                <w:color w:val="000000"/>
                <w:sz w:val="18"/>
                <w:szCs w:val="18"/>
                <w:lang w:eastAsia="ru-RU"/>
              </w:rPr>
            </w:pPr>
            <w:r w:rsidRPr="00522104">
              <w:rPr>
                <w:rFonts w:ascii="Times New Roman" w:eastAsia="Times New Roman" w:hAnsi="Times New Roman" w:cs="Times New Roman"/>
                <w:b/>
                <w:color w:val="000000"/>
                <w:sz w:val="18"/>
                <w:szCs w:val="18"/>
                <w:lang w:eastAsia="ru-RU"/>
              </w:rPr>
              <w:t>Государственная программа Приморского края "Формирование современной городской среды муниципальных образований Приморского края" на 2020-2027 годы",</w:t>
            </w:r>
          </w:p>
          <w:p w14:paraId="761BE562" w14:textId="11D26E7B" w:rsidR="00827437" w:rsidRPr="00522104" w:rsidRDefault="00827437" w:rsidP="0079689B">
            <w:pPr>
              <w:spacing w:after="0" w:line="240" w:lineRule="auto"/>
              <w:rPr>
                <w:rFonts w:ascii="Times New Roman" w:eastAsia="Times New Roman" w:hAnsi="Times New Roman" w:cs="Times New Roman"/>
                <w:b/>
                <w:color w:val="000000"/>
                <w:sz w:val="18"/>
                <w:szCs w:val="18"/>
                <w:lang w:eastAsia="ru-RU"/>
              </w:rPr>
            </w:pPr>
            <w:r w:rsidRPr="00522104">
              <w:rPr>
                <w:rFonts w:ascii="Times New Roman" w:eastAsia="Times New Roman" w:hAnsi="Times New Roman" w:cs="Times New Roman"/>
                <w:b/>
                <w:color w:val="000000"/>
                <w:sz w:val="18"/>
                <w:szCs w:val="18"/>
                <w:lang w:eastAsia="ru-RU"/>
              </w:rPr>
              <w:t>в том числе подпрограммы</w:t>
            </w:r>
          </w:p>
        </w:tc>
        <w:tc>
          <w:tcPr>
            <w:tcW w:w="992" w:type="dxa"/>
            <w:tcBorders>
              <w:top w:val="single" w:sz="4" w:space="0" w:color="auto"/>
              <w:left w:val="nil"/>
              <w:bottom w:val="single" w:sz="4" w:space="0" w:color="auto"/>
              <w:right w:val="single" w:sz="4" w:space="0" w:color="auto"/>
            </w:tcBorders>
            <w:shd w:val="clear" w:color="000000" w:fill="FFFFFF"/>
          </w:tcPr>
          <w:p w14:paraId="273BE9CC" w14:textId="77777777" w:rsidR="00827437" w:rsidRPr="00522104" w:rsidRDefault="00827437" w:rsidP="00E40BEE">
            <w:pPr>
              <w:tabs>
                <w:tab w:val="left" w:pos="268"/>
              </w:tabs>
              <w:spacing w:after="0" w:line="240" w:lineRule="auto"/>
              <w:jc w:val="right"/>
              <w:rPr>
                <w:rFonts w:ascii="Times New Roman" w:eastAsia="Times New Roman" w:hAnsi="Times New Roman" w:cs="Times New Roman"/>
                <w:b/>
                <w:color w:val="000000"/>
                <w:sz w:val="18"/>
                <w:szCs w:val="18"/>
                <w:lang w:eastAsia="ru-RU"/>
              </w:rPr>
            </w:pPr>
            <w:r w:rsidRPr="00522104">
              <w:rPr>
                <w:rFonts w:ascii="Times New Roman" w:eastAsia="Times New Roman" w:hAnsi="Times New Roman" w:cs="Times New Roman"/>
                <w:b/>
                <w:color w:val="000000"/>
                <w:sz w:val="18"/>
                <w:szCs w:val="18"/>
                <w:lang w:eastAsia="ru-RU"/>
              </w:rPr>
              <w:t>1 200,00</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14:paraId="40850110" w14:textId="77777777" w:rsidR="00827437" w:rsidRPr="00522104" w:rsidRDefault="00827437" w:rsidP="00E40BEE">
            <w:pPr>
              <w:tabs>
                <w:tab w:val="left" w:pos="268"/>
              </w:tabs>
              <w:spacing w:after="0" w:line="240" w:lineRule="auto"/>
              <w:jc w:val="right"/>
              <w:rPr>
                <w:rFonts w:ascii="Times New Roman" w:eastAsia="Times New Roman" w:hAnsi="Times New Roman" w:cs="Times New Roman"/>
                <w:b/>
                <w:color w:val="000000"/>
                <w:sz w:val="18"/>
                <w:szCs w:val="18"/>
                <w:lang w:eastAsia="ru-RU"/>
              </w:rPr>
            </w:pPr>
            <w:r w:rsidRPr="00522104">
              <w:rPr>
                <w:rFonts w:ascii="Times New Roman" w:eastAsia="Times New Roman" w:hAnsi="Times New Roman" w:cs="Times New Roman"/>
                <w:b/>
                <w:color w:val="000000"/>
                <w:sz w:val="18"/>
                <w:szCs w:val="18"/>
                <w:lang w:eastAsia="ru-RU"/>
              </w:rPr>
              <w:t>1 395,00</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tcPr>
          <w:p w14:paraId="4986A75E" w14:textId="77777777" w:rsidR="00827437" w:rsidRPr="00522104" w:rsidRDefault="00827437" w:rsidP="00E40BEE">
            <w:pPr>
              <w:spacing w:after="0" w:line="240" w:lineRule="auto"/>
              <w:jc w:val="right"/>
              <w:rPr>
                <w:rFonts w:ascii="Times New Roman" w:eastAsia="Times New Roman" w:hAnsi="Times New Roman" w:cs="Times New Roman"/>
                <w:b/>
                <w:color w:val="000000"/>
                <w:sz w:val="18"/>
                <w:szCs w:val="18"/>
                <w:lang w:eastAsia="ru-RU"/>
              </w:rPr>
            </w:pPr>
            <w:r w:rsidRPr="00522104">
              <w:rPr>
                <w:rFonts w:ascii="Times New Roman" w:eastAsia="Times New Roman" w:hAnsi="Times New Roman" w:cs="Times New Roman"/>
                <w:b/>
                <w:color w:val="000000"/>
                <w:sz w:val="18"/>
                <w:szCs w:val="18"/>
                <w:lang w:eastAsia="ru-RU"/>
              </w:rPr>
              <w:t>1 745,68</w:t>
            </w:r>
          </w:p>
        </w:tc>
        <w:tc>
          <w:tcPr>
            <w:tcW w:w="851" w:type="dxa"/>
            <w:tcBorders>
              <w:top w:val="nil"/>
              <w:left w:val="nil"/>
              <w:bottom w:val="single" w:sz="4" w:space="0" w:color="auto"/>
              <w:right w:val="single" w:sz="4" w:space="0" w:color="auto"/>
            </w:tcBorders>
            <w:shd w:val="clear" w:color="000000" w:fill="FFFFFF"/>
            <w:noWrap/>
          </w:tcPr>
          <w:p w14:paraId="4DCF91D8" w14:textId="77777777" w:rsidR="00827437" w:rsidRPr="00522104" w:rsidRDefault="00827437" w:rsidP="00E40BEE">
            <w:pPr>
              <w:spacing w:after="0" w:line="240" w:lineRule="auto"/>
              <w:jc w:val="right"/>
              <w:rPr>
                <w:rFonts w:ascii="Times New Roman" w:hAnsi="Times New Roman" w:cs="Times New Roman"/>
                <w:b/>
                <w:bCs/>
                <w:color w:val="000000"/>
                <w:sz w:val="18"/>
                <w:szCs w:val="18"/>
              </w:rPr>
            </w:pPr>
            <w:r w:rsidRPr="00522104">
              <w:rPr>
                <w:rFonts w:ascii="Times New Roman" w:hAnsi="Times New Roman" w:cs="Times New Roman"/>
                <w:b/>
                <w:bCs/>
                <w:color w:val="000000"/>
                <w:sz w:val="18"/>
                <w:szCs w:val="18"/>
              </w:rPr>
              <w:t>1 313,55</w:t>
            </w:r>
          </w:p>
        </w:tc>
        <w:tc>
          <w:tcPr>
            <w:tcW w:w="851" w:type="dxa"/>
            <w:tcBorders>
              <w:top w:val="nil"/>
              <w:left w:val="nil"/>
              <w:bottom w:val="single" w:sz="4" w:space="0" w:color="auto"/>
              <w:right w:val="single" w:sz="4" w:space="0" w:color="auto"/>
            </w:tcBorders>
            <w:shd w:val="clear" w:color="000000" w:fill="FFFFFF"/>
            <w:noWrap/>
          </w:tcPr>
          <w:p w14:paraId="2F1AFD5C" w14:textId="77777777" w:rsidR="00827437" w:rsidRPr="00522104" w:rsidRDefault="00827437" w:rsidP="00E40BEE">
            <w:pPr>
              <w:spacing w:after="0" w:line="240" w:lineRule="auto"/>
              <w:jc w:val="right"/>
              <w:rPr>
                <w:rFonts w:ascii="Times New Roman" w:hAnsi="Times New Roman" w:cs="Times New Roman"/>
                <w:b/>
                <w:bCs/>
                <w:color w:val="000000"/>
                <w:sz w:val="18"/>
                <w:szCs w:val="18"/>
              </w:rPr>
            </w:pPr>
            <w:r w:rsidRPr="00522104">
              <w:rPr>
                <w:rFonts w:ascii="Times New Roman" w:hAnsi="Times New Roman" w:cs="Times New Roman"/>
                <w:b/>
                <w:bCs/>
                <w:color w:val="000000"/>
                <w:sz w:val="18"/>
                <w:szCs w:val="18"/>
              </w:rPr>
              <w:t>1 743,55</w:t>
            </w:r>
          </w:p>
        </w:tc>
        <w:tc>
          <w:tcPr>
            <w:tcW w:w="850" w:type="dxa"/>
            <w:tcBorders>
              <w:top w:val="nil"/>
              <w:left w:val="nil"/>
              <w:bottom w:val="single" w:sz="4" w:space="0" w:color="auto"/>
              <w:right w:val="single" w:sz="4" w:space="0" w:color="auto"/>
            </w:tcBorders>
            <w:shd w:val="clear" w:color="000000" w:fill="FFFFFF"/>
            <w:noWrap/>
          </w:tcPr>
          <w:p w14:paraId="39768FDC" w14:textId="77777777" w:rsidR="00827437" w:rsidRPr="00522104" w:rsidRDefault="00827437" w:rsidP="00E40BEE">
            <w:pPr>
              <w:spacing w:after="0" w:line="240" w:lineRule="auto"/>
              <w:jc w:val="right"/>
              <w:rPr>
                <w:rFonts w:ascii="Times New Roman" w:hAnsi="Times New Roman" w:cs="Times New Roman"/>
                <w:b/>
                <w:bCs/>
                <w:color w:val="000000"/>
                <w:sz w:val="18"/>
                <w:szCs w:val="18"/>
              </w:rPr>
            </w:pPr>
            <w:r w:rsidRPr="00522104">
              <w:rPr>
                <w:rFonts w:ascii="Times New Roman" w:hAnsi="Times New Roman" w:cs="Times New Roman"/>
                <w:b/>
                <w:bCs/>
                <w:color w:val="000000"/>
                <w:sz w:val="18"/>
                <w:szCs w:val="18"/>
              </w:rPr>
              <w:t>1 803,95</w:t>
            </w:r>
          </w:p>
        </w:tc>
        <w:tc>
          <w:tcPr>
            <w:tcW w:w="884" w:type="dxa"/>
            <w:tcBorders>
              <w:top w:val="nil"/>
              <w:left w:val="nil"/>
              <w:bottom w:val="single" w:sz="4" w:space="0" w:color="auto"/>
              <w:right w:val="single" w:sz="4" w:space="0" w:color="auto"/>
            </w:tcBorders>
            <w:shd w:val="clear" w:color="000000" w:fill="FFFFFF"/>
            <w:noWrap/>
          </w:tcPr>
          <w:p w14:paraId="1479B1CF" w14:textId="77777777" w:rsidR="00827437" w:rsidRPr="00522104" w:rsidRDefault="00827437" w:rsidP="00E40BEE">
            <w:pPr>
              <w:spacing w:after="0" w:line="240" w:lineRule="auto"/>
              <w:jc w:val="right"/>
              <w:rPr>
                <w:rFonts w:ascii="Times New Roman" w:eastAsia="Times New Roman" w:hAnsi="Times New Roman" w:cs="Times New Roman"/>
                <w:b/>
                <w:color w:val="000000"/>
                <w:sz w:val="18"/>
                <w:szCs w:val="18"/>
                <w:lang w:eastAsia="ru-RU"/>
              </w:rPr>
            </w:pPr>
            <w:r w:rsidRPr="00522104">
              <w:rPr>
                <w:rFonts w:ascii="Times New Roman" w:eastAsia="Times New Roman" w:hAnsi="Times New Roman" w:cs="Times New Roman"/>
                <w:b/>
                <w:color w:val="000000"/>
                <w:sz w:val="18"/>
                <w:szCs w:val="18"/>
                <w:lang w:eastAsia="ru-RU"/>
              </w:rPr>
              <w:t>- 81,45</w:t>
            </w:r>
          </w:p>
        </w:tc>
        <w:tc>
          <w:tcPr>
            <w:tcW w:w="884" w:type="dxa"/>
            <w:tcBorders>
              <w:top w:val="nil"/>
              <w:left w:val="nil"/>
              <w:bottom w:val="single" w:sz="4" w:space="0" w:color="auto"/>
              <w:right w:val="single" w:sz="4" w:space="0" w:color="auto"/>
            </w:tcBorders>
            <w:shd w:val="clear" w:color="000000" w:fill="FFFFFF"/>
            <w:noWrap/>
          </w:tcPr>
          <w:p w14:paraId="1BA6FF3C" w14:textId="77777777" w:rsidR="00827437" w:rsidRPr="00522104" w:rsidRDefault="00827437" w:rsidP="00E40BEE">
            <w:pPr>
              <w:spacing w:after="0" w:line="240" w:lineRule="auto"/>
              <w:jc w:val="right"/>
              <w:rPr>
                <w:rFonts w:ascii="Times New Roman" w:eastAsia="Times New Roman" w:hAnsi="Times New Roman" w:cs="Times New Roman"/>
                <w:b/>
                <w:color w:val="000000"/>
                <w:sz w:val="18"/>
                <w:szCs w:val="18"/>
                <w:lang w:eastAsia="ru-RU"/>
              </w:rPr>
            </w:pPr>
            <w:r w:rsidRPr="00522104">
              <w:rPr>
                <w:rFonts w:ascii="Times New Roman" w:eastAsia="Times New Roman" w:hAnsi="Times New Roman" w:cs="Times New Roman"/>
                <w:b/>
                <w:color w:val="000000"/>
                <w:sz w:val="18"/>
                <w:szCs w:val="18"/>
                <w:lang w:eastAsia="ru-RU"/>
              </w:rPr>
              <w:t>432,13</w:t>
            </w:r>
          </w:p>
        </w:tc>
      </w:tr>
      <w:tr w:rsidR="00827437" w:rsidRPr="00522104" w14:paraId="1C5C9403" w14:textId="77777777" w:rsidTr="00467069">
        <w:trPr>
          <w:trHeight w:val="369"/>
        </w:trPr>
        <w:tc>
          <w:tcPr>
            <w:tcW w:w="2694" w:type="dxa"/>
            <w:tcBorders>
              <w:top w:val="nil"/>
              <w:left w:val="single" w:sz="4" w:space="0" w:color="auto"/>
              <w:bottom w:val="single" w:sz="4" w:space="0" w:color="auto"/>
              <w:right w:val="single" w:sz="4" w:space="0" w:color="auto"/>
            </w:tcBorders>
            <w:shd w:val="clear" w:color="000000" w:fill="FFFFFF"/>
            <w:hideMark/>
          </w:tcPr>
          <w:p w14:paraId="6C94281B" w14:textId="77777777" w:rsidR="00827437" w:rsidRPr="00522104" w:rsidRDefault="00827437" w:rsidP="00E40BEE">
            <w:pPr>
              <w:spacing w:after="0" w:line="240" w:lineRule="auto"/>
              <w:jc w:val="both"/>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"Формирование современной городской среды муниципальных образований Приморского края"</w:t>
            </w:r>
          </w:p>
        </w:tc>
        <w:tc>
          <w:tcPr>
            <w:tcW w:w="992" w:type="dxa"/>
            <w:tcBorders>
              <w:top w:val="single" w:sz="4" w:space="0" w:color="auto"/>
              <w:left w:val="nil"/>
              <w:bottom w:val="single" w:sz="4" w:space="0" w:color="auto"/>
              <w:right w:val="single" w:sz="4" w:space="0" w:color="auto"/>
            </w:tcBorders>
            <w:shd w:val="clear" w:color="000000" w:fill="FFFFFF"/>
          </w:tcPr>
          <w:p w14:paraId="0AD38E9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553,59</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14:paraId="7113122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553,59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tcPr>
          <w:p w14:paraId="03AC11F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545,68</w:t>
            </w:r>
          </w:p>
        </w:tc>
        <w:tc>
          <w:tcPr>
            <w:tcW w:w="851" w:type="dxa"/>
            <w:tcBorders>
              <w:top w:val="nil"/>
              <w:left w:val="nil"/>
              <w:bottom w:val="single" w:sz="4" w:space="0" w:color="auto"/>
              <w:right w:val="single" w:sz="4" w:space="0" w:color="auto"/>
            </w:tcBorders>
            <w:shd w:val="clear" w:color="000000" w:fill="FFFFFF"/>
            <w:noWrap/>
          </w:tcPr>
          <w:p w14:paraId="7B3A531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613,55</w:t>
            </w:r>
          </w:p>
        </w:tc>
        <w:tc>
          <w:tcPr>
            <w:tcW w:w="851" w:type="dxa"/>
            <w:tcBorders>
              <w:top w:val="nil"/>
              <w:left w:val="nil"/>
              <w:bottom w:val="single" w:sz="4" w:space="0" w:color="auto"/>
              <w:right w:val="single" w:sz="4" w:space="0" w:color="auto"/>
            </w:tcBorders>
            <w:shd w:val="clear" w:color="000000" w:fill="FFFFFF"/>
            <w:noWrap/>
          </w:tcPr>
          <w:p w14:paraId="0792D78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543,55</w:t>
            </w:r>
          </w:p>
        </w:tc>
        <w:tc>
          <w:tcPr>
            <w:tcW w:w="850" w:type="dxa"/>
            <w:tcBorders>
              <w:top w:val="nil"/>
              <w:left w:val="nil"/>
              <w:bottom w:val="single" w:sz="4" w:space="0" w:color="auto"/>
              <w:right w:val="single" w:sz="4" w:space="0" w:color="auto"/>
            </w:tcBorders>
            <w:shd w:val="clear" w:color="000000" w:fill="FFFFFF"/>
            <w:noWrap/>
          </w:tcPr>
          <w:p w14:paraId="276309D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603,95</w:t>
            </w:r>
          </w:p>
        </w:tc>
        <w:tc>
          <w:tcPr>
            <w:tcW w:w="884" w:type="dxa"/>
            <w:tcBorders>
              <w:top w:val="nil"/>
              <w:left w:val="nil"/>
              <w:bottom w:val="single" w:sz="4" w:space="0" w:color="auto"/>
              <w:right w:val="single" w:sz="4" w:space="0" w:color="auto"/>
            </w:tcBorders>
            <w:shd w:val="clear" w:color="000000" w:fill="FFFFFF"/>
            <w:noWrap/>
          </w:tcPr>
          <w:p w14:paraId="1D7C847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59,96</w:t>
            </w:r>
          </w:p>
        </w:tc>
        <w:tc>
          <w:tcPr>
            <w:tcW w:w="884" w:type="dxa"/>
            <w:tcBorders>
              <w:top w:val="nil"/>
              <w:left w:val="nil"/>
              <w:bottom w:val="single" w:sz="4" w:space="0" w:color="auto"/>
              <w:right w:val="single" w:sz="4" w:space="0" w:color="auto"/>
            </w:tcBorders>
            <w:shd w:val="clear" w:color="000000" w:fill="FFFFFF"/>
            <w:noWrap/>
          </w:tcPr>
          <w:p w14:paraId="4CF2DED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67,87</w:t>
            </w:r>
          </w:p>
        </w:tc>
      </w:tr>
      <w:tr w:rsidR="00827437" w:rsidRPr="00522104" w14:paraId="7AB95649" w14:textId="77777777" w:rsidTr="00467069">
        <w:trPr>
          <w:trHeight w:val="499"/>
        </w:trPr>
        <w:tc>
          <w:tcPr>
            <w:tcW w:w="2694" w:type="dxa"/>
            <w:tcBorders>
              <w:top w:val="nil"/>
              <w:left w:val="single" w:sz="4" w:space="0" w:color="auto"/>
              <w:bottom w:val="single" w:sz="4" w:space="0" w:color="auto"/>
              <w:right w:val="single" w:sz="4" w:space="0" w:color="auto"/>
            </w:tcBorders>
            <w:shd w:val="clear" w:color="000000" w:fill="FFFFFF"/>
          </w:tcPr>
          <w:p w14:paraId="26A6F4C2" w14:textId="77777777" w:rsidR="00827437" w:rsidRPr="00522104" w:rsidRDefault="00827437" w:rsidP="00E40BEE">
            <w:pPr>
              <w:spacing w:after="0" w:line="240" w:lineRule="auto"/>
              <w:jc w:val="both"/>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ФП "</w:t>
            </w:r>
            <w:r w:rsidRPr="00522104">
              <w:rPr>
                <w:rFonts w:ascii="Times New Roman" w:hAnsi="Times New Roman" w:cs="Times New Roman"/>
                <w:i/>
                <w:sz w:val="18"/>
                <w:szCs w:val="18"/>
              </w:rPr>
              <w:t>Формирование комфортной городской среды"</w:t>
            </w:r>
          </w:p>
        </w:tc>
        <w:tc>
          <w:tcPr>
            <w:tcW w:w="992" w:type="dxa"/>
            <w:tcBorders>
              <w:top w:val="single" w:sz="4" w:space="0" w:color="auto"/>
              <w:left w:val="nil"/>
              <w:bottom w:val="single" w:sz="4" w:space="0" w:color="auto"/>
              <w:right w:val="single" w:sz="4" w:space="0" w:color="auto"/>
            </w:tcBorders>
            <w:shd w:val="clear" w:color="000000" w:fill="FFFFFF"/>
          </w:tcPr>
          <w:p w14:paraId="6E087CC2"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553,59</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14:paraId="56A706DA"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553,59</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tcPr>
          <w:p w14:paraId="60BEB415"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545,68</w:t>
            </w:r>
          </w:p>
        </w:tc>
        <w:tc>
          <w:tcPr>
            <w:tcW w:w="851" w:type="dxa"/>
            <w:tcBorders>
              <w:top w:val="nil"/>
              <w:left w:val="nil"/>
              <w:bottom w:val="single" w:sz="4" w:space="0" w:color="auto"/>
              <w:right w:val="single" w:sz="4" w:space="0" w:color="auto"/>
            </w:tcBorders>
            <w:shd w:val="clear" w:color="000000" w:fill="FFFFFF"/>
            <w:noWrap/>
          </w:tcPr>
          <w:p w14:paraId="0F0F7022"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613,55</w:t>
            </w:r>
          </w:p>
        </w:tc>
        <w:tc>
          <w:tcPr>
            <w:tcW w:w="851" w:type="dxa"/>
            <w:tcBorders>
              <w:top w:val="nil"/>
              <w:left w:val="nil"/>
              <w:bottom w:val="single" w:sz="4" w:space="0" w:color="auto"/>
              <w:right w:val="single" w:sz="4" w:space="0" w:color="auto"/>
            </w:tcBorders>
            <w:shd w:val="clear" w:color="000000" w:fill="FFFFFF"/>
            <w:noWrap/>
          </w:tcPr>
          <w:p w14:paraId="5E4D8E68"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543,55</w:t>
            </w:r>
          </w:p>
        </w:tc>
        <w:tc>
          <w:tcPr>
            <w:tcW w:w="850" w:type="dxa"/>
            <w:tcBorders>
              <w:top w:val="nil"/>
              <w:left w:val="nil"/>
              <w:bottom w:val="single" w:sz="4" w:space="0" w:color="auto"/>
              <w:right w:val="single" w:sz="4" w:space="0" w:color="auto"/>
            </w:tcBorders>
            <w:shd w:val="clear" w:color="000000" w:fill="FFFFFF"/>
            <w:noWrap/>
          </w:tcPr>
          <w:p w14:paraId="605D259D"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603,95</w:t>
            </w:r>
          </w:p>
        </w:tc>
        <w:tc>
          <w:tcPr>
            <w:tcW w:w="884" w:type="dxa"/>
            <w:tcBorders>
              <w:top w:val="nil"/>
              <w:left w:val="nil"/>
              <w:bottom w:val="single" w:sz="4" w:space="0" w:color="auto"/>
              <w:right w:val="single" w:sz="4" w:space="0" w:color="auto"/>
            </w:tcBorders>
            <w:shd w:val="clear" w:color="000000" w:fill="FFFFFF"/>
            <w:noWrap/>
          </w:tcPr>
          <w:p w14:paraId="7078DF35"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59,96</w:t>
            </w:r>
          </w:p>
        </w:tc>
        <w:tc>
          <w:tcPr>
            <w:tcW w:w="884" w:type="dxa"/>
            <w:tcBorders>
              <w:top w:val="nil"/>
              <w:left w:val="nil"/>
              <w:bottom w:val="single" w:sz="4" w:space="0" w:color="auto"/>
              <w:right w:val="single" w:sz="4" w:space="0" w:color="auto"/>
            </w:tcBorders>
            <w:shd w:val="clear" w:color="000000" w:fill="FFFFFF"/>
            <w:noWrap/>
          </w:tcPr>
          <w:p w14:paraId="6817F906" w14:textId="77777777" w:rsidR="00827437" w:rsidRPr="00522104" w:rsidRDefault="00827437" w:rsidP="00E40BEE">
            <w:pPr>
              <w:spacing w:after="0" w:line="240" w:lineRule="auto"/>
              <w:jc w:val="right"/>
              <w:rPr>
                <w:rFonts w:ascii="Times New Roman" w:eastAsia="Times New Roman" w:hAnsi="Times New Roman" w:cs="Times New Roman"/>
                <w:i/>
                <w:color w:val="000000"/>
                <w:sz w:val="18"/>
                <w:szCs w:val="18"/>
                <w:lang w:eastAsia="ru-RU"/>
              </w:rPr>
            </w:pPr>
            <w:r w:rsidRPr="00522104">
              <w:rPr>
                <w:rFonts w:ascii="Times New Roman" w:eastAsia="Times New Roman" w:hAnsi="Times New Roman" w:cs="Times New Roman"/>
                <w:i/>
                <w:color w:val="000000"/>
                <w:sz w:val="18"/>
                <w:szCs w:val="18"/>
                <w:lang w:eastAsia="ru-RU"/>
              </w:rPr>
              <w:t>67,87</w:t>
            </w:r>
          </w:p>
        </w:tc>
      </w:tr>
      <w:tr w:rsidR="00827437" w:rsidRPr="00522104" w14:paraId="3BADF336" w14:textId="77777777" w:rsidTr="00467069">
        <w:trPr>
          <w:trHeight w:val="473"/>
        </w:trPr>
        <w:tc>
          <w:tcPr>
            <w:tcW w:w="2694" w:type="dxa"/>
            <w:tcBorders>
              <w:top w:val="single" w:sz="4" w:space="0" w:color="auto"/>
              <w:left w:val="single" w:sz="4" w:space="0" w:color="auto"/>
              <w:bottom w:val="single" w:sz="4" w:space="0" w:color="auto"/>
              <w:right w:val="single" w:sz="4" w:space="0" w:color="auto"/>
            </w:tcBorders>
            <w:shd w:val="clear" w:color="000000" w:fill="FFFFFF"/>
          </w:tcPr>
          <w:p w14:paraId="33301912" w14:textId="77777777" w:rsidR="00827437" w:rsidRPr="00522104" w:rsidRDefault="00827437" w:rsidP="00E40BEE">
            <w:pPr>
              <w:spacing w:after="0" w:line="240" w:lineRule="auto"/>
              <w:jc w:val="both"/>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"Благоустройство территорий муниципальных образований Приморского края"</w:t>
            </w:r>
          </w:p>
        </w:tc>
        <w:tc>
          <w:tcPr>
            <w:tcW w:w="992" w:type="dxa"/>
            <w:tcBorders>
              <w:top w:val="single" w:sz="4" w:space="0" w:color="auto"/>
              <w:left w:val="nil"/>
              <w:bottom w:val="single" w:sz="4" w:space="0" w:color="auto"/>
              <w:right w:val="single" w:sz="4" w:space="0" w:color="auto"/>
            </w:tcBorders>
            <w:shd w:val="clear" w:color="000000" w:fill="FFFFFF"/>
          </w:tcPr>
          <w:p w14:paraId="573E866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646,41</w:t>
            </w:r>
          </w:p>
        </w:tc>
        <w:tc>
          <w:tcPr>
            <w:tcW w:w="850" w:type="dxa"/>
            <w:tcBorders>
              <w:top w:val="single" w:sz="4" w:space="0" w:color="auto"/>
              <w:left w:val="single" w:sz="4" w:space="0" w:color="auto"/>
              <w:bottom w:val="single" w:sz="4" w:space="0" w:color="auto"/>
              <w:right w:val="single" w:sz="4" w:space="0" w:color="auto"/>
            </w:tcBorders>
            <w:shd w:val="clear" w:color="000000" w:fill="FFFFFF"/>
          </w:tcPr>
          <w:p w14:paraId="14B7067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841,41</w:t>
            </w:r>
          </w:p>
        </w:tc>
        <w:tc>
          <w:tcPr>
            <w:tcW w:w="851" w:type="dxa"/>
            <w:tcBorders>
              <w:top w:val="single" w:sz="4" w:space="0" w:color="auto"/>
              <w:left w:val="single" w:sz="4" w:space="0" w:color="auto"/>
              <w:bottom w:val="single" w:sz="4" w:space="0" w:color="auto"/>
              <w:right w:val="single" w:sz="4" w:space="0" w:color="auto"/>
            </w:tcBorders>
            <w:shd w:val="clear" w:color="000000" w:fill="FFFFFF"/>
            <w:noWrap/>
          </w:tcPr>
          <w:p w14:paraId="4C7FF66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1 200,00</w:t>
            </w:r>
          </w:p>
        </w:tc>
        <w:tc>
          <w:tcPr>
            <w:tcW w:w="851" w:type="dxa"/>
            <w:tcBorders>
              <w:top w:val="single" w:sz="4" w:space="0" w:color="auto"/>
              <w:left w:val="nil"/>
              <w:bottom w:val="single" w:sz="4" w:space="0" w:color="auto"/>
              <w:right w:val="single" w:sz="4" w:space="0" w:color="auto"/>
            </w:tcBorders>
            <w:shd w:val="clear" w:color="000000" w:fill="FFFFFF"/>
            <w:noWrap/>
          </w:tcPr>
          <w:p w14:paraId="641C617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700,00</w:t>
            </w:r>
          </w:p>
        </w:tc>
        <w:tc>
          <w:tcPr>
            <w:tcW w:w="851" w:type="dxa"/>
            <w:tcBorders>
              <w:top w:val="single" w:sz="4" w:space="0" w:color="auto"/>
              <w:left w:val="nil"/>
              <w:bottom w:val="single" w:sz="4" w:space="0" w:color="auto"/>
              <w:right w:val="single" w:sz="4" w:space="0" w:color="auto"/>
            </w:tcBorders>
            <w:shd w:val="clear" w:color="000000" w:fill="FFFFFF"/>
            <w:noWrap/>
          </w:tcPr>
          <w:p w14:paraId="2FD5390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1 200,00</w:t>
            </w:r>
          </w:p>
        </w:tc>
        <w:tc>
          <w:tcPr>
            <w:tcW w:w="850" w:type="dxa"/>
            <w:tcBorders>
              <w:top w:val="single" w:sz="4" w:space="0" w:color="auto"/>
              <w:left w:val="nil"/>
              <w:bottom w:val="single" w:sz="4" w:space="0" w:color="auto"/>
              <w:right w:val="single" w:sz="4" w:space="0" w:color="auto"/>
            </w:tcBorders>
            <w:shd w:val="clear" w:color="000000" w:fill="FFFFFF"/>
            <w:noWrap/>
          </w:tcPr>
          <w:p w14:paraId="21FA817D" w14:textId="77777777" w:rsidR="00827437" w:rsidRPr="00522104" w:rsidRDefault="00827437" w:rsidP="00E40BEE">
            <w:pPr>
              <w:tabs>
                <w:tab w:val="left" w:pos="335"/>
              </w:tabs>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1 200,00</w:t>
            </w:r>
          </w:p>
        </w:tc>
        <w:tc>
          <w:tcPr>
            <w:tcW w:w="884" w:type="dxa"/>
            <w:tcBorders>
              <w:top w:val="single" w:sz="4" w:space="0" w:color="auto"/>
              <w:left w:val="nil"/>
              <w:bottom w:val="single" w:sz="4" w:space="0" w:color="auto"/>
              <w:right w:val="single" w:sz="4" w:space="0" w:color="auto"/>
            </w:tcBorders>
            <w:shd w:val="clear" w:color="000000" w:fill="FFFFFF"/>
            <w:noWrap/>
          </w:tcPr>
          <w:p w14:paraId="2246631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- 141,41</w:t>
            </w:r>
          </w:p>
        </w:tc>
        <w:tc>
          <w:tcPr>
            <w:tcW w:w="884" w:type="dxa"/>
            <w:tcBorders>
              <w:top w:val="single" w:sz="4" w:space="0" w:color="auto"/>
              <w:left w:val="nil"/>
              <w:bottom w:val="single" w:sz="4" w:space="0" w:color="auto"/>
              <w:right w:val="single" w:sz="4" w:space="0" w:color="auto"/>
            </w:tcBorders>
            <w:shd w:val="clear" w:color="000000" w:fill="FFFFFF"/>
            <w:noWrap/>
          </w:tcPr>
          <w:p w14:paraId="01552D0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- 500,00</w:t>
            </w:r>
          </w:p>
        </w:tc>
      </w:tr>
    </w:tbl>
    <w:p w14:paraId="1B582DE5" w14:textId="77777777" w:rsidR="00827437" w:rsidRPr="00522104" w:rsidRDefault="00827437" w:rsidP="00827437">
      <w:pPr>
        <w:spacing w:after="0" w:line="240" w:lineRule="auto"/>
        <w:jc w:val="both"/>
        <w:outlineLvl w:val="4"/>
        <w:rPr>
          <w:rFonts w:ascii="Times New Roman" w:eastAsia="Times New Roman" w:hAnsi="Times New Roman" w:cs="Times New Roman"/>
          <w:sz w:val="28"/>
          <w:szCs w:val="28"/>
          <w:lang w:eastAsia="ru-RU"/>
        </w:rPr>
      </w:pPr>
    </w:p>
    <w:p w14:paraId="20E56FE0" w14:textId="77777777"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Расходы в законопроекте на 2022 год изменены к утвержденным назначениям:</w:t>
      </w:r>
    </w:p>
    <w:p w14:paraId="1D01BB5F"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i/>
          <w:sz w:val="28"/>
          <w:szCs w:val="28"/>
          <w:lang w:eastAsia="ru-RU"/>
        </w:rPr>
        <w:t>по</w:t>
      </w:r>
      <w:r w:rsidRPr="00522104">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b/>
          <w:i/>
          <w:sz w:val="28"/>
          <w:szCs w:val="28"/>
          <w:lang w:eastAsia="ru-RU"/>
        </w:rPr>
        <w:t>подпрограмме "Формирование современной городской среды муниципальных образований Приморского края</w:t>
      </w:r>
      <w:r w:rsidRPr="00522104">
        <w:rPr>
          <w:rFonts w:ascii="Times New Roman" w:eastAsia="Times New Roman" w:hAnsi="Times New Roman" w:cs="Times New Roman"/>
          <w:sz w:val="28"/>
          <w:szCs w:val="28"/>
          <w:lang w:eastAsia="ru-RU"/>
        </w:rPr>
        <w:t>" реализуется ФП "Формирование комфортной городской среды" в сторону увеличения</w:t>
      </w:r>
      <w:r w:rsidRPr="00522104">
        <w:rPr>
          <w:rFonts w:ascii="Times New Roman" w:eastAsia="Times New Roman" w:hAnsi="Times New Roman" w:cs="Times New Roman"/>
          <w:b/>
          <w:i/>
          <w:sz w:val="28"/>
          <w:szCs w:val="28"/>
          <w:lang w:eastAsia="ru-RU"/>
        </w:rPr>
        <w:t xml:space="preserve"> </w:t>
      </w:r>
      <w:r w:rsidRPr="00522104">
        <w:rPr>
          <w:rFonts w:ascii="Times New Roman" w:hAnsi="Times New Roman" w:cs="Times New Roman"/>
          <w:sz w:val="28"/>
          <w:szCs w:val="28"/>
        </w:rPr>
        <w:t>на 12,43 %, или на 67,87 млн рублей,</w:t>
      </w:r>
      <w:r w:rsidRPr="00522104">
        <w:rPr>
          <w:rFonts w:ascii="Times New Roman" w:eastAsia="Times New Roman" w:hAnsi="Times New Roman" w:cs="Times New Roman"/>
          <w:sz w:val="28"/>
          <w:szCs w:val="28"/>
          <w:lang w:eastAsia="ru-RU"/>
        </w:rPr>
        <w:t xml:space="preserve"> и составило 613,55 млн рублей. </w:t>
      </w:r>
      <w:r w:rsidRPr="00522104">
        <w:rPr>
          <w:rFonts w:ascii="Times New Roman" w:hAnsi="Times New Roman" w:cs="Times New Roman"/>
          <w:sz w:val="28"/>
          <w:szCs w:val="28"/>
        </w:rPr>
        <w:t xml:space="preserve">К уровню 2021 года в действующей редакции закона о краевом бюджете проектные значения подпрограммы увеличились </w:t>
      </w:r>
      <w:r w:rsidRPr="00522104">
        <w:rPr>
          <w:rFonts w:ascii="Times New Roman" w:eastAsia="Times New Roman" w:hAnsi="Times New Roman" w:cs="Times New Roman"/>
          <w:sz w:val="28"/>
          <w:szCs w:val="28"/>
          <w:lang w:eastAsia="ru-RU"/>
        </w:rPr>
        <w:t>на 10,83 %, или на 59,96 млн рублей;</w:t>
      </w:r>
    </w:p>
    <w:p w14:paraId="667DDA91" w14:textId="795B786B" w:rsidR="00827437" w:rsidRPr="00522104" w:rsidRDefault="00827437" w:rsidP="00827437">
      <w:pPr>
        <w:autoSpaceDE w:val="0"/>
        <w:autoSpaceDN w:val="0"/>
        <w:adjustRightInd w:val="0"/>
        <w:spacing w:after="0" w:line="240" w:lineRule="auto"/>
        <w:ind w:firstLine="709"/>
        <w:jc w:val="both"/>
        <w:rPr>
          <w:rFonts w:ascii="Times New Roman" w:hAnsi="Times New Roman" w:cs="Times New Roman"/>
          <w:i/>
          <w:sz w:val="28"/>
          <w:szCs w:val="28"/>
        </w:rPr>
      </w:pPr>
      <w:r w:rsidRPr="00522104">
        <w:rPr>
          <w:rFonts w:ascii="Times New Roman" w:eastAsia="Times New Roman" w:hAnsi="Times New Roman" w:cs="Times New Roman"/>
          <w:b/>
          <w:i/>
          <w:color w:val="000000"/>
          <w:sz w:val="28"/>
          <w:szCs w:val="28"/>
          <w:lang w:eastAsia="ru-RU"/>
        </w:rPr>
        <w:t xml:space="preserve">по подпрограмме "Благоустройство территорий муниципальных образований Приморского края" </w:t>
      </w:r>
      <w:r w:rsidRPr="00522104">
        <w:rPr>
          <w:rFonts w:ascii="Times New Roman" w:eastAsia="Times New Roman" w:hAnsi="Times New Roman" w:cs="Times New Roman"/>
          <w:color w:val="000000"/>
          <w:sz w:val="28"/>
          <w:szCs w:val="28"/>
          <w:lang w:eastAsia="ru-RU"/>
        </w:rPr>
        <w:t xml:space="preserve">составили 700,00 млн рублей, что ниже </w:t>
      </w:r>
      <w:r w:rsidRPr="00522104">
        <w:rPr>
          <w:rFonts w:ascii="Times New Roman" w:hAnsi="Times New Roman" w:cs="Times New Roman"/>
          <w:sz w:val="28"/>
          <w:szCs w:val="28"/>
        </w:rPr>
        <w:t xml:space="preserve">на 41,67 %, или на 500,00 млн рублей, утвержденных назначений (1 200,00 млн рублей). Планируются </w:t>
      </w:r>
      <w:r w:rsidRPr="00522104">
        <w:rPr>
          <w:rFonts w:ascii="Times New Roman" w:eastAsia="Times New Roman" w:hAnsi="Times New Roman" w:cs="Times New Roman"/>
          <w:color w:val="000000"/>
          <w:sz w:val="28"/>
          <w:szCs w:val="28"/>
          <w:lang w:eastAsia="ru-RU"/>
        </w:rPr>
        <w:t xml:space="preserve">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из краевого бюджета. К уровню 2021 года (649,41 млн рублей) </w:t>
      </w:r>
      <w:r w:rsidRPr="00522104">
        <w:rPr>
          <w:rFonts w:ascii="Times New Roman" w:hAnsi="Times New Roman" w:cs="Times New Roman"/>
          <w:sz w:val="28"/>
          <w:szCs w:val="28"/>
        </w:rPr>
        <w:t xml:space="preserve">проектные значения подпрограммы снизились </w:t>
      </w:r>
      <w:r w:rsidRPr="00522104">
        <w:rPr>
          <w:rFonts w:ascii="Times New Roman" w:eastAsia="Times New Roman" w:hAnsi="Times New Roman" w:cs="Times New Roman"/>
          <w:color w:val="000000"/>
          <w:sz w:val="28"/>
          <w:szCs w:val="28"/>
          <w:lang w:eastAsia="ru-RU"/>
        </w:rPr>
        <w:t>на 16,81 %, или на 141,41 млн рублей.</w:t>
      </w:r>
      <w:r w:rsidRPr="00522104">
        <w:rPr>
          <w:rFonts w:ascii="Times New Roman" w:eastAsia="Times New Roman" w:hAnsi="Times New Roman" w:cs="Times New Roman"/>
          <w:i/>
          <w:color w:val="000000"/>
          <w:sz w:val="28"/>
          <w:szCs w:val="28"/>
          <w:lang w:eastAsia="ru-RU"/>
        </w:rPr>
        <w:t xml:space="preserve"> Справочно</w:t>
      </w:r>
      <w:r w:rsidR="0079689B" w:rsidRPr="00522104">
        <w:rPr>
          <w:rFonts w:ascii="Times New Roman" w:eastAsia="Times New Roman" w:hAnsi="Times New Roman" w:cs="Times New Roman"/>
          <w:i/>
          <w:color w:val="000000"/>
          <w:sz w:val="28"/>
          <w:szCs w:val="28"/>
          <w:lang w:eastAsia="ru-RU"/>
        </w:rPr>
        <w:t>:</w:t>
      </w:r>
      <w:r w:rsidRPr="00522104">
        <w:rPr>
          <w:rFonts w:ascii="Times New Roman" w:eastAsia="Times New Roman" w:hAnsi="Times New Roman" w:cs="Times New Roman"/>
          <w:i/>
          <w:color w:val="000000"/>
          <w:sz w:val="28"/>
          <w:szCs w:val="28"/>
          <w:lang w:eastAsia="ru-RU"/>
        </w:rPr>
        <w:t xml:space="preserve"> </w:t>
      </w:r>
      <w:r w:rsidR="0079689B" w:rsidRPr="00522104">
        <w:rPr>
          <w:rFonts w:ascii="Times New Roman" w:eastAsia="Times New Roman" w:hAnsi="Times New Roman" w:cs="Times New Roman"/>
          <w:i/>
          <w:color w:val="000000"/>
          <w:sz w:val="28"/>
          <w:szCs w:val="28"/>
          <w:lang w:eastAsia="ru-RU"/>
        </w:rPr>
        <w:t>з</w:t>
      </w:r>
      <w:r w:rsidRPr="00522104">
        <w:rPr>
          <w:rFonts w:ascii="Times New Roman" w:eastAsia="Times New Roman" w:hAnsi="Times New Roman" w:cs="Times New Roman"/>
          <w:i/>
          <w:color w:val="000000"/>
          <w:sz w:val="28"/>
          <w:szCs w:val="28"/>
          <w:lang w:eastAsia="ru-RU"/>
        </w:rPr>
        <w:t xml:space="preserve">а 9 месяцев 2021 года субсидии из средств краевого бюджета освоены в сумме 494,86 млн рублей, или 76,20 %. </w:t>
      </w:r>
    </w:p>
    <w:p w14:paraId="0536C937"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522104">
        <w:rPr>
          <w:rFonts w:ascii="Times New Roman" w:eastAsia="Times New Roman" w:hAnsi="Times New Roman" w:cs="Times New Roman"/>
          <w:color w:val="000000"/>
          <w:sz w:val="28"/>
          <w:szCs w:val="28"/>
          <w:lang w:eastAsia="ru-RU"/>
        </w:rPr>
        <w:t xml:space="preserve">В связи с плановым завершением работ по мероприятию в 2021 году не предусмотрены в законопроекте на 2022 год субсидии на приобретение техники для благоустройства муниципальных территорий согласно плану социального развития центров экономического роста Приморского края. На 2021 год запланированы субсидии федерального бюджета в сумме 192,00 млн рублей. За 9 месяцев 2021 года исполнение по бюджетным ассигнованиям отсутствует. </w:t>
      </w:r>
    </w:p>
    <w:p w14:paraId="21D202F9" w14:textId="77777777" w:rsidR="00827437" w:rsidRPr="00522104" w:rsidRDefault="00827437" w:rsidP="00827437">
      <w:pPr>
        <w:spacing w:after="0" w:line="240" w:lineRule="auto"/>
        <w:ind w:firstLine="720"/>
        <w:jc w:val="both"/>
        <w:rPr>
          <w:rFonts w:ascii="Times New Roman" w:hAnsi="Times New Roman" w:cs="Times New Roman"/>
          <w:sz w:val="28"/>
          <w:szCs w:val="28"/>
        </w:rPr>
      </w:pPr>
    </w:p>
    <w:p w14:paraId="10C8C295" w14:textId="77777777" w:rsidR="00827437" w:rsidRPr="00522104" w:rsidRDefault="00827437" w:rsidP="00827437">
      <w:pPr>
        <w:spacing w:after="0" w:line="240" w:lineRule="auto"/>
        <w:ind w:firstLine="720"/>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5.2. Непрограммные направления деятельности органов государственной власти Приморского края.</w:t>
      </w:r>
    </w:p>
    <w:p w14:paraId="00DD837B" w14:textId="450C966E" w:rsidR="00827437" w:rsidRPr="00522104" w:rsidRDefault="00827437" w:rsidP="00827437">
      <w:pPr>
        <w:spacing w:after="0" w:line="240" w:lineRule="auto"/>
        <w:ind w:firstLine="708"/>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Законопроектом бюджетные ассигнования на реализацию н</w:t>
      </w:r>
      <w:r w:rsidRPr="00522104">
        <w:rPr>
          <w:rFonts w:ascii="Times New Roman" w:eastAsia="Times New Roman" w:hAnsi="Times New Roman" w:cs="Times New Roman"/>
          <w:sz w:val="28"/>
          <w:szCs w:val="28"/>
          <w:lang w:eastAsia="ru-RU"/>
        </w:rPr>
        <w:t xml:space="preserve">епрограммных направлений деятельности органов государственной власти Приморского края </w:t>
      </w:r>
      <w:r w:rsidRPr="00522104">
        <w:rPr>
          <w:rFonts w:ascii="Times New Roman" w:eastAsiaTheme="minorEastAsia" w:hAnsi="Times New Roman" w:cs="Times New Roman"/>
          <w:sz w:val="28"/>
          <w:szCs w:val="28"/>
          <w:lang w:eastAsia="ru-RU"/>
        </w:rPr>
        <w:t>на 2022 год предусмотрены в объеме 3380,58 млн рублей, что выше утвержденных назначений на 8,62 млн рублей, или на 0,26 % (3371,96</w:t>
      </w:r>
      <w:r w:rsidR="00FD6DB7" w:rsidRPr="00522104">
        <w:rPr>
          <w:rFonts w:ascii="Times New Roman" w:eastAsiaTheme="minorEastAsia" w:hAnsi="Times New Roman" w:cs="Times New Roman"/>
          <w:sz w:val="28"/>
          <w:szCs w:val="28"/>
          <w:lang w:eastAsia="ru-RU"/>
        </w:rPr>
        <w:t xml:space="preserve"> </w:t>
      </w:r>
      <w:r w:rsidRPr="00522104">
        <w:rPr>
          <w:rFonts w:ascii="Times New Roman" w:eastAsiaTheme="minorEastAsia" w:hAnsi="Times New Roman" w:cs="Times New Roman"/>
          <w:sz w:val="28"/>
          <w:szCs w:val="28"/>
          <w:lang w:eastAsia="ru-RU"/>
        </w:rPr>
        <w:t xml:space="preserve">млн рублей). </w:t>
      </w:r>
    </w:p>
    <w:p w14:paraId="4D09C5BF" w14:textId="77777777" w:rsidR="00827437" w:rsidRPr="00522104" w:rsidRDefault="00827437" w:rsidP="00827437">
      <w:pPr>
        <w:spacing w:after="0" w:line="240" w:lineRule="auto"/>
        <w:ind w:firstLine="709"/>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Расходы краевого бюджета на исполнение непрограммных мероприятий запланированы по 23 ведомствам.</w:t>
      </w:r>
    </w:p>
    <w:p w14:paraId="0AF415D8"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Динамика расходов на 2021, 2022 годы и на плановый период 2023 -2024 годов, предусмотренных на непрограммные направления деятельности органов государственной власти, представлена в таблице.</w:t>
      </w:r>
    </w:p>
    <w:p w14:paraId="50F6BC29" w14:textId="77777777" w:rsidR="00827437" w:rsidRPr="00522104" w:rsidRDefault="00827437" w:rsidP="00827437">
      <w:pPr>
        <w:spacing w:after="0" w:line="240" w:lineRule="auto"/>
        <w:ind w:left="7068" w:firstLine="720"/>
        <w:jc w:val="right"/>
        <w:rPr>
          <w:rFonts w:ascii="Times New Roman" w:eastAsia="Times New Roman" w:hAnsi="Times New Roman" w:cs="Times New Roman"/>
          <w:iCs/>
          <w:color w:val="000000"/>
          <w:sz w:val="20"/>
          <w:szCs w:val="24"/>
          <w:lang w:eastAsia="ru-RU"/>
        </w:rPr>
      </w:pPr>
    </w:p>
    <w:tbl>
      <w:tblPr>
        <w:tblW w:w="9634" w:type="dxa"/>
        <w:tblLayout w:type="fixed"/>
        <w:tblLook w:val="04A0" w:firstRow="1" w:lastRow="0" w:firstColumn="1" w:lastColumn="0" w:noHBand="0" w:noVBand="1"/>
      </w:tblPr>
      <w:tblGrid>
        <w:gridCol w:w="1838"/>
        <w:gridCol w:w="1559"/>
        <w:gridCol w:w="851"/>
        <w:gridCol w:w="850"/>
        <w:gridCol w:w="851"/>
        <w:gridCol w:w="850"/>
        <w:gridCol w:w="851"/>
        <w:gridCol w:w="992"/>
        <w:gridCol w:w="992"/>
      </w:tblGrid>
      <w:tr w:rsidR="00827437" w:rsidRPr="00522104" w14:paraId="58C77C89" w14:textId="77777777" w:rsidTr="00E40BEE">
        <w:trPr>
          <w:trHeight w:val="270"/>
        </w:trPr>
        <w:tc>
          <w:tcPr>
            <w:tcW w:w="1838" w:type="dxa"/>
            <w:tcBorders>
              <w:bottom w:val="single" w:sz="4" w:space="0" w:color="auto"/>
            </w:tcBorders>
            <w:shd w:val="clear" w:color="auto" w:fill="auto"/>
            <w:vAlign w:val="center"/>
          </w:tcPr>
          <w:p w14:paraId="249D4FAE"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p>
        </w:tc>
        <w:tc>
          <w:tcPr>
            <w:tcW w:w="3260" w:type="dxa"/>
            <w:gridSpan w:val="3"/>
            <w:tcBorders>
              <w:bottom w:val="single" w:sz="4" w:space="0" w:color="auto"/>
            </w:tcBorders>
            <w:shd w:val="clear" w:color="auto" w:fill="auto"/>
            <w:vAlign w:val="center"/>
          </w:tcPr>
          <w:p w14:paraId="4206976F"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p>
        </w:tc>
        <w:tc>
          <w:tcPr>
            <w:tcW w:w="2552" w:type="dxa"/>
            <w:gridSpan w:val="3"/>
            <w:tcBorders>
              <w:bottom w:val="single" w:sz="4" w:space="0" w:color="auto"/>
            </w:tcBorders>
            <w:shd w:val="clear" w:color="auto" w:fill="auto"/>
            <w:vAlign w:val="center"/>
          </w:tcPr>
          <w:p w14:paraId="11EC5345"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p>
        </w:tc>
        <w:tc>
          <w:tcPr>
            <w:tcW w:w="1984" w:type="dxa"/>
            <w:gridSpan w:val="2"/>
            <w:tcBorders>
              <w:bottom w:val="single" w:sz="4" w:space="0" w:color="auto"/>
            </w:tcBorders>
            <w:shd w:val="clear" w:color="auto" w:fill="auto"/>
            <w:vAlign w:val="center"/>
          </w:tcPr>
          <w:p w14:paraId="32433EA8" w14:textId="77777777" w:rsidR="00827437" w:rsidRPr="000B3CF8"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B3CF8">
              <w:rPr>
                <w:rFonts w:ascii="Times New Roman" w:eastAsia="Times New Roman" w:hAnsi="Times New Roman" w:cs="Times New Roman"/>
                <w:iCs/>
                <w:color w:val="000000"/>
                <w:sz w:val="20"/>
                <w:szCs w:val="20"/>
                <w:lang w:eastAsia="ru-RU"/>
              </w:rPr>
              <w:t>(млн рублей)</w:t>
            </w:r>
          </w:p>
        </w:tc>
      </w:tr>
      <w:tr w:rsidR="00827437" w:rsidRPr="00522104" w14:paraId="3F53739D" w14:textId="77777777" w:rsidTr="00E40BEE">
        <w:trPr>
          <w:trHeight w:val="27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0174E0"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Наименование</w:t>
            </w:r>
          </w:p>
        </w:tc>
        <w:tc>
          <w:tcPr>
            <w:tcW w:w="3260" w:type="dxa"/>
            <w:gridSpan w:val="3"/>
            <w:tcBorders>
              <w:top w:val="single" w:sz="4" w:space="0" w:color="auto"/>
              <w:left w:val="nil"/>
              <w:bottom w:val="single" w:sz="4" w:space="0" w:color="auto"/>
              <w:right w:val="single" w:sz="4" w:space="0" w:color="auto"/>
            </w:tcBorders>
            <w:shd w:val="clear" w:color="auto" w:fill="auto"/>
            <w:vAlign w:val="center"/>
            <w:hideMark/>
          </w:tcPr>
          <w:p w14:paraId="6AED9ECC"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Закон № 969-КЗ</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14:paraId="38F1E7D4"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Законопроект</w:t>
            </w:r>
          </w:p>
        </w:tc>
        <w:tc>
          <w:tcPr>
            <w:tcW w:w="1984" w:type="dxa"/>
            <w:gridSpan w:val="2"/>
            <w:tcBorders>
              <w:top w:val="single" w:sz="4" w:space="0" w:color="auto"/>
              <w:left w:val="nil"/>
              <w:bottom w:val="single" w:sz="4" w:space="0" w:color="auto"/>
              <w:right w:val="single" w:sz="4" w:space="0" w:color="000000"/>
            </w:tcBorders>
            <w:shd w:val="clear" w:color="auto" w:fill="auto"/>
            <w:vAlign w:val="center"/>
            <w:hideMark/>
          </w:tcPr>
          <w:p w14:paraId="33578343"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Отклонения законопроекта от утвержденных назначений</w:t>
            </w:r>
          </w:p>
        </w:tc>
      </w:tr>
      <w:tr w:rsidR="00272907" w:rsidRPr="00522104" w14:paraId="392D6107" w14:textId="77777777" w:rsidTr="00272907">
        <w:trPr>
          <w:trHeight w:val="279"/>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F871271"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1559" w:type="dxa"/>
            <w:vMerge w:val="restart"/>
            <w:tcBorders>
              <w:top w:val="nil"/>
              <w:left w:val="nil"/>
              <w:right w:val="single" w:sz="4" w:space="0" w:color="auto"/>
            </w:tcBorders>
            <w:shd w:val="clear" w:color="auto" w:fill="auto"/>
            <w:vAlign w:val="center"/>
            <w:hideMark/>
          </w:tcPr>
          <w:p w14:paraId="02C197D7"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первоначальная редакция</w:t>
            </w:r>
          </w:p>
          <w:p w14:paraId="7BDB7308" w14:textId="57EACF1F"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2021 год</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2CD8EF05"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 редакция</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9566910"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 год</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0940EA"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2023 год</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0C0A07"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2024 год</w:t>
            </w:r>
          </w:p>
        </w:tc>
        <w:tc>
          <w:tcPr>
            <w:tcW w:w="992" w:type="dxa"/>
            <w:vMerge w:val="restart"/>
            <w:tcBorders>
              <w:top w:val="nil"/>
              <w:left w:val="nil"/>
              <w:right w:val="single" w:sz="4" w:space="0" w:color="auto"/>
            </w:tcBorders>
            <w:shd w:val="clear" w:color="auto" w:fill="auto"/>
            <w:noWrap/>
            <w:vAlign w:val="center"/>
            <w:hideMark/>
          </w:tcPr>
          <w:p w14:paraId="29E99126"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2022/2021</w:t>
            </w:r>
          </w:p>
        </w:tc>
        <w:tc>
          <w:tcPr>
            <w:tcW w:w="992" w:type="dxa"/>
            <w:vMerge w:val="restart"/>
            <w:tcBorders>
              <w:top w:val="nil"/>
              <w:left w:val="nil"/>
              <w:right w:val="single" w:sz="4" w:space="0" w:color="auto"/>
            </w:tcBorders>
            <w:shd w:val="clear" w:color="auto" w:fill="auto"/>
            <w:noWrap/>
            <w:vAlign w:val="center"/>
            <w:hideMark/>
          </w:tcPr>
          <w:p w14:paraId="00723A25"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2022/2022</w:t>
            </w:r>
          </w:p>
        </w:tc>
      </w:tr>
      <w:tr w:rsidR="00272907" w:rsidRPr="00522104" w14:paraId="5838837B" w14:textId="77777777" w:rsidTr="00272907">
        <w:trPr>
          <w:trHeight w:val="300"/>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CF01D3E"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1559" w:type="dxa"/>
            <w:vMerge/>
            <w:tcBorders>
              <w:left w:val="nil"/>
              <w:bottom w:val="single" w:sz="4" w:space="0" w:color="auto"/>
              <w:right w:val="single" w:sz="4" w:space="0" w:color="auto"/>
            </w:tcBorders>
            <w:shd w:val="clear" w:color="auto" w:fill="auto"/>
            <w:vAlign w:val="center"/>
            <w:hideMark/>
          </w:tcPr>
          <w:p w14:paraId="429E8E58" w14:textId="13A6D838"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14:paraId="57C78FFF"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2021 год</w:t>
            </w:r>
          </w:p>
        </w:tc>
        <w:tc>
          <w:tcPr>
            <w:tcW w:w="850" w:type="dxa"/>
            <w:tcBorders>
              <w:top w:val="nil"/>
              <w:left w:val="nil"/>
              <w:bottom w:val="single" w:sz="4" w:space="0" w:color="auto"/>
              <w:right w:val="single" w:sz="4" w:space="0" w:color="auto"/>
            </w:tcBorders>
            <w:shd w:val="clear" w:color="auto" w:fill="auto"/>
            <w:noWrap/>
            <w:vAlign w:val="center"/>
            <w:hideMark/>
          </w:tcPr>
          <w:p w14:paraId="1DEC1529"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 год</w:t>
            </w:r>
          </w:p>
        </w:tc>
        <w:tc>
          <w:tcPr>
            <w:tcW w:w="851" w:type="dxa"/>
            <w:vMerge/>
            <w:tcBorders>
              <w:top w:val="nil"/>
              <w:left w:val="single" w:sz="4" w:space="0" w:color="auto"/>
              <w:bottom w:val="single" w:sz="4" w:space="0" w:color="auto"/>
              <w:right w:val="single" w:sz="4" w:space="0" w:color="auto"/>
            </w:tcBorders>
            <w:vAlign w:val="center"/>
            <w:hideMark/>
          </w:tcPr>
          <w:p w14:paraId="04F4927A"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14:paraId="35A3F7DC"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6E688CD5"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992" w:type="dxa"/>
            <w:vMerge/>
            <w:tcBorders>
              <w:left w:val="nil"/>
              <w:bottom w:val="single" w:sz="4" w:space="0" w:color="auto"/>
              <w:right w:val="single" w:sz="4" w:space="0" w:color="auto"/>
            </w:tcBorders>
            <w:shd w:val="clear" w:color="auto" w:fill="auto"/>
            <w:noWrap/>
            <w:vAlign w:val="center"/>
          </w:tcPr>
          <w:p w14:paraId="3BEFC662"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p>
        </w:tc>
        <w:tc>
          <w:tcPr>
            <w:tcW w:w="992" w:type="dxa"/>
            <w:vMerge/>
            <w:tcBorders>
              <w:left w:val="nil"/>
              <w:bottom w:val="single" w:sz="4" w:space="0" w:color="auto"/>
              <w:right w:val="single" w:sz="4" w:space="0" w:color="auto"/>
            </w:tcBorders>
            <w:shd w:val="clear" w:color="auto" w:fill="auto"/>
            <w:noWrap/>
            <w:vAlign w:val="center"/>
          </w:tcPr>
          <w:p w14:paraId="789A72F1"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p>
        </w:tc>
      </w:tr>
      <w:tr w:rsidR="00827437" w:rsidRPr="00522104" w14:paraId="538FF399" w14:textId="77777777" w:rsidTr="00E40BEE">
        <w:trPr>
          <w:trHeight w:val="70"/>
        </w:trPr>
        <w:tc>
          <w:tcPr>
            <w:tcW w:w="1838" w:type="dxa"/>
            <w:tcBorders>
              <w:top w:val="nil"/>
              <w:left w:val="single" w:sz="4" w:space="0" w:color="auto"/>
              <w:bottom w:val="single" w:sz="4" w:space="0" w:color="auto"/>
              <w:right w:val="single" w:sz="4" w:space="0" w:color="auto"/>
            </w:tcBorders>
            <w:shd w:val="clear" w:color="DDEBF7" w:fill="FFFFFF"/>
            <w:vAlign w:val="bottom"/>
            <w:hideMark/>
          </w:tcPr>
          <w:p w14:paraId="0B18F04F"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w:t>
            </w:r>
          </w:p>
        </w:tc>
        <w:tc>
          <w:tcPr>
            <w:tcW w:w="1559" w:type="dxa"/>
            <w:tcBorders>
              <w:top w:val="nil"/>
              <w:left w:val="nil"/>
              <w:bottom w:val="single" w:sz="4" w:space="0" w:color="auto"/>
              <w:right w:val="single" w:sz="4" w:space="0" w:color="auto"/>
            </w:tcBorders>
            <w:shd w:val="clear" w:color="auto" w:fill="auto"/>
            <w:vAlign w:val="center"/>
            <w:hideMark/>
          </w:tcPr>
          <w:p w14:paraId="56C7CC62"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14:paraId="49F8A298"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w:t>
            </w:r>
          </w:p>
        </w:tc>
        <w:tc>
          <w:tcPr>
            <w:tcW w:w="850" w:type="dxa"/>
            <w:tcBorders>
              <w:top w:val="nil"/>
              <w:left w:val="nil"/>
              <w:bottom w:val="single" w:sz="4" w:space="0" w:color="auto"/>
              <w:right w:val="single" w:sz="4" w:space="0" w:color="auto"/>
            </w:tcBorders>
            <w:shd w:val="clear" w:color="auto" w:fill="auto"/>
            <w:vAlign w:val="center"/>
            <w:hideMark/>
          </w:tcPr>
          <w:p w14:paraId="628276A3"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14:paraId="420E27C0"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14:paraId="3417D71A"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w:t>
            </w:r>
          </w:p>
        </w:tc>
        <w:tc>
          <w:tcPr>
            <w:tcW w:w="851" w:type="dxa"/>
            <w:tcBorders>
              <w:top w:val="nil"/>
              <w:left w:val="nil"/>
              <w:bottom w:val="single" w:sz="4" w:space="0" w:color="auto"/>
              <w:right w:val="single" w:sz="4" w:space="0" w:color="auto"/>
            </w:tcBorders>
            <w:shd w:val="clear" w:color="auto" w:fill="auto"/>
            <w:vAlign w:val="center"/>
            <w:hideMark/>
          </w:tcPr>
          <w:p w14:paraId="11A3DEEF"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w:t>
            </w:r>
          </w:p>
        </w:tc>
        <w:tc>
          <w:tcPr>
            <w:tcW w:w="992" w:type="dxa"/>
            <w:tcBorders>
              <w:top w:val="nil"/>
              <w:left w:val="nil"/>
              <w:bottom w:val="single" w:sz="4" w:space="0" w:color="auto"/>
              <w:right w:val="single" w:sz="4" w:space="0" w:color="auto"/>
            </w:tcBorders>
            <w:shd w:val="clear" w:color="auto" w:fill="auto"/>
            <w:vAlign w:val="center"/>
            <w:hideMark/>
          </w:tcPr>
          <w:p w14:paraId="56AC2C2C"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8=5-3</w:t>
            </w:r>
          </w:p>
        </w:tc>
        <w:tc>
          <w:tcPr>
            <w:tcW w:w="992" w:type="dxa"/>
            <w:tcBorders>
              <w:top w:val="nil"/>
              <w:left w:val="nil"/>
              <w:bottom w:val="single" w:sz="4" w:space="0" w:color="auto"/>
              <w:right w:val="single" w:sz="4" w:space="0" w:color="auto"/>
            </w:tcBorders>
            <w:shd w:val="clear" w:color="auto" w:fill="auto"/>
            <w:vAlign w:val="center"/>
            <w:hideMark/>
          </w:tcPr>
          <w:p w14:paraId="26277A6A"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9=5-4</w:t>
            </w:r>
          </w:p>
        </w:tc>
      </w:tr>
      <w:tr w:rsidR="00827437" w:rsidRPr="00522104" w14:paraId="54AC292C" w14:textId="77777777" w:rsidTr="00E40BEE">
        <w:trPr>
          <w:trHeight w:val="874"/>
        </w:trPr>
        <w:tc>
          <w:tcPr>
            <w:tcW w:w="1838" w:type="dxa"/>
            <w:tcBorders>
              <w:top w:val="nil"/>
              <w:left w:val="single" w:sz="4" w:space="0" w:color="auto"/>
              <w:bottom w:val="single" w:sz="4" w:space="0" w:color="auto"/>
              <w:right w:val="single" w:sz="4" w:space="0" w:color="auto"/>
            </w:tcBorders>
            <w:shd w:val="clear" w:color="auto" w:fill="auto"/>
            <w:hideMark/>
          </w:tcPr>
          <w:p w14:paraId="54810C2C" w14:textId="77777777" w:rsidR="00827437" w:rsidRPr="00522104" w:rsidRDefault="00827437" w:rsidP="00E40BEE">
            <w:pPr>
              <w:spacing w:after="0" w:line="240" w:lineRule="auto"/>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Непрограммные направления деятельности органов государственной власти</w:t>
            </w:r>
          </w:p>
        </w:tc>
        <w:tc>
          <w:tcPr>
            <w:tcW w:w="1559" w:type="dxa"/>
            <w:tcBorders>
              <w:top w:val="nil"/>
              <w:left w:val="nil"/>
              <w:bottom w:val="single" w:sz="4" w:space="0" w:color="auto"/>
              <w:right w:val="single" w:sz="4" w:space="0" w:color="auto"/>
            </w:tcBorders>
            <w:shd w:val="clear" w:color="auto" w:fill="auto"/>
            <w:noWrap/>
            <w:vAlign w:val="bottom"/>
            <w:hideMark/>
          </w:tcPr>
          <w:p w14:paraId="75BCDAC8" w14:textId="77777777" w:rsidR="00827437" w:rsidRPr="00522104" w:rsidRDefault="00827437" w:rsidP="00E40BEE">
            <w:pPr>
              <w:spacing w:after="0" w:line="240" w:lineRule="auto"/>
              <w:ind w:left="-70"/>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4 635,67</w:t>
            </w:r>
          </w:p>
        </w:tc>
        <w:tc>
          <w:tcPr>
            <w:tcW w:w="851" w:type="dxa"/>
            <w:tcBorders>
              <w:top w:val="nil"/>
              <w:left w:val="nil"/>
              <w:bottom w:val="single" w:sz="4" w:space="0" w:color="auto"/>
              <w:right w:val="single" w:sz="4" w:space="0" w:color="auto"/>
            </w:tcBorders>
            <w:shd w:val="clear" w:color="auto" w:fill="auto"/>
            <w:noWrap/>
            <w:vAlign w:val="bottom"/>
            <w:hideMark/>
          </w:tcPr>
          <w:p w14:paraId="692232F3"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4 329,58</w:t>
            </w:r>
          </w:p>
        </w:tc>
        <w:tc>
          <w:tcPr>
            <w:tcW w:w="850" w:type="dxa"/>
            <w:tcBorders>
              <w:top w:val="nil"/>
              <w:left w:val="nil"/>
              <w:bottom w:val="single" w:sz="4" w:space="0" w:color="auto"/>
              <w:right w:val="single" w:sz="4" w:space="0" w:color="auto"/>
            </w:tcBorders>
            <w:shd w:val="clear" w:color="auto" w:fill="auto"/>
            <w:noWrap/>
            <w:vAlign w:val="bottom"/>
            <w:hideMark/>
          </w:tcPr>
          <w:p w14:paraId="60097DB3"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3 371,96</w:t>
            </w:r>
          </w:p>
        </w:tc>
        <w:tc>
          <w:tcPr>
            <w:tcW w:w="851" w:type="dxa"/>
            <w:tcBorders>
              <w:top w:val="nil"/>
              <w:left w:val="nil"/>
              <w:bottom w:val="single" w:sz="4" w:space="0" w:color="auto"/>
              <w:right w:val="single" w:sz="4" w:space="0" w:color="auto"/>
            </w:tcBorders>
            <w:shd w:val="clear" w:color="auto" w:fill="auto"/>
            <w:noWrap/>
            <w:vAlign w:val="bottom"/>
            <w:hideMark/>
          </w:tcPr>
          <w:p w14:paraId="67282BAB"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3 380,58</w:t>
            </w:r>
          </w:p>
        </w:tc>
        <w:tc>
          <w:tcPr>
            <w:tcW w:w="850" w:type="dxa"/>
            <w:tcBorders>
              <w:top w:val="nil"/>
              <w:left w:val="nil"/>
              <w:bottom w:val="single" w:sz="4" w:space="0" w:color="auto"/>
              <w:right w:val="single" w:sz="4" w:space="0" w:color="auto"/>
            </w:tcBorders>
            <w:shd w:val="clear" w:color="auto" w:fill="auto"/>
            <w:noWrap/>
            <w:vAlign w:val="bottom"/>
            <w:hideMark/>
          </w:tcPr>
          <w:p w14:paraId="0B2031B1"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3 747,27</w:t>
            </w:r>
          </w:p>
        </w:tc>
        <w:tc>
          <w:tcPr>
            <w:tcW w:w="851" w:type="dxa"/>
            <w:tcBorders>
              <w:top w:val="nil"/>
              <w:left w:val="nil"/>
              <w:bottom w:val="single" w:sz="4" w:space="0" w:color="auto"/>
              <w:right w:val="single" w:sz="4" w:space="0" w:color="auto"/>
            </w:tcBorders>
            <w:shd w:val="clear" w:color="auto" w:fill="auto"/>
            <w:noWrap/>
            <w:vAlign w:val="bottom"/>
            <w:hideMark/>
          </w:tcPr>
          <w:p w14:paraId="6D1EFC5C"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3 874,46</w:t>
            </w:r>
          </w:p>
        </w:tc>
        <w:tc>
          <w:tcPr>
            <w:tcW w:w="992" w:type="dxa"/>
            <w:tcBorders>
              <w:top w:val="nil"/>
              <w:left w:val="nil"/>
              <w:bottom w:val="single" w:sz="4" w:space="0" w:color="auto"/>
              <w:right w:val="single" w:sz="4" w:space="0" w:color="auto"/>
            </w:tcBorders>
            <w:shd w:val="clear" w:color="auto" w:fill="auto"/>
            <w:noWrap/>
            <w:vAlign w:val="bottom"/>
            <w:hideMark/>
          </w:tcPr>
          <w:p w14:paraId="58C443F1"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-948,99</w:t>
            </w:r>
          </w:p>
        </w:tc>
        <w:tc>
          <w:tcPr>
            <w:tcW w:w="992" w:type="dxa"/>
            <w:tcBorders>
              <w:top w:val="nil"/>
              <w:left w:val="nil"/>
              <w:bottom w:val="single" w:sz="4" w:space="0" w:color="auto"/>
              <w:right w:val="single" w:sz="4" w:space="0" w:color="auto"/>
            </w:tcBorders>
            <w:shd w:val="clear" w:color="auto" w:fill="auto"/>
            <w:noWrap/>
            <w:vAlign w:val="bottom"/>
            <w:hideMark/>
          </w:tcPr>
          <w:p w14:paraId="7C6F4B64" w14:textId="77777777" w:rsidR="00827437" w:rsidRPr="00522104" w:rsidRDefault="00827437" w:rsidP="00E40BEE">
            <w:pPr>
              <w:spacing w:after="0" w:line="240" w:lineRule="auto"/>
              <w:jc w:val="right"/>
              <w:rPr>
                <w:rFonts w:ascii="Times New Roman" w:eastAsia="Times New Roman" w:hAnsi="Times New Roman" w:cs="Times New Roman"/>
                <w:sz w:val="18"/>
                <w:szCs w:val="18"/>
                <w:lang w:eastAsia="ru-RU"/>
              </w:rPr>
            </w:pPr>
            <w:r w:rsidRPr="00522104">
              <w:rPr>
                <w:rFonts w:ascii="Times New Roman" w:eastAsia="Times New Roman" w:hAnsi="Times New Roman" w:cs="Times New Roman"/>
                <w:sz w:val="18"/>
                <w:szCs w:val="18"/>
                <w:lang w:eastAsia="ru-RU"/>
              </w:rPr>
              <w:t>8,62</w:t>
            </w:r>
          </w:p>
        </w:tc>
      </w:tr>
    </w:tbl>
    <w:p w14:paraId="6BB461E9" w14:textId="77777777" w:rsidR="00827437" w:rsidRPr="00522104" w:rsidRDefault="00827437" w:rsidP="00827437">
      <w:pPr>
        <w:spacing w:after="0" w:line="240" w:lineRule="auto"/>
        <w:ind w:firstLine="709"/>
        <w:jc w:val="both"/>
        <w:rPr>
          <w:rFonts w:ascii="Times New Roman" w:eastAsiaTheme="minorEastAsia" w:hAnsi="Times New Roman" w:cs="Times New Roman"/>
          <w:sz w:val="28"/>
          <w:szCs w:val="28"/>
          <w:lang w:eastAsia="ru-RU"/>
        </w:rPr>
      </w:pPr>
    </w:p>
    <w:p w14:paraId="021D1B30" w14:textId="452793A9" w:rsidR="00827437" w:rsidRPr="00522104" w:rsidRDefault="00827437" w:rsidP="00827437">
      <w:pPr>
        <w:spacing w:after="0" w:line="240" w:lineRule="auto"/>
        <w:ind w:firstLine="709"/>
        <w:jc w:val="both"/>
        <w:rPr>
          <w:rFonts w:ascii="Times New Roman" w:eastAsiaTheme="minorEastAsia" w:hAnsi="Times New Roman" w:cs="Times New Roman"/>
          <w:sz w:val="28"/>
          <w:szCs w:val="28"/>
          <w:lang w:eastAsia="ru-RU"/>
        </w:rPr>
      </w:pPr>
      <w:r w:rsidRPr="00522104">
        <w:rPr>
          <w:rFonts w:ascii="Times New Roman" w:eastAsiaTheme="minorEastAsia" w:hAnsi="Times New Roman" w:cs="Times New Roman"/>
          <w:sz w:val="28"/>
          <w:szCs w:val="28"/>
          <w:lang w:eastAsia="ru-RU"/>
        </w:rPr>
        <w:t>Распределение бюджетных ассигнований на финансовое обеспечение н</w:t>
      </w:r>
      <w:r w:rsidRPr="00522104">
        <w:rPr>
          <w:rFonts w:ascii="Times New Roman" w:eastAsia="Times New Roman" w:hAnsi="Times New Roman" w:cs="Times New Roman"/>
          <w:sz w:val="28"/>
          <w:szCs w:val="28"/>
          <w:lang w:eastAsia="ru-RU"/>
        </w:rPr>
        <w:t>епрограммных направлений деятельности органов государственной власти</w:t>
      </w:r>
      <w:r w:rsidRPr="00522104">
        <w:rPr>
          <w:rFonts w:ascii="Times New Roman" w:eastAsiaTheme="minorEastAsia" w:hAnsi="Times New Roman" w:cs="Times New Roman"/>
          <w:sz w:val="28"/>
          <w:szCs w:val="28"/>
          <w:lang w:eastAsia="ru-RU"/>
        </w:rPr>
        <w:t xml:space="preserve"> в разрезе главных распорядителей средств краевого бюджета на 2021 год, 2022 год, плановый период 2023-2024 годов к уровню расходов, утвержденных законом</w:t>
      </w:r>
      <w:r w:rsidR="0079689B" w:rsidRPr="00522104">
        <w:rPr>
          <w:rFonts w:ascii="Times New Roman" w:eastAsiaTheme="minorEastAsia" w:hAnsi="Times New Roman" w:cs="Times New Roman"/>
          <w:sz w:val="28"/>
          <w:szCs w:val="28"/>
          <w:lang w:eastAsia="ru-RU"/>
        </w:rPr>
        <w:t>,</w:t>
      </w:r>
      <w:r w:rsidRPr="00522104">
        <w:rPr>
          <w:rFonts w:ascii="Times New Roman" w:eastAsiaTheme="minorEastAsia" w:hAnsi="Times New Roman" w:cs="Times New Roman"/>
          <w:sz w:val="28"/>
          <w:szCs w:val="28"/>
          <w:lang w:eastAsia="ru-RU"/>
        </w:rPr>
        <w:t xml:space="preserve"> приведено в таблице.</w:t>
      </w:r>
    </w:p>
    <w:p w14:paraId="31A8B783" w14:textId="77777777" w:rsidR="00827437" w:rsidRPr="00522104" w:rsidRDefault="00827437" w:rsidP="00827437">
      <w:pPr>
        <w:spacing w:after="0" w:line="240" w:lineRule="auto"/>
        <w:ind w:firstLine="709"/>
        <w:jc w:val="right"/>
        <w:rPr>
          <w:rFonts w:ascii="Times New Roman" w:eastAsiaTheme="minorEastAsia" w:hAnsi="Times New Roman" w:cs="Times New Roman"/>
          <w:sz w:val="20"/>
          <w:szCs w:val="28"/>
          <w:lang w:eastAsia="ru-RU"/>
        </w:rPr>
      </w:pPr>
    </w:p>
    <w:tbl>
      <w:tblPr>
        <w:tblW w:w="10778" w:type="dxa"/>
        <w:tblInd w:w="-1134" w:type="dxa"/>
        <w:tblLayout w:type="fixed"/>
        <w:tblLook w:val="04A0" w:firstRow="1" w:lastRow="0" w:firstColumn="1" w:lastColumn="0" w:noHBand="0" w:noVBand="1"/>
      </w:tblPr>
      <w:tblGrid>
        <w:gridCol w:w="2127"/>
        <w:gridCol w:w="425"/>
        <w:gridCol w:w="851"/>
        <w:gridCol w:w="850"/>
        <w:gridCol w:w="851"/>
        <w:gridCol w:w="850"/>
        <w:gridCol w:w="851"/>
        <w:gridCol w:w="850"/>
        <w:gridCol w:w="851"/>
        <w:gridCol w:w="850"/>
        <w:gridCol w:w="709"/>
        <w:gridCol w:w="713"/>
      </w:tblGrid>
      <w:tr w:rsidR="00827437" w:rsidRPr="00522104" w14:paraId="0ED8C78A" w14:textId="77777777" w:rsidTr="00467069">
        <w:trPr>
          <w:trHeight w:val="140"/>
          <w:tblHeader/>
        </w:trPr>
        <w:tc>
          <w:tcPr>
            <w:tcW w:w="2127" w:type="dxa"/>
            <w:tcBorders>
              <w:bottom w:val="single" w:sz="4" w:space="0" w:color="auto"/>
            </w:tcBorders>
            <w:shd w:val="clear" w:color="auto" w:fill="auto"/>
            <w:vAlign w:val="center"/>
          </w:tcPr>
          <w:p w14:paraId="3094E37A"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p>
        </w:tc>
        <w:tc>
          <w:tcPr>
            <w:tcW w:w="425" w:type="dxa"/>
            <w:tcBorders>
              <w:bottom w:val="single" w:sz="4" w:space="0" w:color="auto"/>
            </w:tcBorders>
            <w:shd w:val="clear" w:color="auto" w:fill="auto"/>
            <w:noWrap/>
            <w:vAlign w:val="center"/>
          </w:tcPr>
          <w:p w14:paraId="5AE7835B"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p>
        </w:tc>
        <w:tc>
          <w:tcPr>
            <w:tcW w:w="2552" w:type="dxa"/>
            <w:gridSpan w:val="3"/>
            <w:tcBorders>
              <w:bottom w:val="single" w:sz="4" w:space="0" w:color="auto"/>
            </w:tcBorders>
            <w:shd w:val="clear" w:color="auto" w:fill="auto"/>
            <w:vAlign w:val="center"/>
          </w:tcPr>
          <w:p w14:paraId="7EA71132"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p>
        </w:tc>
        <w:tc>
          <w:tcPr>
            <w:tcW w:w="2551" w:type="dxa"/>
            <w:gridSpan w:val="3"/>
            <w:tcBorders>
              <w:bottom w:val="single" w:sz="4" w:space="0" w:color="auto"/>
            </w:tcBorders>
            <w:shd w:val="clear" w:color="auto" w:fill="auto"/>
            <w:vAlign w:val="center"/>
          </w:tcPr>
          <w:p w14:paraId="6A4BB4E1"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p>
        </w:tc>
        <w:tc>
          <w:tcPr>
            <w:tcW w:w="3123" w:type="dxa"/>
            <w:gridSpan w:val="4"/>
            <w:tcBorders>
              <w:bottom w:val="single" w:sz="4" w:space="0" w:color="auto"/>
            </w:tcBorders>
            <w:shd w:val="clear" w:color="auto" w:fill="auto"/>
            <w:vAlign w:val="center"/>
          </w:tcPr>
          <w:p w14:paraId="7567168B" w14:textId="77777777" w:rsidR="00827437" w:rsidRPr="000B3CF8" w:rsidRDefault="00827437" w:rsidP="00E40BEE">
            <w:pPr>
              <w:spacing w:after="0" w:line="240" w:lineRule="auto"/>
              <w:jc w:val="right"/>
              <w:rPr>
                <w:rFonts w:ascii="Times New Roman" w:eastAsia="Times New Roman" w:hAnsi="Times New Roman" w:cs="Times New Roman"/>
                <w:color w:val="000000"/>
                <w:sz w:val="20"/>
                <w:szCs w:val="20"/>
                <w:lang w:eastAsia="ru-RU"/>
              </w:rPr>
            </w:pPr>
            <w:r w:rsidRPr="000B3CF8">
              <w:rPr>
                <w:rFonts w:ascii="Times New Roman" w:eastAsiaTheme="minorEastAsia" w:hAnsi="Times New Roman" w:cs="Times New Roman"/>
                <w:sz w:val="20"/>
                <w:szCs w:val="20"/>
                <w:lang w:eastAsia="ru-RU"/>
              </w:rPr>
              <w:t>(млн рублей)</w:t>
            </w:r>
          </w:p>
        </w:tc>
      </w:tr>
      <w:tr w:rsidR="00827437" w:rsidRPr="00522104" w14:paraId="52E8BA86" w14:textId="77777777" w:rsidTr="00467069">
        <w:trPr>
          <w:trHeight w:val="140"/>
          <w:tblHeader/>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6BA21F"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Наименование</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74074"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Код</w:t>
            </w:r>
          </w:p>
        </w:tc>
        <w:tc>
          <w:tcPr>
            <w:tcW w:w="2552" w:type="dxa"/>
            <w:gridSpan w:val="3"/>
            <w:tcBorders>
              <w:top w:val="single" w:sz="4" w:space="0" w:color="auto"/>
              <w:left w:val="nil"/>
              <w:bottom w:val="single" w:sz="4" w:space="0" w:color="auto"/>
              <w:right w:val="single" w:sz="4" w:space="0" w:color="auto"/>
            </w:tcBorders>
            <w:shd w:val="clear" w:color="auto" w:fill="auto"/>
            <w:vAlign w:val="center"/>
            <w:hideMark/>
          </w:tcPr>
          <w:p w14:paraId="03B056AB"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Закон № 969-КЗ</w:t>
            </w:r>
          </w:p>
        </w:tc>
        <w:tc>
          <w:tcPr>
            <w:tcW w:w="2551" w:type="dxa"/>
            <w:gridSpan w:val="3"/>
            <w:tcBorders>
              <w:top w:val="single" w:sz="4" w:space="0" w:color="auto"/>
              <w:left w:val="nil"/>
              <w:bottom w:val="single" w:sz="4" w:space="0" w:color="auto"/>
              <w:right w:val="single" w:sz="4" w:space="0" w:color="auto"/>
            </w:tcBorders>
            <w:shd w:val="clear" w:color="auto" w:fill="auto"/>
            <w:vAlign w:val="center"/>
            <w:hideMark/>
          </w:tcPr>
          <w:p w14:paraId="1EF99E43"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Законопроект</w:t>
            </w:r>
          </w:p>
        </w:tc>
        <w:tc>
          <w:tcPr>
            <w:tcW w:w="3123" w:type="dxa"/>
            <w:gridSpan w:val="4"/>
            <w:tcBorders>
              <w:top w:val="single" w:sz="4" w:space="0" w:color="auto"/>
              <w:left w:val="nil"/>
              <w:bottom w:val="single" w:sz="4" w:space="0" w:color="auto"/>
              <w:right w:val="single" w:sz="4" w:space="0" w:color="auto"/>
            </w:tcBorders>
            <w:shd w:val="clear" w:color="auto" w:fill="auto"/>
            <w:vAlign w:val="center"/>
            <w:hideMark/>
          </w:tcPr>
          <w:p w14:paraId="69393665" w14:textId="77777777" w:rsidR="00827437" w:rsidRPr="00522104" w:rsidRDefault="0082743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Отклонения законопроекта от утвержденных назначений</w:t>
            </w:r>
          </w:p>
        </w:tc>
      </w:tr>
      <w:tr w:rsidR="00272907" w:rsidRPr="00522104" w14:paraId="14EBC00E" w14:textId="77777777" w:rsidTr="00467069">
        <w:trPr>
          <w:trHeight w:val="585"/>
          <w:tblHeader/>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5488DDB"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0B76E8F9" w14:textId="77777777" w:rsidR="00272907" w:rsidRPr="00522104" w:rsidRDefault="00272907" w:rsidP="00E40BEE">
            <w:pPr>
              <w:spacing w:after="0" w:line="240" w:lineRule="auto"/>
              <w:ind w:left="-108" w:right="-108"/>
              <w:rPr>
                <w:rFonts w:ascii="Times New Roman" w:eastAsia="Times New Roman" w:hAnsi="Times New Roman" w:cs="Times New Roman"/>
                <w:color w:val="000000"/>
                <w:sz w:val="18"/>
                <w:szCs w:val="18"/>
                <w:lang w:eastAsia="ru-RU"/>
              </w:rPr>
            </w:pPr>
          </w:p>
        </w:tc>
        <w:tc>
          <w:tcPr>
            <w:tcW w:w="851" w:type="dxa"/>
            <w:vMerge w:val="restart"/>
            <w:tcBorders>
              <w:top w:val="nil"/>
              <w:left w:val="nil"/>
              <w:right w:val="single" w:sz="4" w:space="0" w:color="auto"/>
            </w:tcBorders>
            <w:shd w:val="clear" w:color="auto" w:fill="auto"/>
            <w:vAlign w:val="center"/>
            <w:hideMark/>
          </w:tcPr>
          <w:p w14:paraId="584D2480" w14:textId="77777777"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первоначальная редакция</w:t>
            </w:r>
          </w:p>
          <w:p w14:paraId="6BD446D6" w14:textId="227E3105"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2021</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9AE6A4A" w14:textId="77777777"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 редакция</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307E1C" w14:textId="77777777"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62E139" w14:textId="77777777"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2023</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A671483" w14:textId="77777777"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2024</w:t>
            </w:r>
          </w:p>
        </w:tc>
        <w:tc>
          <w:tcPr>
            <w:tcW w:w="17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2F8AA009"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2022/2021</w:t>
            </w:r>
          </w:p>
        </w:tc>
        <w:tc>
          <w:tcPr>
            <w:tcW w:w="1422" w:type="dxa"/>
            <w:gridSpan w:val="2"/>
            <w:tcBorders>
              <w:top w:val="single" w:sz="4" w:space="0" w:color="auto"/>
              <w:left w:val="nil"/>
              <w:bottom w:val="single" w:sz="4" w:space="0" w:color="auto"/>
              <w:right w:val="single" w:sz="4" w:space="0" w:color="auto"/>
            </w:tcBorders>
            <w:shd w:val="clear" w:color="auto" w:fill="auto"/>
            <w:noWrap/>
            <w:vAlign w:val="center"/>
            <w:hideMark/>
          </w:tcPr>
          <w:p w14:paraId="742A46D1"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2022/2022</w:t>
            </w:r>
          </w:p>
        </w:tc>
      </w:tr>
      <w:tr w:rsidR="00272907" w:rsidRPr="00522104" w14:paraId="159B79A5" w14:textId="77777777" w:rsidTr="00467069">
        <w:trPr>
          <w:trHeight w:val="300"/>
          <w:tblHeader/>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333A3F1"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5F2519A2" w14:textId="77777777" w:rsidR="00272907" w:rsidRPr="00522104" w:rsidRDefault="00272907" w:rsidP="00E40BEE">
            <w:pPr>
              <w:spacing w:after="0" w:line="240" w:lineRule="auto"/>
              <w:ind w:left="-108" w:right="-108"/>
              <w:rPr>
                <w:rFonts w:ascii="Times New Roman" w:eastAsia="Times New Roman" w:hAnsi="Times New Roman" w:cs="Times New Roman"/>
                <w:color w:val="000000"/>
                <w:sz w:val="18"/>
                <w:szCs w:val="18"/>
                <w:lang w:eastAsia="ru-RU"/>
              </w:rPr>
            </w:pPr>
          </w:p>
        </w:tc>
        <w:tc>
          <w:tcPr>
            <w:tcW w:w="851" w:type="dxa"/>
            <w:vMerge/>
            <w:tcBorders>
              <w:left w:val="nil"/>
              <w:bottom w:val="single" w:sz="4" w:space="0" w:color="auto"/>
              <w:right w:val="single" w:sz="4" w:space="0" w:color="auto"/>
            </w:tcBorders>
            <w:shd w:val="clear" w:color="auto" w:fill="auto"/>
            <w:vAlign w:val="center"/>
            <w:hideMark/>
          </w:tcPr>
          <w:p w14:paraId="2D5547D3" w14:textId="6A97B023"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3BB139AD" w14:textId="77777777"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2021</w:t>
            </w:r>
          </w:p>
        </w:tc>
        <w:tc>
          <w:tcPr>
            <w:tcW w:w="851" w:type="dxa"/>
            <w:tcBorders>
              <w:top w:val="nil"/>
              <w:left w:val="nil"/>
              <w:bottom w:val="single" w:sz="4" w:space="0" w:color="auto"/>
              <w:right w:val="single" w:sz="4" w:space="0" w:color="auto"/>
            </w:tcBorders>
            <w:shd w:val="clear" w:color="auto" w:fill="auto"/>
            <w:noWrap/>
            <w:vAlign w:val="center"/>
            <w:hideMark/>
          </w:tcPr>
          <w:p w14:paraId="18FE7B64" w14:textId="77777777" w:rsidR="00272907" w:rsidRPr="00522104" w:rsidRDefault="0027290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2022</w:t>
            </w:r>
          </w:p>
        </w:tc>
        <w:tc>
          <w:tcPr>
            <w:tcW w:w="850" w:type="dxa"/>
            <w:vMerge/>
            <w:tcBorders>
              <w:top w:val="nil"/>
              <w:left w:val="single" w:sz="4" w:space="0" w:color="auto"/>
              <w:bottom w:val="single" w:sz="4" w:space="0" w:color="auto"/>
              <w:right w:val="single" w:sz="4" w:space="0" w:color="auto"/>
            </w:tcBorders>
            <w:vAlign w:val="center"/>
            <w:hideMark/>
          </w:tcPr>
          <w:p w14:paraId="75D06120" w14:textId="77777777" w:rsidR="00272907" w:rsidRPr="00522104" w:rsidRDefault="00272907" w:rsidP="00E40BEE">
            <w:pPr>
              <w:spacing w:after="0" w:line="240" w:lineRule="auto"/>
              <w:ind w:left="-108" w:right="-108"/>
              <w:rPr>
                <w:rFonts w:ascii="Times New Roman" w:eastAsia="Times New Roman" w:hAnsi="Times New Roman" w:cs="Times New Roman"/>
                <w:color w:val="000000"/>
                <w:sz w:val="18"/>
                <w:szCs w:val="18"/>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562AF27F"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850" w:type="dxa"/>
            <w:vMerge/>
            <w:tcBorders>
              <w:top w:val="nil"/>
              <w:left w:val="single" w:sz="4" w:space="0" w:color="auto"/>
              <w:bottom w:val="single" w:sz="4" w:space="0" w:color="auto"/>
              <w:right w:val="single" w:sz="4" w:space="0" w:color="auto"/>
            </w:tcBorders>
            <w:vAlign w:val="center"/>
            <w:hideMark/>
          </w:tcPr>
          <w:p w14:paraId="48A5E54D" w14:textId="77777777" w:rsidR="00272907" w:rsidRPr="00522104" w:rsidRDefault="00272907" w:rsidP="00E40BEE">
            <w:pPr>
              <w:spacing w:after="0" w:line="240" w:lineRule="auto"/>
              <w:rPr>
                <w:rFonts w:ascii="Times New Roman" w:eastAsia="Times New Roman" w:hAnsi="Times New Roman" w:cs="Times New Roman"/>
                <w:color w:val="000000"/>
                <w:sz w:val="18"/>
                <w:szCs w:val="18"/>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14:paraId="1F5A9BC8"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сумма</w:t>
            </w:r>
          </w:p>
        </w:tc>
        <w:tc>
          <w:tcPr>
            <w:tcW w:w="850" w:type="dxa"/>
            <w:tcBorders>
              <w:top w:val="nil"/>
              <w:left w:val="nil"/>
              <w:bottom w:val="single" w:sz="4" w:space="0" w:color="auto"/>
              <w:right w:val="single" w:sz="4" w:space="0" w:color="auto"/>
            </w:tcBorders>
            <w:shd w:val="clear" w:color="auto" w:fill="auto"/>
            <w:noWrap/>
            <w:vAlign w:val="center"/>
            <w:hideMark/>
          </w:tcPr>
          <w:p w14:paraId="72171534"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w:t>
            </w:r>
          </w:p>
        </w:tc>
        <w:tc>
          <w:tcPr>
            <w:tcW w:w="709" w:type="dxa"/>
            <w:tcBorders>
              <w:top w:val="nil"/>
              <w:left w:val="nil"/>
              <w:bottom w:val="single" w:sz="4" w:space="0" w:color="auto"/>
              <w:right w:val="single" w:sz="4" w:space="0" w:color="auto"/>
            </w:tcBorders>
            <w:shd w:val="clear" w:color="auto" w:fill="auto"/>
            <w:noWrap/>
            <w:vAlign w:val="center"/>
            <w:hideMark/>
          </w:tcPr>
          <w:p w14:paraId="7A956C04"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сумма</w:t>
            </w:r>
          </w:p>
        </w:tc>
        <w:tc>
          <w:tcPr>
            <w:tcW w:w="713" w:type="dxa"/>
            <w:tcBorders>
              <w:top w:val="nil"/>
              <w:left w:val="nil"/>
              <w:bottom w:val="single" w:sz="4" w:space="0" w:color="auto"/>
              <w:right w:val="single" w:sz="4" w:space="0" w:color="auto"/>
            </w:tcBorders>
            <w:shd w:val="clear" w:color="auto" w:fill="auto"/>
            <w:noWrap/>
            <w:vAlign w:val="center"/>
            <w:hideMark/>
          </w:tcPr>
          <w:p w14:paraId="515DC6AB" w14:textId="77777777" w:rsidR="00272907" w:rsidRPr="00522104" w:rsidRDefault="00272907" w:rsidP="00E40BEE">
            <w:pPr>
              <w:spacing w:after="0" w:line="240" w:lineRule="auto"/>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w:t>
            </w:r>
          </w:p>
        </w:tc>
      </w:tr>
      <w:tr w:rsidR="00827437" w:rsidRPr="00522104" w14:paraId="7F4178F6" w14:textId="77777777" w:rsidTr="00467069">
        <w:trPr>
          <w:trHeight w:val="170"/>
          <w:tblHeader/>
        </w:trPr>
        <w:tc>
          <w:tcPr>
            <w:tcW w:w="2127" w:type="dxa"/>
            <w:tcBorders>
              <w:top w:val="nil"/>
              <w:left w:val="single" w:sz="4" w:space="0" w:color="auto"/>
              <w:bottom w:val="single" w:sz="4" w:space="0" w:color="auto"/>
              <w:right w:val="single" w:sz="4" w:space="0" w:color="auto"/>
            </w:tcBorders>
            <w:shd w:val="clear" w:color="DDEBF7" w:fill="FFFFFF"/>
            <w:vAlign w:val="center"/>
            <w:hideMark/>
          </w:tcPr>
          <w:p w14:paraId="08967B86"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1</w:t>
            </w:r>
          </w:p>
        </w:tc>
        <w:tc>
          <w:tcPr>
            <w:tcW w:w="425" w:type="dxa"/>
            <w:tcBorders>
              <w:top w:val="nil"/>
              <w:left w:val="nil"/>
              <w:bottom w:val="single" w:sz="4" w:space="0" w:color="auto"/>
              <w:right w:val="single" w:sz="4" w:space="0" w:color="auto"/>
            </w:tcBorders>
            <w:shd w:val="clear" w:color="DDEBF7" w:fill="FFFFFF"/>
            <w:noWrap/>
            <w:vAlign w:val="center"/>
            <w:hideMark/>
          </w:tcPr>
          <w:p w14:paraId="100D6939" w14:textId="77777777" w:rsidR="00827437" w:rsidRPr="00467069" w:rsidRDefault="00827437" w:rsidP="00E40BEE">
            <w:pPr>
              <w:spacing w:after="0" w:line="240" w:lineRule="auto"/>
              <w:ind w:left="-108" w:right="-108"/>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2</w:t>
            </w:r>
          </w:p>
        </w:tc>
        <w:tc>
          <w:tcPr>
            <w:tcW w:w="851" w:type="dxa"/>
            <w:tcBorders>
              <w:top w:val="nil"/>
              <w:left w:val="nil"/>
              <w:bottom w:val="single" w:sz="4" w:space="0" w:color="auto"/>
              <w:right w:val="single" w:sz="4" w:space="0" w:color="auto"/>
            </w:tcBorders>
            <w:shd w:val="clear" w:color="auto" w:fill="auto"/>
            <w:vAlign w:val="center"/>
            <w:hideMark/>
          </w:tcPr>
          <w:p w14:paraId="6D8A6341"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3</w:t>
            </w:r>
          </w:p>
        </w:tc>
        <w:tc>
          <w:tcPr>
            <w:tcW w:w="850" w:type="dxa"/>
            <w:tcBorders>
              <w:top w:val="nil"/>
              <w:left w:val="nil"/>
              <w:bottom w:val="single" w:sz="4" w:space="0" w:color="auto"/>
              <w:right w:val="single" w:sz="4" w:space="0" w:color="auto"/>
            </w:tcBorders>
            <w:shd w:val="clear" w:color="auto" w:fill="auto"/>
            <w:vAlign w:val="center"/>
            <w:hideMark/>
          </w:tcPr>
          <w:p w14:paraId="710EB39D"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4</w:t>
            </w:r>
          </w:p>
        </w:tc>
        <w:tc>
          <w:tcPr>
            <w:tcW w:w="851" w:type="dxa"/>
            <w:tcBorders>
              <w:top w:val="nil"/>
              <w:left w:val="nil"/>
              <w:bottom w:val="single" w:sz="4" w:space="0" w:color="auto"/>
              <w:right w:val="single" w:sz="4" w:space="0" w:color="auto"/>
            </w:tcBorders>
            <w:shd w:val="clear" w:color="auto" w:fill="auto"/>
            <w:vAlign w:val="center"/>
            <w:hideMark/>
          </w:tcPr>
          <w:p w14:paraId="5C0D89BE"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5</w:t>
            </w:r>
          </w:p>
        </w:tc>
        <w:tc>
          <w:tcPr>
            <w:tcW w:w="850" w:type="dxa"/>
            <w:tcBorders>
              <w:top w:val="nil"/>
              <w:left w:val="nil"/>
              <w:bottom w:val="single" w:sz="4" w:space="0" w:color="auto"/>
              <w:right w:val="single" w:sz="4" w:space="0" w:color="auto"/>
            </w:tcBorders>
            <w:shd w:val="clear" w:color="auto" w:fill="auto"/>
            <w:vAlign w:val="center"/>
            <w:hideMark/>
          </w:tcPr>
          <w:p w14:paraId="0E6A13AB"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6</w:t>
            </w:r>
          </w:p>
        </w:tc>
        <w:tc>
          <w:tcPr>
            <w:tcW w:w="851" w:type="dxa"/>
            <w:tcBorders>
              <w:top w:val="nil"/>
              <w:left w:val="nil"/>
              <w:bottom w:val="single" w:sz="4" w:space="0" w:color="auto"/>
              <w:right w:val="single" w:sz="4" w:space="0" w:color="auto"/>
            </w:tcBorders>
            <w:shd w:val="clear" w:color="auto" w:fill="auto"/>
            <w:vAlign w:val="center"/>
            <w:hideMark/>
          </w:tcPr>
          <w:p w14:paraId="16815234"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7</w:t>
            </w:r>
          </w:p>
        </w:tc>
        <w:tc>
          <w:tcPr>
            <w:tcW w:w="850" w:type="dxa"/>
            <w:tcBorders>
              <w:top w:val="nil"/>
              <w:left w:val="nil"/>
              <w:bottom w:val="single" w:sz="4" w:space="0" w:color="auto"/>
              <w:right w:val="single" w:sz="4" w:space="0" w:color="auto"/>
            </w:tcBorders>
            <w:shd w:val="clear" w:color="auto" w:fill="auto"/>
            <w:vAlign w:val="center"/>
            <w:hideMark/>
          </w:tcPr>
          <w:p w14:paraId="7A3B4883"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8</w:t>
            </w:r>
          </w:p>
        </w:tc>
        <w:tc>
          <w:tcPr>
            <w:tcW w:w="851" w:type="dxa"/>
            <w:tcBorders>
              <w:top w:val="nil"/>
              <w:left w:val="nil"/>
              <w:bottom w:val="single" w:sz="4" w:space="0" w:color="auto"/>
              <w:right w:val="single" w:sz="4" w:space="0" w:color="auto"/>
            </w:tcBorders>
            <w:shd w:val="clear" w:color="auto" w:fill="auto"/>
            <w:vAlign w:val="center"/>
            <w:hideMark/>
          </w:tcPr>
          <w:p w14:paraId="4F59CF90"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9=6-4</w:t>
            </w:r>
          </w:p>
        </w:tc>
        <w:tc>
          <w:tcPr>
            <w:tcW w:w="850" w:type="dxa"/>
            <w:tcBorders>
              <w:top w:val="nil"/>
              <w:left w:val="nil"/>
              <w:bottom w:val="single" w:sz="4" w:space="0" w:color="auto"/>
              <w:right w:val="single" w:sz="4" w:space="0" w:color="auto"/>
            </w:tcBorders>
            <w:shd w:val="clear" w:color="auto" w:fill="auto"/>
            <w:vAlign w:val="center"/>
            <w:hideMark/>
          </w:tcPr>
          <w:p w14:paraId="1DF1B5D8" w14:textId="5D7D0BEF" w:rsidR="00827437" w:rsidRPr="00467069" w:rsidRDefault="00827437" w:rsidP="000B3CF8">
            <w:pPr>
              <w:spacing w:after="0" w:line="240" w:lineRule="auto"/>
              <w:ind w:left="-109" w:right="-108"/>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10=6/4*100</w:t>
            </w:r>
          </w:p>
        </w:tc>
        <w:tc>
          <w:tcPr>
            <w:tcW w:w="709" w:type="dxa"/>
            <w:tcBorders>
              <w:top w:val="nil"/>
              <w:left w:val="nil"/>
              <w:bottom w:val="single" w:sz="4" w:space="0" w:color="auto"/>
              <w:right w:val="single" w:sz="4" w:space="0" w:color="auto"/>
            </w:tcBorders>
            <w:shd w:val="clear" w:color="auto" w:fill="auto"/>
            <w:vAlign w:val="center"/>
            <w:hideMark/>
          </w:tcPr>
          <w:p w14:paraId="5CD9E42D"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11=6-5</w:t>
            </w:r>
          </w:p>
        </w:tc>
        <w:tc>
          <w:tcPr>
            <w:tcW w:w="713" w:type="dxa"/>
            <w:tcBorders>
              <w:top w:val="nil"/>
              <w:left w:val="nil"/>
              <w:bottom w:val="single" w:sz="4" w:space="0" w:color="auto"/>
              <w:right w:val="single" w:sz="4" w:space="0" w:color="auto"/>
            </w:tcBorders>
            <w:shd w:val="clear" w:color="auto" w:fill="auto"/>
            <w:vAlign w:val="center"/>
            <w:hideMark/>
          </w:tcPr>
          <w:p w14:paraId="2E1381D8"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12=</w:t>
            </w:r>
          </w:p>
          <w:p w14:paraId="3D68F9BC" w14:textId="77777777" w:rsidR="00827437" w:rsidRPr="00467069" w:rsidRDefault="00827437" w:rsidP="00E40BEE">
            <w:pPr>
              <w:spacing w:after="0" w:line="240" w:lineRule="auto"/>
              <w:jc w:val="center"/>
              <w:rPr>
                <w:rFonts w:ascii="Times New Roman" w:eastAsia="Times New Roman" w:hAnsi="Times New Roman" w:cs="Times New Roman"/>
                <w:color w:val="000000"/>
                <w:sz w:val="15"/>
                <w:szCs w:val="15"/>
                <w:lang w:eastAsia="ru-RU"/>
              </w:rPr>
            </w:pPr>
            <w:r w:rsidRPr="00467069">
              <w:rPr>
                <w:rFonts w:ascii="Times New Roman" w:eastAsia="Times New Roman" w:hAnsi="Times New Roman" w:cs="Times New Roman"/>
                <w:color w:val="000000"/>
                <w:sz w:val="15"/>
                <w:szCs w:val="15"/>
                <w:lang w:eastAsia="ru-RU"/>
              </w:rPr>
              <w:t>6/5*100</w:t>
            </w:r>
          </w:p>
        </w:tc>
      </w:tr>
      <w:tr w:rsidR="00827437" w:rsidRPr="00522104" w14:paraId="35C94B52" w14:textId="77777777" w:rsidTr="00467069">
        <w:trPr>
          <w:trHeight w:val="765"/>
        </w:trPr>
        <w:tc>
          <w:tcPr>
            <w:tcW w:w="2127" w:type="dxa"/>
            <w:tcBorders>
              <w:top w:val="nil"/>
              <w:left w:val="single" w:sz="4" w:space="0" w:color="auto"/>
              <w:bottom w:val="single" w:sz="4" w:space="0" w:color="auto"/>
              <w:right w:val="single" w:sz="4" w:space="0" w:color="auto"/>
            </w:tcBorders>
            <w:shd w:val="clear" w:color="DDEBF7" w:fill="FFFFFF"/>
            <w:hideMark/>
          </w:tcPr>
          <w:p w14:paraId="0DCA6324" w14:textId="77777777" w:rsidR="00827437" w:rsidRPr="00522104" w:rsidRDefault="00827437" w:rsidP="00E40BEE">
            <w:pPr>
              <w:spacing w:after="0" w:line="240" w:lineRule="auto"/>
              <w:ind w:left="-108" w:right="-108"/>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Непрограммные направления деятельности органов государственной власти</w:t>
            </w:r>
          </w:p>
        </w:tc>
        <w:tc>
          <w:tcPr>
            <w:tcW w:w="425" w:type="dxa"/>
            <w:tcBorders>
              <w:top w:val="nil"/>
              <w:left w:val="nil"/>
              <w:bottom w:val="single" w:sz="4" w:space="0" w:color="auto"/>
              <w:right w:val="single" w:sz="4" w:space="0" w:color="auto"/>
            </w:tcBorders>
            <w:shd w:val="clear" w:color="DDEBF7" w:fill="FFFFFF"/>
            <w:noWrap/>
            <w:vAlign w:val="bottom"/>
            <w:hideMark/>
          </w:tcPr>
          <w:p w14:paraId="284A139A"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c>
          <w:tcPr>
            <w:tcW w:w="851" w:type="dxa"/>
            <w:tcBorders>
              <w:top w:val="nil"/>
              <w:left w:val="nil"/>
              <w:bottom w:val="single" w:sz="4" w:space="0" w:color="auto"/>
              <w:right w:val="single" w:sz="4" w:space="0" w:color="auto"/>
            </w:tcBorders>
            <w:shd w:val="clear" w:color="auto" w:fill="auto"/>
            <w:noWrap/>
            <w:vAlign w:val="bottom"/>
            <w:hideMark/>
          </w:tcPr>
          <w:p w14:paraId="3CDEC546" w14:textId="77777777" w:rsidR="00827437" w:rsidRPr="00522104" w:rsidRDefault="00827437" w:rsidP="00E40BEE">
            <w:pPr>
              <w:spacing w:after="0" w:line="240" w:lineRule="auto"/>
              <w:ind w:left="-108"/>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4 635,67</w:t>
            </w:r>
          </w:p>
        </w:tc>
        <w:tc>
          <w:tcPr>
            <w:tcW w:w="850" w:type="dxa"/>
            <w:tcBorders>
              <w:top w:val="nil"/>
              <w:left w:val="nil"/>
              <w:bottom w:val="single" w:sz="4" w:space="0" w:color="auto"/>
              <w:right w:val="single" w:sz="4" w:space="0" w:color="auto"/>
            </w:tcBorders>
            <w:shd w:val="clear" w:color="auto" w:fill="auto"/>
            <w:noWrap/>
            <w:vAlign w:val="bottom"/>
            <w:hideMark/>
          </w:tcPr>
          <w:p w14:paraId="4942EF76"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4 329,58</w:t>
            </w:r>
          </w:p>
        </w:tc>
        <w:tc>
          <w:tcPr>
            <w:tcW w:w="851" w:type="dxa"/>
            <w:tcBorders>
              <w:top w:val="nil"/>
              <w:left w:val="nil"/>
              <w:bottom w:val="single" w:sz="4" w:space="0" w:color="auto"/>
              <w:right w:val="single" w:sz="4" w:space="0" w:color="auto"/>
            </w:tcBorders>
            <w:shd w:val="clear" w:color="auto" w:fill="auto"/>
            <w:noWrap/>
            <w:vAlign w:val="bottom"/>
            <w:hideMark/>
          </w:tcPr>
          <w:p w14:paraId="27E96453"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3 371,96</w:t>
            </w:r>
          </w:p>
        </w:tc>
        <w:tc>
          <w:tcPr>
            <w:tcW w:w="850" w:type="dxa"/>
            <w:tcBorders>
              <w:top w:val="nil"/>
              <w:left w:val="nil"/>
              <w:bottom w:val="single" w:sz="4" w:space="0" w:color="auto"/>
              <w:right w:val="single" w:sz="4" w:space="0" w:color="auto"/>
            </w:tcBorders>
            <w:shd w:val="clear" w:color="auto" w:fill="auto"/>
            <w:noWrap/>
            <w:vAlign w:val="bottom"/>
            <w:hideMark/>
          </w:tcPr>
          <w:p w14:paraId="3FBA918E" w14:textId="77777777" w:rsidR="00827437" w:rsidRPr="00522104" w:rsidRDefault="00827437" w:rsidP="00E40BEE">
            <w:pPr>
              <w:spacing w:after="0" w:line="240" w:lineRule="auto"/>
              <w:ind w:left="-249"/>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3 380,58</w:t>
            </w:r>
          </w:p>
        </w:tc>
        <w:tc>
          <w:tcPr>
            <w:tcW w:w="851" w:type="dxa"/>
            <w:tcBorders>
              <w:top w:val="nil"/>
              <w:left w:val="nil"/>
              <w:bottom w:val="single" w:sz="4" w:space="0" w:color="auto"/>
              <w:right w:val="single" w:sz="4" w:space="0" w:color="auto"/>
            </w:tcBorders>
            <w:shd w:val="clear" w:color="auto" w:fill="auto"/>
            <w:noWrap/>
            <w:vAlign w:val="bottom"/>
            <w:hideMark/>
          </w:tcPr>
          <w:p w14:paraId="736EC069" w14:textId="77777777" w:rsidR="00827437" w:rsidRPr="00522104" w:rsidRDefault="00827437" w:rsidP="00E40BEE">
            <w:pPr>
              <w:spacing w:after="0" w:line="240" w:lineRule="auto"/>
              <w:ind w:left="-250"/>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3 747,27</w:t>
            </w:r>
          </w:p>
        </w:tc>
        <w:tc>
          <w:tcPr>
            <w:tcW w:w="850" w:type="dxa"/>
            <w:tcBorders>
              <w:top w:val="nil"/>
              <w:left w:val="nil"/>
              <w:bottom w:val="single" w:sz="4" w:space="0" w:color="auto"/>
              <w:right w:val="single" w:sz="4" w:space="0" w:color="auto"/>
            </w:tcBorders>
            <w:shd w:val="clear" w:color="auto" w:fill="auto"/>
            <w:noWrap/>
            <w:vAlign w:val="bottom"/>
            <w:hideMark/>
          </w:tcPr>
          <w:p w14:paraId="7AD87573"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3 874,46</w:t>
            </w:r>
          </w:p>
        </w:tc>
        <w:tc>
          <w:tcPr>
            <w:tcW w:w="851" w:type="dxa"/>
            <w:tcBorders>
              <w:top w:val="nil"/>
              <w:left w:val="nil"/>
              <w:bottom w:val="single" w:sz="4" w:space="0" w:color="auto"/>
              <w:right w:val="single" w:sz="4" w:space="0" w:color="auto"/>
            </w:tcBorders>
            <w:shd w:val="clear" w:color="auto" w:fill="auto"/>
            <w:noWrap/>
            <w:vAlign w:val="bottom"/>
            <w:hideMark/>
          </w:tcPr>
          <w:p w14:paraId="5D1EBFFA"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-948,99</w:t>
            </w:r>
          </w:p>
        </w:tc>
        <w:tc>
          <w:tcPr>
            <w:tcW w:w="850" w:type="dxa"/>
            <w:tcBorders>
              <w:top w:val="nil"/>
              <w:left w:val="nil"/>
              <w:bottom w:val="single" w:sz="4" w:space="0" w:color="auto"/>
              <w:right w:val="single" w:sz="4" w:space="0" w:color="auto"/>
            </w:tcBorders>
            <w:shd w:val="clear" w:color="auto" w:fill="auto"/>
            <w:noWrap/>
            <w:vAlign w:val="bottom"/>
            <w:hideMark/>
          </w:tcPr>
          <w:p w14:paraId="7FB7B5C1"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78,08</w:t>
            </w:r>
          </w:p>
        </w:tc>
        <w:tc>
          <w:tcPr>
            <w:tcW w:w="709" w:type="dxa"/>
            <w:tcBorders>
              <w:top w:val="nil"/>
              <w:left w:val="nil"/>
              <w:bottom w:val="single" w:sz="4" w:space="0" w:color="auto"/>
              <w:right w:val="single" w:sz="4" w:space="0" w:color="auto"/>
            </w:tcBorders>
            <w:shd w:val="clear" w:color="auto" w:fill="auto"/>
            <w:noWrap/>
            <w:vAlign w:val="bottom"/>
            <w:hideMark/>
          </w:tcPr>
          <w:p w14:paraId="45C4A872"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8,62</w:t>
            </w:r>
          </w:p>
        </w:tc>
        <w:tc>
          <w:tcPr>
            <w:tcW w:w="713" w:type="dxa"/>
            <w:tcBorders>
              <w:top w:val="nil"/>
              <w:left w:val="nil"/>
              <w:bottom w:val="single" w:sz="4" w:space="0" w:color="auto"/>
              <w:right w:val="single" w:sz="4" w:space="0" w:color="auto"/>
            </w:tcBorders>
            <w:shd w:val="clear" w:color="auto" w:fill="auto"/>
            <w:noWrap/>
            <w:vAlign w:val="bottom"/>
            <w:hideMark/>
          </w:tcPr>
          <w:p w14:paraId="247EF6A8" w14:textId="77777777" w:rsidR="00827437" w:rsidRPr="00522104" w:rsidRDefault="00827437" w:rsidP="00E40BEE">
            <w:pPr>
              <w:spacing w:after="0" w:line="240" w:lineRule="auto"/>
              <w:jc w:val="right"/>
              <w:rPr>
                <w:rFonts w:ascii="Times New Roman" w:eastAsia="Times New Roman" w:hAnsi="Times New Roman" w:cs="Times New Roman"/>
                <w:b/>
                <w:bCs/>
                <w:sz w:val="18"/>
                <w:szCs w:val="18"/>
                <w:lang w:eastAsia="ru-RU"/>
              </w:rPr>
            </w:pPr>
            <w:r w:rsidRPr="00522104">
              <w:rPr>
                <w:rFonts w:ascii="Times New Roman" w:eastAsia="Times New Roman" w:hAnsi="Times New Roman" w:cs="Times New Roman"/>
                <w:b/>
                <w:bCs/>
                <w:sz w:val="18"/>
                <w:szCs w:val="18"/>
                <w:lang w:eastAsia="ru-RU"/>
              </w:rPr>
              <w:t>100,26</w:t>
            </w:r>
          </w:p>
        </w:tc>
      </w:tr>
      <w:tr w:rsidR="00827437" w:rsidRPr="00522104" w14:paraId="7494DC6C" w14:textId="77777777" w:rsidTr="00467069">
        <w:trPr>
          <w:trHeight w:val="30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065B5CCA"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Правительство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7A03563F"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751</w:t>
            </w:r>
          </w:p>
        </w:tc>
        <w:tc>
          <w:tcPr>
            <w:tcW w:w="851" w:type="dxa"/>
            <w:tcBorders>
              <w:top w:val="nil"/>
              <w:left w:val="nil"/>
              <w:bottom w:val="single" w:sz="4" w:space="0" w:color="auto"/>
              <w:right w:val="single" w:sz="4" w:space="0" w:color="auto"/>
            </w:tcBorders>
            <w:shd w:val="clear" w:color="auto" w:fill="auto"/>
            <w:noWrap/>
            <w:vAlign w:val="bottom"/>
            <w:hideMark/>
          </w:tcPr>
          <w:p w14:paraId="6D1096C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713,59</w:t>
            </w:r>
          </w:p>
        </w:tc>
        <w:tc>
          <w:tcPr>
            <w:tcW w:w="850" w:type="dxa"/>
            <w:tcBorders>
              <w:top w:val="nil"/>
              <w:left w:val="nil"/>
              <w:bottom w:val="single" w:sz="4" w:space="0" w:color="auto"/>
              <w:right w:val="single" w:sz="4" w:space="0" w:color="auto"/>
            </w:tcBorders>
            <w:shd w:val="clear" w:color="auto" w:fill="auto"/>
            <w:noWrap/>
            <w:vAlign w:val="bottom"/>
            <w:hideMark/>
          </w:tcPr>
          <w:p w14:paraId="3076810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761,02</w:t>
            </w:r>
          </w:p>
        </w:tc>
        <w:tc>
          <w:tcPr>
            <w:tcW w:w="851" w:type="dxa"/>
            <w:tcBorders>
              <w:top w:val="nil"/>
              <w:left w:val="nil"/>
              <w:bottom w:val="single" w:sz="4" w:space="0" w:color="auto"/>
              <w:right w:val="single" w:sz="4" w:space="0" w:color="auto"/>
            </w:tcBorders>
            <w:shd w:val="clear" w:color="auto" w:fill="auto"/>
            <w:noWrap/>
            <w:vAlign w:val="bottom"/>
            <w:hideMark/>
          </w:tcPr>
          <w:p w14:paraId="4D3FDC4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718,58</w:t>
            </w:r>
          </w:p>
        </w:tc>
        <w:tc>
          <w:tcPr>
            <w:tcW w:w="850" w:type="dxa"/>
            <w:tcBorders>
              <w:top w:val="nil"/>
              <w:left w:val="nil"/>
              <w:bottom w:val="single" w:sz="4" w:space="0" w:color="auto"/>
              <w:right w:val="single" w:sz="4" w:space="0" w:color="auto"/>
            </w:tcBorders>
            <w:shd w:val="clear" w:color="auto" w:fill="auto"/>
            <w:noWrap/>
            <w:vAlign w:val="bottom"/>
            <w:hideMark/>
          </w:tcPr>
          <w:p w14:paraId="25F3671E"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738,84</w:t>
            </w:r>
          </w:p>
        </w:tc>
        <w:tc>
          <w:tcPr>
            <w:tcW w:w="851" w:type="dxa"/>
            <w:tcBorders>
              <w:top w:val="nil"/>
              <w:left w:val="nil"/>
              <w:bottom w:val="single" w:sz="4" w:space="0" w:color="auto"/>
              <w:right w:val="single" w:sz="4" w:space="0" w:color="auto"/>
            </w:tcBorders>
            <w:shd w:val="clear" w:color="auto" w:fill="auto"/>
            <w:noWrap/>
            <w:vAlign w:val="bottom"/>
            <w:hideMark/>
          </w:tcPr>
          <w:p w14:paraId="05C7A805"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756,79</w:t>
            </w:r>
          </w:p>
        </w:tc>
        <w:tc>
          <w:tcPr>
            <w:tcW w:w="850" w:type="dxa"/>
            <w:tcBorders>
              <w:top w:val="nil"/>
              <w:left w:val="nil"/>
              <w:bottom w:val="single" w:sz="4" w:space="0" w:color="auto"/>
              <w:right w:val="single" w:sz="4" w:space="0" w:color="auto"/>
            </w:tcBorders>
            <w:shd w:val="clear" w:color="auto" w:fill="auto"/>
            <w:noWrap/>
            <w:vAlign w:val="bottom"/>
            <w:hideMark/>
          </w:tcPr>
          <w:p w14:paraId="57856B2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778,58</w:t>
            </w:r>
          </w:p>
        </w:tc>
        <w:tc>
          <w:tcPr>
            <w:tcW w:w="851" w:type="dxa"/>
            <w:tcBorders>
              <w:top w:val="nil"/>
              <w:left w:val="nil"/>
              <w:bottom w:val="single" w:sz="4" w:space="0" w:color="auto"/>
              <w:right w:val="single" w:sz="4" w:space="0" w:color="auto"/>
            </w:tcBorders>
            <w:shd w:val="clear" w:color="auto" w:fill="auto"/>
            <w:noWrap/>
            <w:vAlign w:val="bottom"/>
            <w:hideMark/>
          </w:tcPr>
          <w:p w14:paraId="346DB9B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-22,17</w:t>
            </w:r>
          </w:p>
        </w:tc>
        <w:tc>
          <w:tcPr>
            <w:tcW w:w="850" w:type="dxa"/>
            <w:tcBorders>
              <w:top w:val="nil"/>
              <w:left w:val="nil"/>
              <w:bottom w:val="single" w:sz="4" w:space="0" w:color="auto"/>
              <w:right w:val="single" w:sz="4" w:space="0" w:color="auto"/>
            </w:tcBorders>
            <w:shd w:val="clear" w:color="auto" w:fill="auto"/>
            <w:noWrap/>
            <w:vAlign w:val="bottom"/>
            <w:hideMark/>
          </w:tcPr>
          <w:p w14:paraId="707ACB4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97,09</w:t>
            </w:r>
          </w:p>
        </w:tc>
        <w:tc>
          <w:tcPr>
            <w:tcW w:w="709" w:type="dxa"/>
            <w:tcBorders>
              <w:top w:val="nil"/>
              <w:left w:val="nil"/>
              <w:bottom w:val="single" w:sz="4" w:space="0" w:color="auto"/>
              <w:right w:val="single" w:sz="4" w:space="0" w:color="auto"/>
            </w:tcBorders>
            <w:shd w:val="clear" w:color="auto" w:fill="auto"/>
            <w:noWrap/>
            <w:vAlign w:val="bottom"/>
            <w:hideMark/>
          </w:tcPr>
          <w:p w14:paraId="31D4E07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20,26</w:t>
            </w:r>
          </w:p>
        </w:tc>
        <w:tc>
          <w:tcPr>
            <w:tcW w:w="713" w:type="dxa"/>
            <w:tcBorders>
              <w:top w:val="nil"/>
              <w:left w:val="nil"/>
              <w:bottom w:val="single" w:sz="4" w:space="0" w:color="auto"/>
              <w:right w:val="single" w:sz="4" w:space="0" w:color="auto"/>
            </w:tcBorders>
            <w:shd w:val="clear" w:color="auto" w:fill="auto"/>
            <w:noWrap/>
            <w:vAlign w:val="bottom"/>
            <w:hideMark/>
          </w:tcPr>
          <w:p w14:paraId="4EB443A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102,82</w:t>
            </w:r>
          </w:p>
        </w:tc>
      </w:tr>
      <w:tr w:rsidR="00827437" w:rsidRPr="00522104" w14:paraId="6A9B81C7" w14:textId="77777777" w:rsidTr="00467069">
        <w:trPr>
          <w:trHeight w:val="301"/>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0DD90B41"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финансов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5A91855E"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752</w:t>
            </w:r>
          </w:p>
        </w:tc>
        <w:tc>
          <w:tcPr>
            <w:tcW w:w="851" w:type="dxa"/>
            <w:tcBorders>
              <w:top w:val="nil"/>
              <w:left w:val="nil"/>
              <w:bottom w:val="single" w:sz="4" w:space="0" w:color="auto"/>
              <w:right w:val="single" w:sz="4" w:space="0" w:color="auto"/>
            </w:tcBorders>
            <w:shd w:val="clear" w:color="auto" w:fill="auto"/>
            <w:noWrap/>
            <w:vAlign w:val="bottom"/>
            <w:hideMark/>
          </w:tcPr>
          <w:p w14:paraId="1BB64F4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1 890,27</w:t>
            </w:r>
          </w:p>
        </w:tc>
        <w:tc>
          <w:tcPr>
            <w:tcW w:w="850" w:type="dxa"/>
            <w:tcBorders>
              <w:top w:val="nil"/>
              <w:left w:val="nil"/>
              <w:bottom w:val="single" w:sz="4" w:space="0" w:color="auto"/>
              <w:right w:val="single" w:sz="4" w:space="0" w:color="auto"/>
            </w:tcBorders>
            <w:shd w:val="clear" w:color="auto" w:fill="auto"/>
            <w:noWrap/>
            <w:vAlign w:val="bottom"/>
            <w:hideMark/>
          </w:tcPr>
          <w:p w14:paraId="3C0D02E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988,57</w:t>
            </w:r>
          </w:p>
        </w:tc>
        <w:tc>
          <w:tcPr>
            <w:tcW w:w="851" w:type="dxa"/>
            <w:tcBorders>
              <w:top w:val="nil"/>
              <w:left w:val="nil"/>
              <w:bottom w:val="single" w:sz="4" w:space="0" w:color="auto"/>
              <w:right w:val="single" w:sz="4" w:space="0" w:color="auto"/>
            </w:tcBorders>
            <w:shd w:val="clear" w:color="auto" w:fill="auto"/>
            <w:noWrap/>
            <w:vAlign w:val="bottom"/>
            <w:hideMark/>
          </w:tcPr>
          <w:p w14:paraId="5A345DA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999,52</w:t>
            </w:r>
          </w:p>
        </w:tc>
        <w:tc>
          <w:tcPr>
            <w:tcW w:w="850" w:type="dxa"/>
            <w:tcBorders>
              <w:top w:val="nil"/>
              <w:left w:val="nil"/>
              <w:bottom w:val="single" w:sz="4" w:space="0" w:color="auto"/>
              <w:right w:val="single" w:sz="4" w:space="0" w:color="auto"/>
            </w:tcBorders>
            <w:shd w:val="clear" w:color="auto" w:fill="auto"/>
            <w:noWrap/>
            <w:vAlign w:val="bottom"/>
            <w:hideMark/>
          </w:tcPr>
          <w:p w14:paraId="25F8FF46"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1 005,72</w:t>
            </w:r>
          </w:p>
        </w:tc>
        <w:tc>
          <w:tcPr>
            <w:tcW w:w="851" w:type="dxa"/>
            <w:tcBorders>
              <w:top w:val="nil"/>
              <w:left w:val="nil"/>
              <w:bottom w:val="single" w:sz="4" w:space="0" w:color="auto"/>
              <w:right w:val="single" w:sz="4" w:space="0" w:color="auto"/>
            </w:tcBorders>
            <w:shd w:val="clear" w:color="auto" w:fill="auto"/>
            <w:noWrap/>
            <w:vAlign w:val="bottom"/>
            <w:hideMark/>
          </w:tcPr>
          <w:p w14:paraId="5C65D7BA"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1 009,31</w:t>
            </w:r>
          </w:p>
        </w:tc>
        <w:tc>
          <w:tcPr>
            <w:tcW w:w="850" w:type="dxa"/>
            <w:tcBorders>
              <w:top w:val="nil"/>
              <w:left w:val="nil"/>
              <w:bottom w:val="single" w:sz="4" w:space="0" w:color="auto"/>
              <w:right w:val="single" w:sz="4" w:space="0" w:color="auto"/>
            </w:tcBorders>
            <w:shd w:val="clear" w:color="auto" w:fill="auto"/>
            <w:noWrap/>
            <w:vAlign w:val="bottom"/>
            <w:hideMark/>
          </w:tcPr>
          <w:p w14:paraId="4A11D65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1 451,47</w:t>
            </w:r>
          </w:p>
        </w:tc>
        <w:tc>
          <w:tcPr>
            <w:tcW w:w="851" w:type="dxa"/>
            <w:tcBorders>
              <w:top w:val="nil"/>
              <w:left w:val="nil"/>
              <w:bottom w:val="single" w:sz="4" w:space="0" w:color="auto"/>
              <w:right w:val="single" w:sz="4" w:space="0" w:color="auto"/>
            </w:tcBorders>
            <w:shd w:val="clear" w:color="auto" w:fill="auto"/>
            <w:noWrap/>
            <w:vAlign w:val="bottom"/>
            <w:hideMark/>
          </w:tcPr>
          <w:p w14:paraId="29594E7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17,15</w:t>
            </w:r>
          </w:p>
        </w:tc>
        <w:tc>
          <w:tcPr>
            <w:tcW w:w="850" w:type="dxa"/>
            <w:tcBorders>
              <w:top w:val="nil"/>
              <w:left w:val="nil"/>
              <w:bottom w:val="single" w:sz="4" w:space="0" w:color="auto"/>
              <w:right w:val="single" w:sz="4" w:space="0" w:color="auto"/>
            </w:tcBorders>
            <w:shd w:val="clear" w:color="auto" w:fill="auto"/>
            <w:noWrap/>
            <w:vAlign w:val="bottom"/>
            <w:hideMark/>
          </w:tcPr>
          <w:p w14:paraId="6223997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101,74</w:t>
            </w:r>
          </w:p>
        </w:tc>
        <w:tc>
          <w:tcPr>
            <w:tcW w:w="709" w:type="dxa"/>
            <w:tcBorders>
              <w:top w:val="nil"/>
              <w:left w:val="nil"/>
              <w:bottom w:val="single" w:sz="4" w:space="0" w:color="auto"/>
              <w:right w:val="single" w:sz="4" w:space="0" w:color="auto"/>
            </w:tcBorders>
            <w:shd w:val="clear" w:color="auto" w:fill="auto"/>
            <w:noWrap/>
            <w:vAlign w:val="bottom"/>
            <w:hideMark/>
          </w:tcPr>
          <w:p w14:paraId="0AC38EE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6,20</w:t>
            </w:r>
          </w:p>
        </w:tc>
        <w:tc>
          <w:tcPr>
            <w:tcW w:w="713" w:type="dxa"/>
            <w:tcBorders>
              <w:top w:val="nil"/>
              <w:left w:val="nil"/>
              <w:bottom w:val="single" w:sz="4" w:space="0" w:color="auto"/>
              <w:right w:val="single" w:sz="4" w:space="0" w:color="auto"/>
            </w:tcBorders>
            <w:shd w:val="clear" w:color="auto" w:fill="auto"/>
            <w:noWrap/>
            <w:vAlign w:val="bottom"/>
            <w:hideMark/>
          </w:tcPr>
          <w:p w14:paraId="0B4ED70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100,62</w:t>
            </w:r>
          </w:p>
        </w:tc>
      </w:tr>
      <w:tr w:rsidR="00827437" w:rsidRPr="00522104" w14:paraId="6A90922A" w14:textId="77777777" w:rsidTr="00467069">
        <w:trPr>
          <w:trHeight w:val="351"/>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6ACE9A83"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Законодательное Собрание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130A9106"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753</w:t>
            </w:r>
          </w:p>
        </w:tc>
        <w:tc>
          <w:tcPr>
            <w:tcW w:w="851" w:type="dxa"/>
            <w:tcBorders>
              <w:top w:val="nil"/>
              <w:left w:val="nil"/>
              <w:bottom w:val="single" w:sz="4" w:space="0" w:color="auto"/>
              <w:right w:val="single" w:sz="4" w:space="0" w:color="auto"/>
            </w:tcBorders>
            <w:shd w:val="clear" w:color="auto" w:fill="auto"/>
            <w:noWrap/>
            <w:vAlign w:val="bottom"/>
            <w:hideMark/>
          </w:tcPr>
          <w:p w14:paraId="176A495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634,69</w:t>
            </w:r>
          </w:p>
        </w:tc>
        <w:tc>
          <w:tcPr>
            <w:tcW w:w="850" w:type="dxa"/>
            <w:tcBorders>
              <w:top w:val="nil"/>
              <w:left w:val="nil"/>
              <w:bottom w:val="single" w:sz="4" w:space="0" w:color="auto"/>
              <w:right w:val="single" w:sz="4" w:space="0" w:color="auto"/>
            </w:tcBorders>
            <w:shd w:val="clear" w:color="auto" w:fill="auto"/>
            <w:noWrap/>
            <w:vAlign w:val="bottom"/>
            <w:hideMark/>
          </w:tcPr>
          <w:p w14:paraId="638CE80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619,54</w:t>
            </w:r>
          </w:p>
        </w:tc>
        <w:tc>
          <w:tcPr>
            <w:tcW w:w="851" w:type="dxa"/>
            <w:tcBorders>
              <w:top w:val="nil"/>
              <w:left w:val="nil"/>
              <w:bottom w:val="single" w:sz="4" w:space="0" w:color="auto"/>
              <w:right w:val="single" w:sz="4" w:space="0" w:color="auto"/>
            </w:tcBorders>
            <w:shd w:val="clear" w:color="auto" w:fill="auto"/>
            <w:noWrap/>
            <w:vAlign w:val="bottom"/>
            <w:hideMark/>
          </w:tcPr>
          <w:p w14:paraId="2FAEF2D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639,64</w:t>
            </w:r>
          </w:p>
        </w:tc>
        <w:tc>
          <w:tcPr>
            <w:tcW w:w="850" w:type="dxa"/>
            <w:tcBorders>
              <w:top w:val="nil"/>
              <w:left w:val="nil"/>
              <w:bottom w:val="single" w:sz="4" w:space="0" w:color="auto"/>
              <w:right w:val="single" w:sz="4" w:space="0" w:color="auto"/>
            </w:tcBorders>
            <w:shd w:val="clear" w:color="auto" w:fill="auto"/>
            <w:noWrap/>
            <w:vAlign w:val="bottom"/>
            <w:hideMark/>
          </w:tcPr>
          <w:p w14:paraId="65A7242E"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402,17</w:t>
            </w:r>
          </w:p>
        </w:tc>
        <w:tc>
          <w:tcPr>
            <w:tcW w:w="851" w:type="dxa"/>
            <w:tcBorders>
              <w:top w:val="nil"/>
              <w:left w:val="nil"/>
              <w:bottom w:val="single" w:sz="4" w:space="0" w:color="auto"/>
              <w:right w:val="single" w:sz="4" w:space="0" w:color="auto"/>
            </w:tcBorders>
            <w:shd w:val="clear" w:color="auto" w:fill="auto"/>
            <w:noWrap/>
            <w:vAlign w:val="bottom"/>
            <w:hideMark/>
          </w:tcPr>
          <w:p w14:paraId="5823DF23"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461,90</w:t>
            </w:r>
          </w:p>
        </w:tc>
        <w:tc>
          <w:tcPr>
            <w:tcW w:w="850" w:type="dxa"/>
            <w:tcBorders>
              <w:top w:val="nil"/>
              <w:left w:val="nil"/>
              <w:bottom w:val="single" w:sz="4" w:space="0" w:color="auto"/>
              <w:right w:val="single" w:sz="4" w:space="0" w:color="auto"/>
            </w:tcBorders>
            <w:shd w:val="clear" w:color="auto" w:fill="auto"/>
            <w:noWrap/>
            <w:vAlign w:val="bottom"/>
            <w:hideMark/>
          </w:tcPr>
          <w:p w14:paraId="7334272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475,72</w:t>
            </w:r>
          </w:p>
        </w:tc>
        <w:tc>
          <w:tcPr>
            <w:tcW w:w="851" w:type="dxa"/>
            <w:tcBorders>
              <w:top w:val="nil"/>
              <w:left w:val="nil"/>
              <w:bottom w:val="single" w:sz="4" w:space="0" w:color="auto"/>
              <w:right w:val="single" w:sz="4" w:space="0" w:color="auto"/>
            </w:tcBorders>
            <w:shd w:val="clear" w:color="auto" w:fill="auto"/>
            <w:noWrap/>
            <w:vAlign w:val="bottom"/>
            <w:hideMark/>
          </w:tcPr>
          <w:p w14:paraId="32CF743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-217,37</w:t>
            </w:r>
          </w:p>
        </w:tc>
        <w:tc>
          <w:tcPr>
            <w:tcW w:w="850" w:type="dxa"/>
            <w:tcBorders>
              <w:top w:val="nil"/>
              <w:left w:val="nil"/>
              <w:bottom w:val="single" w:sz="4" w:space="0" w:color="auto"/>
              <w:right w:val="single" w:sz="4" w:space="0" w:color="auto"/>
            </w:tcBorders>
            <w:shd w:val="clear" w:color="auto" w:fill="auto"/>
            <w:noWrap/>
            <w:vAlign w:val="bottom"/>
            <w:hideMark/>
          </w:tcPr>
          <w:p w14:paraId="5BAA227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64,91</w:t>
            </w:r>
          </w:p>
        </w:tc>
        <w:tc>
          <w:tcPr>
            <w:tcW w:w="709" w:type="dxa"/>
            <w:tcBorders>
              <w:top w:val="nil"/>
              <w:left w:val="nil"/>
              <w:bottom w:val="single" w:sz="4" w:space="0" w:color="auto"/>
              <w:right w:val="single" w:sz="4" w:space="0" w:color="auto"/>
            </w:tcBorders>
            <w:shd w:val="clear" w:color="auto" w:fill="auto"/>
            <w:noWrap/>
            <w:vAlign w:val="bottom"/>
            <w:hideMark/>
          </w:tcPr>
          <w:p w14:paraId="28FA24AD" w14:textId="77777777" w:rsidR="00827437" w:rsidRPr="00522104" w:rsidRDefault="00827437" w:rsidP="00467069">
            <w:pPr>
              <w:spacing w:after="0" w:line="240" w:lineRule="auto"/>
              <w:ind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-237,47</w:t>
            </w:r>
          </w:p>
        </w:tc>
        <w:tc>
          <w:tcPr>
            <w:tcW w:w="713" w:type="dxa"/>
            <w:tcBorders>
              <w:top w:val="nil"/>
              <w:left w:val="nil"/>
              <w:bottom w:val="single" w:sz="4" w:space="0" w:color="auto"/>
              <w:right w:val="single" w:sz="4" w:space="0" w:color="auto"/>
            </w:tcBorders>
            <w:shd w:val="clear" w:color="auto" w:fill="auto"/>
            <w:noWrap/>
            <w:vAlign w:val="bottom"/>
            <w:hideMark/>
          </w:tcPr>
          <w:p w14:paraId="1F5DBFB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62,87</w:t>
            </w:r>
          </w:p>
        </w:tc>
      </w:tr>
      <w:tr w:rsidR="00827437" w:rsidRPr="00522104" w14:paraId="27719D58" w14:textId="77777777" w:rsidTr="00467069">
        <w:trPr>
          <w:trHeight w:val="51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4744486C"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транспорта и дорожного хозяйства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219B380B"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754</w:t>
            </w:r>
          </w:p>
        </w:tc>
        <w:tc>
          <w:tcPr>
            <w:tcW w:w="851" w:type="dxa"/>
            <w:tcBorders>
              <w:top w:val="nil"/>
              <w:left w:val="nil"/>
              <w:bottom w:val="single" w:sz="4" w:space="0" w:color="auto"/>
              <w:right w:val="single" w:sz="4" w:space="0" w:color="auto"/>
            </w:tcBorders>
            <w:shd w:val="clear" w:color="auto" w:fill="auto"/>
            <w:noWrap/>
            <w:vAlign w:val="bottom"/>
            <w:hideMark/>
          </w:tcPr>
          <w:p w14:paraId="5AC1CB8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7AA939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61,35</w:t>
            </w:r>
          </w:p>
        </w:tc>
        <w:tc>
          <w:tcPr>
            <w:tcW w:w="851" w:type="dxa"/>
            <w:tcBorders>
              <w:top w:val="nil"/>
              <w:left w:val="nil"/>
              <w:bottom w:val="single" w:sz="4" w:space="0" w:color="auto"/>
              <w:right w:val="single" w:sz="4" w:space="0" w:color="auto"/>
            </w:tcBorders>
            <w:shd w:val="clear" w:color="auto" w:fill="auto"/>
            <w:noWrap/>
            <w:vAlign w:val="bottom"/>
            <w:hideMark/>
          </w:tcPr>
          <w:p w14:paraId="45EE2BD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D144186"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D22A5E4"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543117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901E2F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-61,35</w:t>
            </w:r>
          </w:p>
        </w:tc>
        <w:tc>
          <w:tcPr>
            <w:tcW w:w="850" w:type="dxa"/>
            <w:tcBorders>
              <w:top w:val="nil"/>
              <w:left w:val="nil"/>
              <w:bottom w:val="single" w:sz="4" w:space="0" w:color="auto"/>
              <w:right w:val="single" w:sz="4" w:space="0" w:color="auto"/>
            </w:tcBorders>
            <w:shd w:val="clear" w:color="auto" w:fill="auto"/>
            <w:noWrap/>
            <w:vAlign w:val="bottom"/>
            <w:hideMark/>
          </w:tcPr>
          <w:p w14:paraId="386CE45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447FAEF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71676A9B"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14734302" w14:textId="77777777" w:rsidTr="00467069">
        <w:trPr>
          <w:trHeight w:val="54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4CADF523"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цифрового развития и связи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48A21415"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755</w:t>
            </w:r>
          </w:p>
        </w:tc>
        <w:tc>
          <w:tcPr>
            <w:tcW w:w="851" w:type="dxa"/>
            <w:tcBorders>
              <w:top w:val="nil"/>
              <w:left w:val="nil"/>
              <w:bottom w:val="single" w:sz="4" w:space="0" w:color="auto"/>
              <w:right w:val="single" w:sz="4" w:space="0" w:color="auto"/>
            </w:tcBorders>
            <w:shd w:val="clear" w:color="auto" w:fill="auto"/>
            <w:noWrap/>
            <w:vAlign w:val="bottom"/>
            <w:hideMark/>
          </w:tcPr>
          <w:p w14:paraId="0CE957B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0,77</w:t>
            </w:r>
          </w:p>
        </w:tc>
        <w:tc>
          <w:tcPr>
            <w:tcW w:w="850" w:type="dxa"/>
            <w:tcBorders>
              <w:top w:val="nil"/>
              <w:left w:val="nil"/>
              <w:bottom w:val="single" w:sz="4" w:space="0" w:color="auto"/>
              <w:right w:val="single" w:sz="4" w:space="0" w:color="auto"/>
            </w:tcBorders>
            <w:shd w:val="clear" w:color="auto" w:fill="auto"/>
            <w:noWrap/>
            <w:vAlign w:val="bottom"/>
            <w:hideMark/>
          </w:tcPr>
          <w:p w14:paraId="6ED6415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0,77</w:t>
            </w:r>
          </w:p>
        </w:tc>
        <w:tc>
          <w:tcPr>
            <w:tcW w:w="851" w:type="dxa"/>
            <w:tcBorders>
              <w:top w:val="nil"/>
              <w:left w:val="nil"/>
              <w:bottom w:val="single" w:sz="4" w:space="0" w:color="auto"/>
              <w:right w:val="single" w:sz="4" w:space="0" w:color="auto"/>
            </w:tcBorders>
            <w:shd w:val="clear" w:color="auto" w:fill="auto"/>
            <w:noWrap/>
            <w:vAlign w:val="bottom"/>
            <w:hideMark/>
          </w:tcPr>
          <w:p w14:paraId="2C95CC9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0,30</w:t>
            </w:r>
          </w:p>
        </w:tc>
        <w:tc>
          <w:tcPr>
            <w:tcW w:w="850" w:type="dxa"/>
            <w:tcBorders>
              <w:top w:val="nil"/>
              <w:left w:val="nil"/>
              <w:bottom w:val="single" w:sz="4" w:space="0" w:color="auto"/>
              <w:right w:val="single" w:sz="4" w:space="0" w:color="auto"/>
            </w:tcBorders>
            <w:shd w:val="clear" w:color="auto" w:fill="auto"/>
            <w:noWrap/>
            <w:vAlign w:val="bottom"/>
            <w:hideMark/>
          </w:tcPr>
          <w:p w14:paraId="09D5E3C5"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0,78</w:t>
            </w:r>
          </w:p>
        </w:tc>
        <w:tc>
          <w:tcPr>
            <w:tcW w:w="851" w:type="dxa"/>
            <w:tcBorders>
              <w:top w:val="nil"/>
              <w:left w:val="nil"/>
              <w:bottom w:val="single" w:sz="4" w:space="0" w:color="auto"/>
              <w:right w:val="single" w:sz="4" w:space="0" w:color="auto"/>
            </w:tcBorders>
            <w:shd w:val="clear" w:color="auto" w:fill="auto"/>
            <w:noWrap/>
            <w:vAlign w:val="bottom"/>
            <w:hideMark/>
          </w:tcPr>
          <w:p w14:paraId="6D8FB12A"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0,30</w:t>
            </w:r>
          </w:p>
        </w:tc>
        <w:tc>
          <w:tcPr>
            <w:tcW w:w="850" w:type="dxa"/>
            <w:tcBorders>
              <w:top w:val="nil"/>
              <w:left w:val="nil"/>
              <w:bottom w:val="single" w:sz="4" w:space="0" w:color="auto"/>
              <w:right w:val="single" w:sz="4" w:space="0" w:color="auto"/>
            </w:tcBorders>
            <w:shd w:val="clear" w:color="auto" w:fill="auto"/>
            <w:noWrap/>
            <w:vAlign w:val="bottom"/>
            <w:hideMark/>
          </w:tcPr>
          <w:p w14:paraId="3C8C85B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0,30</w:t>
            </w:r>
          </w:p>
        </w:tc>
        <w:tc>
          <w:tcPr>
            <w:tcW w:w="851" w:type="dxa"/>
            <w:tcBorders>
              <w:top w:val="nil"/>
              <w:left w:val="nil"/>
              <w:bottom w:val="single" w:sz="4" w:space="0" w:color="auto"/>
              <w:right w:val="single" w:sz="4" w:space="0" w:color="auto"/>
            </w:tcBorders>
            <w:shd w:val="clear" w:color="auto" w:fill="auto"/>
            <w:noWrap/>
            <w:vAlign w:val="bottom"/>
            <w:hideMark/>
          </w:tcPr>
          <w:p w14:paraId="75F318F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0,01</w:t>
            </w:r>
          </w:p>
        </w:tc>
        <w:tc>
          <w:tcPr>
            <w:tcW w:w="850" w:type="dxa"/>
            <w:tcBorders>
              <w:top w:val="nil"/>
              <w:left w:val="nil"/>
              <w:bottom w:val="single" w:sz="4" w:space="0" w:color="auto"/>
              <w:right w:val="single" w:sz="4" w:space="0" w:color="auto"/>
            </w:tcBorders>
            <w:shd w:val="clear" w:color="auto" w:fill="auto"/>
            <w:noWrap/>
            <w:vAlign w:val="bottom"/>
            <w:hideMark/>
          </w:tcPr>
          <w:p w14:paraId="0A10D6B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100,79</w:t>
            </w:r>
          </w:p>
        </w:tc>
        <w:tc>
          <w:tcPr>
            <w:tcW w:w="709" w:type="dxa"/>
            <w:tcBorders>
              <w:top w:val="nil"/>
              <w:left w:val="nil"/>
              <w:bottom w:val="single" w:sz="4" w:space="0" w:color="auto"/>
              <w:right w:val="single" w:sz="4" w:space="0" w:color="auto"/>
            </w:tcBorders>
            <w:shd w:val="clear" w:color="auto" w:fill="auto"/>
            <w:noWrap/>
            <w:vAlign w:val="bottom"/>
            <w:hideMark/>
          </w:tcPr>
          <w:p w14:paraId="430A7D1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0,48</w:t>
            </w:r>
          </w:p>
        </w:tc>
        <w:tc>
          <w:tcPr>
            <w:tcW w:w="713" w:type="dxa"/>
            <w:tcBorders>
              <w:top w:val="nil"/>
              <w:left w:val="nil"/>
              <w:bottom w:val="single" w:sz="4" w:space="0" w:color="auto"/>
              <w:right w:val="single" w:sz="4" w:space="0" w:color="auto"/>
            </w:tcBorders>
            <w:shd w:val="clear" w:color="auto" w:fill="auto"/>
            <w:noWrap/>
            <w:vAlign w:val="bottom"/>
            <w:hideMark/>
          </w:tcPr>
          <w:p w14:paraId="046E3EF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259,22</w:t>
            </w:r>
          </w:p>
        </w:tc>
      </w:tr>
      <w:tr w:rsidR="00827437" w:rsidRPr="00522104" w14:paraId="60AB3C81" w14:textId="77777777" w:rsidTr="00467069">
        <w:trPr>
          <w:trHeight w:val="237"/>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4DE6810"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Уполномоченный по правам человека в Приморском крае</w:t>
            </w:r>
          </w:p>
        </w:tc>
        <w:tc>
          <w:tcPr>
            <w:tcW w:w="425" w:type="dxa"/>
            <w:tcBorders>
              <w:top w:val="nil"/>
              <w:left w:val="nil"/>
              <w:bottom w:val="single" w:sz="4" w:space="0" w:color="auto"/>
              <w:right w:val="single" w:sz="4" w:space="0" w:color="auto"/>
            </w:tcBorders>
            <w:shd w:val="clear" w:color="auto" w:fill="auto"/>
            <w:noWrap/>
            <w:vAlign w:val="bottom"/>
            <w:hideMark/>
          </w:tcPr>
          <w:p w14:paraId="034AFA78"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757</w:t>
            </w:r>
          </w:p>
        </w:tc>
        <w:tc>
          <w:tcPr>
            <w:tcW w:w="851" w:type="dxa"/>
            <w:tcBorders>
              <w:top w:val="nil"/>
              <w:left w:val="nil"/>
              <w:bottom w:val="single" w:sz="4" w:space="0" w:color="auto"/>
              <w:right w:val="single" w:sz="4" w:space="0" w:color="auto"/>
            </w:tcBorders>
            <w:shd w:val="clear" w:color="auto" w:fill="auto"/>
            <w:noWrap/>
            <w:vAlign w:val="bottom"/>
            <w:hideMark/>
          </w:tcPr>
          <w:p w14:paraId="6E777A1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26,61</w:t>
            </w:r>
          </w:p>
        </w:tc>
        <w:tc>
          <w:tcPr>
            <w:tcW w:w="850" w:type="dxa"/>
            <w:tcBorders>
              <w:top w:val="nil"/>
              <w:left w:val="nil"/>
              <w:bottom w:val="single" w:sz="4" w:space="0" w:color="auto"/>
              <w:right w:val="single" w:sz="4" w:space="0" w:color="auto"/>
            </w:tcBorders>
            <w:shd w:val="clear" w:color="auto" w:fill="auto"/>
            <w:noWrap/>
            <w:vAlign w:val="bottom"/>
            <w:hideMark/>
          </w:tcPr>
          <w:p w14:paraId="78940D3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27,44</w:t>
            </w:r>
          </w:p>
        </w:tc>
        <w:tc>
          <w:tcPr>
            <w:tcW w:w="851" w:type="dxa"/>
            <w:tcBorders>
              <w:top w:val="nil"/>
              <w:left w:val="nil"/>
              <w:bottom w:val="single" w:sz="4" w:space="0" w:color="auto"/>
              <w:right w:val="single" w:sz="4" w:space="0" w:color="auto"/>
            </w:tcBorders>
            <w:shd w:val="clear" w:color="auto" w:fill="auto"/>
            <w:noWrap/>
            <w:vAlign w:val="bottom"/>
            <w:hideMark/>
          </w:tcPr>
          <w:p w14:paraId="62CCCD2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26,85</w:t>
            </w:r>
          </w:p>
        </w:tc>
        <w:tc>
          <w:tcPr>
            <w:tcW w:w="850" w:type="dxa"/>
            <w:tcBorders>
              <w:top w:val="nil"/>
              <w:left w:val="nil"/>
              <w:bottom w:val="single" w:sz="4" w:space="0" w:color="auto"/>
              <w:right w:val="single" w:sz="4" w:space="0" w:color="auto"/>
            </w:tcBorders>
            <w:shd w:val="clear" w:color="auto" w:fill="auto"/>
            <w:noWrap/>
            <w:vAlign w:val="bottom"/>
            <w:hideMark/>
          </w:tcPr>
          <w:p w14:paraId="65E82677"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29,42</w:t>
            </w:r>
          </w:p>
        </w:tc>
        <w:tc>
          <w:tcPr>
            <w:tcW w:w="851" w:type="dxa"/>
            <w:tcBorders>
              <w:top w:val="nil"/>
              <w:left w:val="nil"/>
              <w:bottom w:val="single" w:sz="4" w:space="0" w:color="auto"/>
              <w:right w:val="single" w:sz="4" w:space="0" w:color="auto"/>
            </w:tcBorders>
            <w:shd w:val="clear" w:color="auto" w:fill="auto"/>
            <w:noWrap/>
            <w:vAlign w:val="bottom"/>
            <w:hideMark/>
          </w:tcPr>
          <w:p w14:paraId="16188B62"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28,82</w:t>
            </w:r>
          </w:p>
        </w:tc>
        <w:tc>
          <w:tcPr>
            <w:tcW w:w="850" w:type="dxa"/>
            <w:tcBorders>
              <w:top w:val="nil"/>
              <w:left w:val="nil"/>
              <w:bottom w:val="single" w:sz="4" w:space="0" w:color="auto"/>
              <w:right w:val="single" w:sz="4" w:space="0" w:color="auto"/>
            </w:tcBorders>
            <w:shd w:val="clear" w:color="auto" w:fill="auto"/>
            <w:noWrap/>
            <w:vAlign w:val="bottom"/>
            <w:hideMark/>
          </w:tcPr>
          <w:p w14:paraId="46A7F48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29,88</w:t>
            </w:r>
          </w:p>
        </w:tc>
        <w:tc>
          <w:tcPr>
            <w:tcW w:w="851" w:type="dxa"/>
            <w:tcBorders>
              <w:top w:val="nil"/>
              <w:left w:val="nil"/>
              <w:bottom w:val="single" w:sz="4" w:space="0" w:color="auto"/>
              <w:right w:val="single" w:sz="4" w:space="0" w:color="auto"/>
            </w:tcBorders>
            <w:shd w:val="clear" w:color="auto" w:fill="auto"/>
            <w:noWrap/>
            <w:vAlign w:val="bottom"/>
            <w:hideMark/>
          </w:tcPr>
          <w:p w14:paraId="345C0B2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1,99</w:t>
            </w:r>
          </w:p>
        </w:tc>
        <w:tc>
          <w:tcPr>
            <w:tcW w:w="850" w:type="dxa"/>
            <w:tcBorders>
              <w:top w:val="nil"/>
              <w:left w:val="nil"/>
              <w:bottom w:val="single" w:sz="4" w:space="0" w:color="auto"/>
              <w:right w:val="single" w:sz="4" w:space="0" w:color="auto"/>
            </w:tcBorders>
            <w:shd w:val="clear" w:color="auto" w:fill="auto"/>
            <w:noWrap/>
            <w:vAlign w:val="bottom"/>
            <w:hideMark/>
          </w:tcPr>
          <w:p w14:paraId="4A2393A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107,24</w:t>
            </w:r>
          </w:p>
        </w:tc>
        <w:tc>
          <w:tcPr>
            <w:tcW w:w="709" w:type="dxa"/>
            <w:tcBorders>
              <w:top w:val="nil"/>
              <w:left w:val="nil"/>
              <w:bottom w:val="single" w:sz="4" w:space="0" w:color="auto"/>
              <w:right w:val="single" w:sz="4" w:space="0" w:color="auto"/>
            </w:tcBorders>
            <w:shd w:val="clear" w:color="auto" w:fill="auto"/>
            <w:noWrap/>
            <w:vAlign w:val="bottom"/>
            <w:hideMark/>
          </w:tcPr>
          <w:p w14:paraId="51E557D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2,57</w:t>
            </w:r>
          </w:p>
        </w:tc>
        <w:tc>
          <w:tcPr>
            <w:tcW w:w="713" w:type="dxa"/>
            <w:tcBorders>
              <w:top w:val="nil"/>
              <w:left w:val="nil"/>
              <w:bottom w:val="single" w:sz="4" w:space="0" w:color="auto"/>
              <w:right w:val="single" w:sz="4" w:space="0" w:color="auto"/>
            </w:tcBorders>
            <w:shd w:val="clear" w:color="auto" w:fill="auto"/>
            <w:noWrap/>
            <w:vAlign w:val="bottom"/>
            <w:hideMark/>
          </w:tcPr>
          <w:p w14:paraId="6668E1C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109,58</w:t>
            </w:r>
          </w:p>
        </w:tc>
      </w:tr>
      <w:tr w:rsidR="00827437" w:rsidRPr="00522104" w14:paraId="09B71F83" w14:textId="77777777" w:rsidTr="00467069">
        <w:trPr>
          <w:trHeight w:val="323"/>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43D0232"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сельского хозяйства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538A1021"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758</w:t>
            </w:r>
          </w:p>
        </w:tc>
        <w:tc>
          <w:tcPr>
            <w:tcW w:w="851" w:type="dxa"/>
            <w:tcBorders>
              <w:top w:val="nil"/>
              <w:left w:val="nil"/>
              <w:bottom w:val="single" w:sz="4" w:space="0" w:color="auto"/>
              <w:right w:val="single" w:sz="4" w:space="0" w:color="auto"/>
            </w:tcBorders>
            <w:shd w:val="clear" w:color="auto" w:fill="auto"/>
            <w:noWrap/>
            <w:vAlign w:val="bottom"/>
            <w:hideMark/>
          </w:tcPr>
          <w:p w14:paraId="7299A54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7,61</w:t>
            </w:r>
          </w:p>
        </w:tc>
        <w:tc>
          <w:tcPr>
            <w:tcW w:w="850" w:type="dxa"/>
            <w:tcBorders>
              <w:top w:val="nil"/>
              <w:left w:val="nil"/>
              <w:bottom w:val="single" w:sz="4" w:space="0" w:color="auto"/>
              <w:right w:val="single" w:sz="4" w:space="0" w:color="auto"/>
            </w:tcBorders>
            <w:shd w:val="clear" w:color="auto" w:fill="auto"/>
            <w:noWrap/>
            <w:vAlign w:val="bottom"/>
            <w:hideMark/>
          </w:tcPr>
          <w:p w14:paraId="0B66156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7,61</w:t>
            </w:r>
          </w:p>
        </w:tc>
        <w:tc>
          <w:tcPr>
            <w:tcW w:w="851" w:type="dxa"/>
            <w:tcBorders>
              <w:top w:val="nil"/>
              <w:left w:val="nil"/>
              <w:bottom w:val="single" w:sz="4" w:space="0" w:color="auto"/>
              <w:right w:val="single" w:sz="4" w:space="0" w:color="auto"/>
            </w:tcBorders>
            <w:shd w:val="clear" w:color="auto" w:fill="auto"/>
            <w:noWrap/>
            <w:vAlign w:val="bottom"/>
            <w:hideMark/>
          </w:tcPr>
          <w:p w14:paraId="664F888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0,90</w:t>
            </w:r>
          </w:p>
        </w:tc>
        <w:tc>
          <w:tcPr>
            <w:tcW w:w="850" w:type="dxa"/>
            <w:tcBorders>
              <w:top w:val="nil"/>
              <w:left w:val="nil"/>
              <w:bottom w:val="single" w:sz="4" w:space="0" w:color="auto"/>
              <w:right w:val="single" w:sz="4" w:space="0" w:color="auto"/>
            </w:tcBorders>
            <w:shd w:val="clear" w:color="auto" w:fill="auto"/>
            <w:noWrap/>
            <w:vAlign w:val="bottom"/>
            <w:hideMark/>
          </w:tcPr>
          <w:p w14:paraId="1436604B"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5,56</w:t>
            </w:r>
          </w:p>
        </w:tc>
        <w:tc>
          <w:tcPr>
            <w:tcW w:w="851" w:type="dxa"/>
            <w:tcBorders>
              <w:top w:val="nil"/>
              <w:left w:val="nil"/>
              <w:bottom w:val="single" w:sz="4" w:space="0" w:color="auto"/>
              <w:right w:val="single" w:sz="4" w:space="0" w:color="auto"/>
            </w:tcBorders>
            <w:shd w:val="clear" w:color="auto" w:fill="auto"/>
            <w:noWrap/>
            <w:vAlign w:val="bottom"/>
            <w:hideMark/>
          </w:tcPr>
          <w:p w14:paraId="0518D346"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0,90</w:t>
            </w:r>
          </w:p>
        </w:tc>
        <w:tc>
          <w:tcPr>
            <w:tcW w:w="850" w:type="dxa"/>
            <w:tcBorders>
              <w:top w:val="nil"/>
              <w:left w:val="nil"/>
              <w:bottom w:val="single" w:sz="4" w:space="0" w:color="auto"/>
              <w:right w:val="single" w:sz="4" w:space="0" w:color="auto"/>
            </w:tcBorders>
            <w:shd w:val="clear" w:color="auto" w:fill="auto"/>
            <w:noWrap/>
            <w:vAlign w:val="bottom"/>
            <w:hideMark/>
          </w:tcPr>
          <w:p w14:paraId="246DD67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0,90</w:t>
            </w:r>
          </w:p>
        </w:tc>
        <w:tc>
          <w:tcPr>
            <w:tcW w:w="851" w:type="dxa"/>
            <w:tcBorders>
              <w:top w:val="nil"/>
              <w:left w:val="nil"/>
              <w:bottom w:val="single" w:sz="4" w:space="0" w:color="auto"/>
              <w:right w:val="single" w:sz="4" w:space="0" w:color="auto"/>
            </w:tcBorders>
            <w:shd w:val="clear" w:color="auto" w:fill="auto"/>
            <w:noWrap/>
            <w:vAlign w:val="bottom"/>
            <w:hideMark/>
          </w:tcPr>
          <w:p w14:paraId="24CA136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-2,05</w:t>
            </w:r>
          </w:p>
        </w:tc>
        <w:tc>
          <w:tcPr>
            <w:tcW w:w="850" w:type="dxa"/>
            <w:tcBorders>
              <w:top w:val="nil"/>
              <w:left w:val="nil"/>
              <w:bottom w:val="single" w:sz="4" w:space="0" w:color="auto"/>
              <w:right w:val="single" w:sz="4" w:space="0" w:color="auto"/>
            </w:tcBorders>
            <w:shd w:val="clear" w:color="auto" w:fill="auto"/>
            <w:noWrap/>
            <w:vAlign w:val="bottom"/>
            <w:hideMark/>
          </w:tcPr>
          <w:p w14:paraId="77577E1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73,03</w:t>
            </w:r>
          </w:p>
        </w:tc>
        <w:tc>
          <w:tcPr>
            <w:tcW w:w="709" w:type="dxa"/>
            <w:tcBorders>
              <w:top w:val="nil"/>
              <w:left w:val="nil"/>
              <w:bottom w:val="single" w:sz="4" w:space="0" w:color="auto"/>
              <w:right w:val="single" w:sz="4" w:space="0" w:color="auto"/>
            </w:tcBorders>
            <w:shd w:val="clear" w:color="auto" w:fill="auto"/>
            <w:noWrap/>
            <w:vAlign w:val="bottom"/>
            <w:hideMark/>
          </w:tcPr>
          <w:p w14:paraId="728DBF4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4,66</w:t>
            </w:r>
          </w:p>
        </w:tc>
        <w:tc>
          <w:tcPr>
            <w:tcW w:w="713" w:type="dxa"/>
            <w:tcBorders>
              <w:top w:val="nil"/>
              <w:left w:val="nil"/>
              <w:bottom w:val="single" w:sz="4" w:space="0" w:color="auto"/>
              <w:right w:val="single" w:sz="4" w:space="0" w:color="auto"/>
            </w:tcBorders>
            <w:shd w:val="clear" w:color="auto" w:fill="auto"/>
            <w:noWrap/>
            <w:vAlign w:val="bottom"/>
            <w:hideMark/>
          </w:tcPr>
          <w:p w14:paraId="42EFEF2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618,19</w:t>
            </w:r>
          </w:p>
        </w:tc>
      </w:tr>
      <w:tr w:rsidR="00827437" w:rsidRPr="00522104" w14:paraId="5D427229"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5140A4BA"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труда и социальной политики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37FC5FFE"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760</w:t>
            </w:r>
          </w:p>
        </w:tc>
        <w:tc>
          <w:tcPr>
            <w:tcW w:w="851" w:type="dxa"/>
            <w:tcBorders>
              <w:top w:val="nil"/>
              <w:left w:val="nil"/>
              <w:bottom w:val="single" w:sz="4" w:space="0" w:color="auto"/>
              <w:right w:val="single" w:sz="4" w:space="0" w:color="auto"/>
            </w:tcBorders>
            <w:shd w:val="clear" w:color="auto" w:fill="auto"/>
            <w:noWrap/>
            <w:vAlign w:val="bottom"/>
            <w:hideMark/>
          </w:tcPr>
          <w:p w14:paraId="67FB66B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0,37</w:t>
            </w:r>
          </w:p>
        </w:tc>
        <w:tc>
          <w:tcPr>
            <w:tcW w:w="850" w:type="dxa"/>
            <w:tcBorders>
              <w:top w:val="nil"/>
              <w:left w:val="nil"/>
              <w:bottom w:val="single" w:sz="4" w:space="0" w:color="auto"/>
              <w:right w:val="single" w:sz="4" w:space="0" w:color="auto"/>
            </w:tcBorders>
            <w:shd w:val="clear" w:color="auto" w:fill="auto"/>
            <w:noWrap/>
            <w:vAlign w:val="bottom"/>
            <w:hideMark/>
          </w:tcPr>
          <w:p w14:paraId="32A16E3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27,80</w:t>
            </w:r>
          </w:p>
        </w:tc>
        <w:tc>
          <w:tcPr>
            <w:tcW w:w="851" w:type="dxa"/>
            <w:tcBorders>
              <w:top w:val="nil"/>
              <w:left w:val="nil"/>
              <w:bottom w:val="single" w:sz="4" w:space="0" w:color="auto"/>
              <w:right w:val="single" w:sz="4" w:space="0" w:color="auto"/>
            </w:tcBorders>
            <w:shd w:val="clear" w:color="auto" w:fill="auto"/>
            <w:noWrap/>
            <w:vAlign w:val="bottom"/>
            <w:hideMark/>
          </w:tcPr>
          <w:p w14:paraId="760D78E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0,52</w:t>
            </w:r>
          </w:p>
        </w:tc>
        <w:tc>
          <w:tcPr>
            <w:tcW w:w="850" w:type="dxa"/>
            <w:tcBorders>
              <w:top w:val="nil"/>
              <w:left w:val="nil"/>
              <w:bottom w:val="single" w:sz="4" w:space="0" w:color="auto"/>
              <w:right w:val="single" w:sz="4" w:space="0" w:color="auto"/>
            </w:tcBorders>
            <w:shd w:val="clear" w:color="auto" w:fill="auto"/>
            <w:noWrap/>
            <w:vAlign w:val="bottom"/>
            <w:hideMark/>
          </w:tcPr>
          <w:p w14:paraId="7DE563EE"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0,52</w:t>
            </w:r>
          </w:p>
        </w:tc>
        <w:tc>
          <w:tcPr>
            <w:tcW w:w="851" w:type="dxa"/>
            <w:tcBorders>
              <w:top w:val="nil"/>
              <w:left w:val="nil"/>
              <w:bottom w:val="single" w:sz="4" w:space="0" w:color="auto"/>
              <w:right w:val="single" w:sz="4" w:space="0" w:color="auto"/>
            </w:tcBorders>
            <w:shd w:val="clear" w:color="auto" w:fill="auto"/>
            <w:noWrap/>
            <w:vAlign w:val="bottom"/>
            <w:hideMark/>
          </w:tcPr>
          <w:p w14:paraId="64378C15"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2,11</w:t>
            </w:r>
          </w:p>
        </w:tc>
        <w:tc>
          <w:tcPr>
            <w:tcW w:w="850" w:type="dxa"/>
            <w:tcBorders>
              <w:top w:val="nil"/>
              <w:left w:val="nil"/>
              <w:bottom w:val="single" w:sz="4" w:space="0" w:color="auto"/>
              <w:right w:val="single" w:sz="4" w:space="0" w:color="auto"/>
            </w:tcBorders>
            <w:shd w:val="clear" w:color="auto" w:fill="auto"/>
            <w:noWrap/>
            <w:vAlign w:val="bottom"/>
            <w:hideMark/>
          </w:tcPr>
          <w:p w14:paraId="4205EDC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2,11</w:t>
            </w:r>
          </w:p>
        </w:tc>
        <w:tc>
          <w:tcPr>
            <w:tcW w:w="851" w:type="dxa"/>
            <w:tcBorders>
              <w:top w:val="nil"/>
              <w:left w:val="nil"/>
              <w:bottom w:val="single" w:sz="4" w:space="0" w:color="auto"/>
              <w:right w:val="single" w:sz="4" w:space="0" w:color="auto"/>
            </w:tcBorders>
            <w:shd w:val="clear" w:color="auto" w:fill="auto"/>
            <w:noWrap/>
            <w:vAlign w:val="bottom"/>
            <w:hideMark/>
          </w:tcPr>
          <w:p w14:paraId="787EBCB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-27,28</w:t>
            </w:r>
          </w:p>
        </w:tc>
        <w:tc>
          <w:tcPr>
            <w:tcW w:w="850" w:type="dxa"/>
            <w:tcBorders>
              <w:top w:val="nil"/>
              <w:left w:val="nil"/>
              <w:bottom w:val="single" w:sz="4" w:space="0" w:color="auto"/>
              <w:right w:val="single" w:sz="4" w:space="0" w:color="auto"/>
            </w:tcBorders>
            <w:shd w:val="clear" w:color="auto" w:fill="auto"/>
            <w:noWrap/>
            <w:vAlign w:val="bottom"/>
            <w:hideMark/>
          </w:tcPr>
          <w:p w14:paraId="311A636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1,87</w:t>
            </w:r>
          </w:p>
        </w:tc>
        <w:tc>
          <w:tcPr>
            <w:tcW w:w="709" w:type="dxa"/>
            <w:tcBorders>
              <w:top w:val="nil"/>
              <w:left w:val="nil"/>
              <w:bottom w:val="single" w:sz="4" w:space="0" w:color="auto"/>
              <w:right w:val="single" w:sz="4" w:space="0" w:color="auto"/>
            </w:tcBorders>
            <w:shd w:val="clear" w:color="auto" w:fill="auto"/>
            <w:noWrap/>
            <w:vAlign w:val="bottom"/>
            <w:hideMark/>
          </w:tcPr>
          <w:p w14:paraId="5C64B67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1EB9E99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100,00</w:t>
            </w:r>
          </w:p>
        </w:tc>
      </w:tr>
      <w:tr w:rsidR="00827437" w:rsidRPr="00522104" w14:paraId="4C6451BF"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59226CDA"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здравоохранения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18B6DEDC"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761</w:t>
            </w:r>
          </w:p>
        </w:tc>
        <w:tc>
          <w:tcPr>
            <w:tcW w:w="851" w:type="dxa"/>
            <w:tcBorders>
              <w:top w:val="nil"/>
              <w:left w:val="nil"/>
              <w:bottom w:val="single" w:sz="4" w:space="0" w:color="auto"/>
              <w:right w:val="single" w:sz="4" w:space="0" w:color="auto"/>
            </w:tcBorders>
            <w:shd w:val="clear" w:color="auto" w:fill="auto"/>
            <w:noWrap/>
            <w:vAlign w:val="bottom"/>
            <w:hideMark/>
          </w:tcPr>
          <w:p w14:paraId="3A90547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136,20</w:t>
            </w:r>
          </w:p>
        </w:tc>
        <w:tc>
          <w:tcPr>
            <w:tcW w:w="850" w:type="dxa"/>
            <w:tcBorders>
              <w:top w:val="nil"/>
              <w:left w:val="nil"/>
              <w:bottom w:val="single" w:sz="4" w:space="0" w:color="auto"/>
              <w:right w:val="single" w:sz="4" w:space="0" w:color="auto"/>
            </w:tcBorders>
            <w:shd w:val="clear" w:color="auto" w:fill="auto"/>
            <w:noWrap/>
            <w:vAlign w:val="bottom"/>
            <w:hideMark/>
          </w:tcPr>
          <w:p w14:paraId="4E05626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189,27</w:t>
            </w:r>
          </w:p>
        </w:tc>
        <w:tc>
          <w:tcPr>
            <w:tcW w:w="851" w:type="dxa"/>
            <w:tcBorders>
              <w:top w:val="nil"/>
              <w:left w:val="nil"/>
              <w:bottom w:val="single" w:sz="4" w:space="0" w:color="auto"/>
              <w:right w:val="single" w:sz="4" w:space="0" w:color="auto"/>
            </w:tcBorders>
            <w:shd w:val="clear" w:color="auto" w:fill="auto"/>
            <w:noWrap/>
            <w:vAlign w:val="bottom"/>
            <w:hideMark/>
          </w:tcPr>
          <w:p w14:paraId="3F9DB97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0E15AE8"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1,45</w:t>
            </w:r>
          </w:p>
        </w:tc>
        <w:tc>
          <w:tcPr>
            <w:tcW w:w="851" w:type="dxa"/>
            <w:tcBorders>
              <w:top w:val="nil"/>
              <w:left w:val="nil"/>
              <w:bottom w:val="single" w:sz="4" w:space="0" w:color="auto"/>
              <w:right w:val="single" w:sz="4" w:space="0" w:color="auto"/>
            </w:tcBorders>
            <w:shd w:val="clear" w:color="auto" w:fill="auto"/>
            <w:noWrap/>
            <w:vAlign w:val="bottom"/>
            <w:hideMark/>
          </w:tcPr>
          <w:p w14:paraId="00694B1B"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272EF9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E5EA18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-187,82</w:t>
            </w:r>
          </w:p>
        </w:tc>
        <w:tc>
          <w:tcPr>
            <w:tcW w:w="850" w:type="dxa"/>
            <w:tcBorders>
              <w:top w:val="nil"/>
              <w:left w:val="nil"/>
              <w:bottom w:val="single" w:sz="4" w:space="0" w:color="auto"/>
              <w:right w:val="single" w:sz="4" w:space="0" w:color="auto"/>
            </w:tcBorders>
            <w:shd w:val="clear" w:color="auto" w:fill="auto"/>
            <w:noWrap/>
            <w:vAlign w:val="bottom"/>
            <w:hideMark/>
          </w:tcPr>
          <w:p w14:paraId="3F68150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0,76</w:t>
            </w:r>
          </w:p>
        </w:tc>
        <w:tc>
          <w:tcPr>
            <w:tcW w:w="709" w:type="dxa"/>
            <w:tcBorders>
              <w:top w:val="nil"/>
              <w:left w:val="nil"/>
              <w:bottom w:val="single" w:sz="4" w:space="0" w:color="auto"/>
              <w:right w:val="single" w:sz="4" w:space="0" w:color="auto"/>
            </w:tcBorders>
            <w:shd w:val="clear" w:color="auto" w:fill="auto"/>
            <w:noWrap/>
            <w:vAlign w:val="bottom"/>
            <w:hideMark/>
          </w:tcPr>
          <w:p w14:paraId="16FABA8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1,45</w:t>
            </w:r>
          </w:p>
        </w:tc>
        <w:tc>
          <w:tcPr>
            <w:tcW w:w="713" w:type="dxa"/>
            <w:tcBorders>
              <w:top w:val="nil"/>
              <w:left w:val="nil"/>
              <w:bottom w:val="single" w:sz="4" w:space="0" w:color="auto"/>
              <w:right w:val="single" w:sz="4" w:space="0" w:color="auto"/>
            </w:tcBorders>
            <w:shd w:val="clear" w:color="auto" w:fill="auto"/>
            <w:noWrap/>
            <w:vAlign w:val="bottom"/>
            <w:hideMark/>
          </w:tcPr>
          <w:p w14:paraId="2BD2ADDA"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660646EB" w14:textId="77777777" w:rsidTr="00467069">
        <w:trPr>
          <w:trHeight w:val="373"/>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3FA0E627"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Контрольно-счетная палата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1AAA30E0"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762</w:t>
            </w:r>
          </w:p>
        </w:tc>
        <w:tc>
          <w:tcPr>
            <w:tcW w:w="851" w:type="dxa"/>
            <w:tcBorders>
              <w:top w:val="nil"/>
              <w:left w:val="nil"/>
              <w:bottom w:val="single" w:sz="4" w:space="0" w:color="auto"/>
              <w:right w:val="single" w:sz="4" w:space="0" w:color="auto"/>
            </w:tcBorders>
            <w:shd w:val="clear" w:color="auto" w:fill="auto"/>
            <w:noWrap/>
            <w:vAlign w:val="bottom"/>
            <w:hideMark/>
          </w:tcPr>
          <w:p w14:paraId="0E21B88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70,58</w:t>
            </w:r>
          </w:p>
        </w:tc>
        <w:tc>
          <w:tcPr>
            <w:tcW w:w="850" w:type="dxa"/>
            <w:tcBorders>
              <w:top w:val="nil"/>
              <w:left w:val="nil"/>
              <w:bottom w:val="single" w:sz="4" w:space="0" w:color="auto"/>
              <w:right w:val="single" w:sz="4" w:space="0" w:color="auto"/>
            </w:tcBorders>
            <w:shd w:val="clear" w:color="auto" w:fill="auto"/>
            <w:noWrap/>
            <w:vAlign w:val="bottom"/>
            <w:hideMark/>
          </w:tcPr>
          <w:p w14:paraId="3EB0BA8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71,11</w:t>
            </w:r>
          </w:p>
        </w:tc>
        <w:tc>
          <w:tcPr>
            <w:tcW w:w="851" w:type="dxa"/>
            <w:tcBorders>
              <w:top w:val="nil"/>
              <w:left w:val="nil"/>
              <w:bottom w:val="single" w:sz="4" w:space="0" w:color="auto"/>
              <w:right w:val="single" w:sz="4" w:space="0" w:color="auto"/>
            </w:tcBorders>
            <w:shd w:val="clear" w:color="auto" w:fill="auto"/>
            <w:noWrap/>
            <w:vAlign w:val="bottom"/>
            <w:hideMark/>
          </w:tcPr>
          <w:p w14:paraId="1CF0C2A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71,19</w:t>
            </w:r>
          </w:p>
        </w:tc>
        <w:tc>
          <w:tcPr>
            <w:tcW w:w="850" w:type="dxa"/>
            <w:tcBorders>
              <w:top w:val="nil"/>
              <w:left w:val="nil"/>
              <w:bottom w:val="single" w:sz="4" w:space="0" w:color="auto"/>
              <w:right w:val="single" w:sz="4" w:space="0" w:color="auto"/>
            </w:tcBorders>
            <w:shd w:val="clear" w:color="auto" w:fill="auto"/>
            <w:noWrap/>
            <w:vAlign w:val="bottom"/>
            <w:hideMark/>
          </w:tcPr>
          <w:p w14:paraId="5B696DCB"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73,67</w:t>
            </w:r>
          </w:p>
        </w:tc>
        <w:tc>
          <w:tcPr>
            <w:tcW w:w="851" w:type="dxa"/>
            <w:tcBorders>
              <w:top w:val="nil"/>
              <w:left w:val="nil"/>
              <w:bottom w:val="single" w:sz="4" w:space="0" w:color="auto"/>
              <w:right w:val="single" w:sz="4" w:space="0" w:color="auto"/>
            </w:tcBorders>
            <w:shd w:val="clear" w:color="auto" w:fill="auto"/>
            <w:noWrap/>
            <w:vAlign w:val="bottom"/>
            <w:hideMark/>
          </w:tcPr>
          <w:p w14:paraId="76A5E3C1"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76,24</w:t>
            </w:r>
          </w:p>
        </w:tc>
        <w:tc>
          <w:tcPr>
            <w:tcW w:w="850" w:type="dxa"/>
            <w:tcBorders>
              <w:top w:val="nil"/>
              <w:left w:val="nil"/>
              <w:bottom w:val="single" w:sz="4" w:space="0" w:color="auto"/>
              <w:right w:val="single" w:sz="4" w:space="0" w:color="auto"/>
            </w:tcBorders>
            <w:shd w:val="clear" w:color="auto" w:fill="auto"/>
            <w:noWrap/>
            <w:vAlign w:val="bottom"/>
            <w:hideMark/>
          </w:tcPr>
          <w:p w14:paraId="551F493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78,90</w:t>
            </w:r>
          </w:p>
        </w:tc>
        <w:tc>
          <w:tcPr>
            <w:tcW w:w="851" w:type="dxa"/>
            <w:tcBorders>
              <w:top w:val="nil"/>
              <w:left w:val="nil"/>
              <w:bottom w:val="single" w:sz="4" w:space="0" w:color="auto"/>
              <w:right w:val="single" w:sz="4" w:space="0" w:color="auto"/>
            </w:tcBorders>
            <w:shd w:val="clear" w:color="auto" w:fill="auto"/>
            <w:noWrap/>
            <w:vAlign w:val="bottom"/>
            <w:hideMark/>
          </w:tcPr>
          <w:p w14:paraId="2C49992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2,56</w:t>
            </w:r>
          </w:p>
        </w:tc>
        <w:tc>
          <w:tcPr>
            <w:tcW w:w="850" w:type="dxa"/>
            <w:tcBorders>
              <w:top w:val="nil"/>
              <w:left w:val="nil"/>
              <w:bottom w:val="single" w:sz="4" w:space="0" w:color="auto"/>
              <w:right w:val="single" w:sz="4" w:space="0" w:color="auto"/>
            </w:tcBorders>
            <w:shd w:val="clear" w:color="auto" w:fill="auto"/>
            <w:noWrap/>
            <w:vAlign w:val="bottom"/>
            <w:hideMark/>
          </w:tcPr>
          <w:p w14:paraId="1E86426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103,59</w:t>
            </w:r>
          </w:p>
        </w:tc>
        <w:tc>
          <w:tcPr>
            <w:tcW w:w="709" w:type="dxa"/>
            <w:tcBorders>
              <w:top w:val="nil"/>
              <w:left w:val="nil"/>
              <w:bottom w:val="single" w:sz="4" w:space="0" w:color="auto"/>
              <w:right w:val="single" w:sz="4" w:space="0" w:color="auto"/>
            </w:tcBorders>
            <w:shd w:val="clear" w:color="auto" w:fill="auto"/>
            <w:noWrap/>
            <w:vAlign w:val="bottom"/>
            <w:hideMark/>
          </w:tcPr>
          <w:p w14:paraId="1FADD78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2,48</w:t>
            </w:r>
          </w:p>
        </w:tc>
        <w:tc>
          <w:tcPr>
            <w:tcW w:w="713" w:type="dxa"/>
            <w:tcBorders>
              <w:top w:val="nil"/>
              <w:left w:val="nil"/>
              <w:bottom w:val="single" w:sz="4" w:space="0" w:color="auto"/>
              <w:right w:val="single" w:sz="4" w:space="0" w:color="auto"/>
            </w:tcBorders>
            <w:shd w:val="clear" w:color="auto" w:fill="auto"/>
            <w:noWrap/>
            <w:vAlign w:val="bottom"/>
            <w:hideMark/>
          </w:tcPr>
          <w:p w14:paraId="6B31869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103,48</w:t>
            </w:r>
          </w:p>
        </w:tc>
      </w:tr>
      <w:tr w:rsidR="00827437" w:rsidRPr="00522104" w14:paraId="65B343D2" w14:textId="77777777" w:rsidTr="00467069">
        <w:trPr>
          <w:trHeight w:val="583"/>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19DB9864"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Департамент записи актов гражданского состояния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1871E0D7"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766</w:t>
            </w:r>
          </w:p>
        </w:tc>
        <w:tc>
          <w:tcPr>
            <w:tcW w:w="851" w:type="dxa"/>
            <w:tcBorders>
              <w:top w:val="nil"/>
              <w:left w:val="nil"/>
              <w:bottom w:val="single" w:sz="4" w:space="0" w:color="auto"/>
              <w:right w:val="single" w:sz="4" w:space="0" w:color="auto"/>
            </w:tcBorders>
            <w:shd w:val="clear" w:color="auto" w:fill="auto"/>
            <w:noWrap/>
            <w:vAlign w:val="bottom"/>
            <w:hideMark/>
          </w:tcPr>
          <w:p w14:paraId="63CB478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133,57</w:t>
            </w:r>
          </w:p>
        </w:tc>
        <w:tc>
          <w:tcPr>
            <w:tcW w:w="850" w:type="dxa"/>
            <w:tcBorders>
              <w:top w:val="nil"/>
              <w:left w:val="nil"/>
              <w:bottom w:val="single" w:sz="4" w:space="0" w:color="auto"/>
              <w:right w:val="single" w:sz="4" w:space="0" w:color="auto"/>
            </w:tcBorders>
            <w:shd w:val="clear" w:color="auto" w:fill="auto"/>
            <w:noWrap/>
            <w:vAlign w:val="bottom"/>
            <w:hideMark/>
          </w:tcPr>
          <w:p w14:paraId="08842BC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163,57</w:t>
            </w:r>
          </w:p>
        </w:tc>
        <w:tc>
          <w:tcPr>
            <w:tcW w:w="851" w:type="dxa"/>
            <w:tcBorders>
              <w:top w:val="nil"/>
              <w:left w:val="nil"/>
              <w:bottom w:val="single" w:sz="4" w:space="0" w:color="auto"/>
              <w:right w:val="single" w:sz="4" w:space="0" w:color="auto"/>
            </w:tcBorders>
            <w:shd w:val="clear" w:color="auto" w:fill="auto"/>
            <w:noWrap/>
            <w:vAlign w:val="bottom"/>
            <w:hideMark/>
          </w:tcPr>
          <w:p w14:paraId="51908FC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135,26</w:t>
            </w:r>
          </w:p>
        </w:tc>
        <w:tc>
          <w:tcPr>
            <w:tcW w:w="850" w:type="dxa"/>
            <w:tcBorders>
              <w:top w:val="nil"/>
              <w:left w:val="nil"/>
              <w:bottom w:val="single" w:sz="4" w:space="0" w:color="auto"/>
              <w:right w:val="single" w:sz="4" w:space="0" w:color="auto"/>
            </w:tcBorders>
            <w:shd w:val="clear" w:color="auto" w:fill="auto"/>
            <w:noWrap/>
            <w:vAlign w:val="bottom"/>
            <w:hideMark/>
          </w:tcPr>
          <w:p w14:paraId="31E83290"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171,72</w:t>
            </w:r>
          </w:p>
        </w:tc>
        <w:tc>
          <w:tcPr>
            <w:tcW w:w="851" w:type="dxa"/>
            <w:tcBorders>
              <w:top w:val="nil"/>
              <w:left w:val="nil"/>
              <w:bottom w:val="single" w:sz="4" w:space="0" w:color="auto"/>
              <w:right w:val="single" w:sz="4" w:space="0" w:color="auto"/>
            </w:tcBorders>
            <w:shd w:val="clear" w:color="auto" w:fill="auto"/>
            <w:noWrap/>
            <w:vAlign w:val="bottom"/>
            <w:hideMark/>
          </w:tcPr>
          <w:p w14:paraId="33E8886B"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174,18</w:t>
            </w:r>
          </w:p>
        </w:tc>
        <w:tc>
          <w:tcPr>
            <w:tcW w:w="850" w:type="dxa"/>
            <w:tcBorders>
              <w:top w:val="nil"/>
              <w:left w:val="nil"/>
              <w:bottom w:val="single" w:sz="4" w:space="0" w:color="auto"/>
              <w:right w:val="single" w:sz="4" w:space="0" w:color="auto"/>
            </w:tcBorders>
            <w:shd w:val="clear" w:color="auto" w:fill="auto"/>
            <w:noWrap/>
            <w:vAlign w:val="bottom"/>
            <w:hideMark/>
          </w:tcPr>
          <w:p w14:paraId="7AC63CF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179,96</w:t>
            </w:r>
          </w:p>
        </w:tc>
        <w:tc>
          <w:tcPr>
            <w:tcW w:w="851" w:type="dxa"/>
            <w:tcBorders>
              <w:top w:val="nil"/>
              <w:left w:val="nil"/>
              <w:bottom w:val="single" w:sz="4" w:space="0" w:color="auto"/>
              <w:right w:val="single" w:sz="4" w:space="0" w:color="auto"/>
            </w:tcBorders>
            <w:shd w:val="clear" w:color="auto" w:fill="auto"/>
            <w:noWrap/>
            <w:vAlign w:val="bottom"/>
            <w:hideMark/>
          </w:tcPr>
          <w:p w14:paraId="221EF17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8,14</w:t>
            </w:r>
          </w:p>
        </w:tc>
        <w:tc>
          <w:tcPr>
            <w:tcW w:w="850" w:type="dxa"/>
            <w:tcBorders>
              <w:top w:val="nil"/>
              <w:left w:val="nil"/>
              <w:bottom w:val="single" w:sz="4" w:space="0" w:color="auto"/>
              <w:right w:val="single" w:sz="4" w:space="0" w:color="auto"/>
            </w:tcBorders>
            <w:shd w:val="clear" w:color="auto" w:fill="auto"/>
            <w:noWrap/>
            <w:vAlign w:val="bottom"/>
            <w:hideMark/>
          </w:tcPr>
          <w:p w14:paraId="1821E1D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104,98</w:t>
            </w:r>
          </w:p>
        </w:tc>
        <w:tc>
          <w:tcPr>
            <w:tcW w:w="709" w:type="dxa"/>
            <w:tcBorders>
              <w:top w:val="nil"/>
              <w:left w:val="nil"/>
              <w:bottom w:val="single" w:sz="4" w:space="0" w:color="auto"/>
              <w:right w:val="single" w:sz="4" w:space="0" w:color="auto"/>
            </w:tcBorders>
            <w:shd w:val="clear" w:color="auto" w:fill="auto"/>
            <w:noWrap/>
            <w:vAlign w:val="bottom"/>
            <w:hideMark/>
          </w:tcPr>
          <w:p w14:paraId="66E26BE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36,46</w:t>
            </w:r>
          </w:p>
        </w:tc>
        <w:tc>
          <w:tcPr>
            <w:tcW w:w="713" w:type="dxa"/>
            <w:tcBorders>
              <w:top w:val="nil"/>
              <w:left w:val="nil"/>
              <w:bottom w:val="single" w:sz="4" w:space="0" w:color="auto"/>
              <w:right w:val="single" w:sz="4" w:space="0" w:color="auto"/>
            </w:tcBorders>
            <w:shd w:val="clear" w:color="auto" w:fill="auto"/>
            <w:noWrap/>
            <w:vAlign w:val="bottom"/>
            <w:hideMark/>
          </w:tcPr>
          <w:p w14:paraId="1752FCA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126,96</w:t>
            </w:r>
          </w:p>
        </w:tc>
      </w:tr>
      <w:tr w:rsidR="00827437" w:rsidRPr="00522104" w14:paraId="790A74DE" w14:textId="77777777" w:rsidTr="00467069">
        <w:trPr>
          <w:trHeight w:val="23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93DAF20"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Избирательная комиссия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3E741E51"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767</w:t>
            </w:r>
          </w:p>
        </w:tc>
        <w:tc>
          <w:tcPr>
            <w:tcW w:w="851" w:type="dxa"/>
            <w:tcBorders>
              <w:top w:val="nil"/>
              <w:left w:val="nil"/>
              <w:bottom w:val="single" w:sz="4" w:space="0" w:color="auto"/>
              <w:right w:val="single" w:sz="4" w:space="0" w:color="auto"/>
            </w:tcBorders>
            <w:shd w:val="clear" w:color="auto" w:fill="auto"/>
            <w:noWrap/>
            <w:vAlign w:val="bottom"/>
            <w:hideMark/>
          </w:tcPr>
          <w:p w14:paraId="07BBCC0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398,47</w:t>
            </w:r>
          </w:p>
        </w:tc>
        <w:tc>
          <w:tcPr>
            <w:tcW w:w="850" w:type="dxa"/>
            <w:tcBorders>
              <w:top w:val="nil"/>
              <w:left w:val="nil"/>
              <w:bottom w:val="single" w:sz="4" w:space="0" w:color="auto"/>
              <w:right w:val="single" w:sz="4" w:space="0" w:color="auto"/>
            </w:tcBorders>
            <w:shd w:val="clear" w:color="auto" w:fill="auto"/>
            <w:noWrap/>
            <w:vAlign w:val="bottom"/>
            <w:hideMark/>
          </w:tcPr>
          <w:p w14:paraId="4A8F617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532,89</w:t>
            </w:r>
          </w:p>
        </w:tc>
        <w:tc>
          <w:tcPr>
            <w:tcW w:w="851" w:type="dxa"/>
            <w:tcBorders>
              <w:top w:val="nil"/>
              <w:left w:val="nil"/>
              <w:bottom w:val="single" w:sz="4" w:space="0" w:color="auto"/>
              <w:right w:val="single" w:sz="4" w:space="0" w:color="auto"/>
            </w:tcBorders>
            <w:shd w:val="clear" w:color="auto" w:fill="auto"/>
            <w:noWrap/>
            <w:vAlign w:val="bottom"/>
            <w:hideMark/>
          </w:tcPr>
          <w:p w14:paraId="799AF72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232,36</w:t>
            </w:r>
          </w:p>
        </w:tc>
        <w:tc>
          <w:tcPr>
            <w:tcW w:w="850" w:type="dxa"/>
            <w:tcBorders>
              <w:top w:val="nil"/>
              <w:left w:val="nil"/>
              <w:bottom w:val="single" w:sz="4" w:space="0" w:color="auto"/>
              <w:right w:val="single" w:sz="4" w:space="0" w:color="auto"/>
            </w:tcBorders>
            <w:shd w:val="clear" w:color="auto" w:fill="auto"/>
            <w:noWrap/>
            <w:vAlign w:val="bottom"/>
            <w:hideMark/>
          </w:tcPr>
          <w:p w14:paraId="4908AD12"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240,86</w:t>
            </w:r>
          </w:p>
        </w:tc>
        <w:tc>
          <w:tcPr>
            <w:tcW w:w="851" w:type="dxa"/>
            <w:tcBorders>
              <w:top w:val="nil"/>
              <w:left w:val="nil"/>
              <w:bottom w:val="single" w:sz="4" w:space="0" w:color="auto"/>
              <w:right w:val="single" w:sz="4" w:space="0" w:color="auto"/>
            </w:tcBorders>
            <w:shd w:val="clear" w:color="auto" w:fill="auto"/>
            <w:noWrap/>
            <w:vAlign w:val="bottom"/>
            <w:hideMark/>
          </w:tcPr>
          <w:p w14:paraId="6CE468F9"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634,61</w:t>
            </w:r>
          </w:p>
        </w:tc>
        <w:tc>
          <w:tcPr>
            <w:tcW w:w="850" w:type="dxa"/>
            <w:tcBorders>
              <w:top w:val="nil"/>
              <w:left w:val="nil"/>
              <w:bottom w:val="single" w:sz="4" w:space="0" w:color="auto"/>
              <w:right w:val="single" w:sz="4" w:space="0" w:color="auto"/>
            </w:tcBorders>
            <w:shd w:val="clear" w:color="auto" w:fill="auto"/>
            <w:noWrap/>
            <w:vAlign w:val="bottom"/>
            <w:hideMark/>
          </w:tcPr>
          <w:p w14:paraId="119C05B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259,20</w:t>
            </w:r>
          </w:p>
        </w:tc>
        <w:tc>
          <w:tcPr>
            <w:tcW w:w="851" w:type="dxa"/>
            <w:tcBorders>
              <w:top w:val="nil"/>
              <w:left w:val="nil"/>
              <w:bottom w:val="single" w:sz="4" w:space="0" w:color="auto"/>
              <w:right w:val="single" w:sz="4" w:space="0" w:color="auto"/>
            </w:tcBorders>
            <w:shd w:val="clear" w:color="auto" w:fill="auto"/>
            <w:noWrap/>
            <w:vAlign w:val="bottom"/>
            <w:hideMark/>
          </w:tcPr>
          <w:p w14:paraId="29939DF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-292,03</w:t>
            </w:r>
          </w:p>
        </w:tc>
        <w:tc>
          <w:tcPr>
            <w:tcW w:w="850" w:type="dxa"/>
            <w:tcBorders>
              <w:top w:val="nil"/>
              <w:left w:val="nil"/>
              <w:bottom w:val="single" w:sz="4" w:space="0" w:color="auto"/>
              <w:right w:val="single" w:sz="4" w:space="0" w:color="auto"/>
            </w:tcBorders>
            <w:shd w:val="clear" w:color="auto" w:fill="auto"/>
            <w:noWrap/>
            <w:vAlign w:val="bottom"/>
            <w:hideMark/>
          </w:tcPr>
          <w:p w14:paraId="1F1EC7F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45,20</w:t>
            </w:r>
          </w:p>
        </w:tc>
        <w:tc>
          <w:tcPr>
            <w:tcW w:w="709" w:type="dxa"/>
            <w:tcBorders>
              <w:top w:val="nil"/>
              <w:left w:val="nil"/>
              <w:bottom w:val="single" w:sz="4" w:space="0" w:color="auto"/>
              <w:right w:val="single" w:sz="4" w:space="0" w:color="auto"/>
            </w:tcBorders>
            <w:shd w:val="clear" w:color="auto" w:fill="auto"/>
            <w:noWrap/>
            <w:vAlign w:val="bottom"/>
            <w:hideMark/>
          </w:tcPr>
          <w:p w14:paraId="7AEA4F6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8,51</w:t>
            </w:r>
          </w:p>
        </w:tc>
        <w:tc>
          <w:tcPr>
            <w:tcW w:w="713" w:type="dxa"/>
            <w:tcBorders>
              <w:top w:val="nil"/>
              <w:left w:val="nil"/>
              <w:bottom w:val="single" w:sz="4" w:space="0" w:color="auto"/>
              <w:right w:val="single" w:sz="4" w:space="0" w:color="auto"/>
            </w:tcBorders>
            <w:shd w:val="clear" w:color="auto" w:fill="auto"/>
            <w:noWrap/>
            <w:vAlign w:val="bottom"/>
            <w:hideMark/>
          </w:tcPr>
          <w:p w14:paraId="09F437B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103,66</w:t>
            </w:r>
          </w:p>
        </w:tc>
      </w:tr>
      <w:tr w:rsidR="00827437" w:rsidRPr="00522104" w14:paraId="0163F1F0" w14:textId="77777777" w:rsidTr="00467069">
        <w:trPr>
          <w:trHeight w:val="501"/>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1325F7D"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жилищно-коммунального хозяйства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2485F52F"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768</w:t>
            </w:r>
          </w:p>
        </w:tc>
        <w:tc>
          <w:tcPr>
            <w:tcW w:w="851" w:type="dxa"/>
            <w:tcBorders>
              <w:top w:val="nil"/>
              <w:left w:val="nil"/>
              <w:bottom w:val="single" w:sz="4" w:space="0" w:color="auto"/>
              <w:right w:val="single" w:sz="4" w:space="0" w:color="auto"/>
            </w:tcBorders>
            <w:shd w:val="clear" w:color="auto" w:fill="auto"/>
            <w:noWrap/>
            <w:vAlign w:val="bottom"/>
            <w:hideMark/>
          </w:tcPr>
          <w:p w14:paraId="421BDD7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1,45</w:t>
            </w:r>
          </w:p>
        </w:tc>
        <w:tc>
          <w:tcPr>
            <w:tcW w:w="850" w:type="dxa"/>
            <w:tcBorders>
              <w:top w:val="nil"/>
              <w:left w:val="nil"/>
              <w:bottom w:val="single" w:sz="4" w:space="0" w:color="auto"/>
              <w:right w:val="single" w:sz="4" w:space="0" w:color="auto"/>
            </w:tcBorders>
            <w:shd w:val="clear" w:color="auto" w:fill="auto"/>
            <w:noWrap/>
            <w:vAlign w:val="bottom"/>
            <w:hideMark/>
          </w:tcPr>
          <w:p w14:paraId="420B424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1,65</w:t>
            </w:r>
          </w:p>
        </w:tc>
        <w:tc>
          <w:tcPr>
            <w:tcW w:w="851" w:type="dxa"/>
            <w:tcBorders>
              <w:top w:val="nil"/>
              <w:left w:val="nil"/>
              <w:bottom w:val="single" w:sz="4" w:space="0" w:color="auto"/>
              <w:right w:val="single" w:sz="4" w:space="0" w:color="auto"/>
            </w:tcBorders>
            <w:shd w:val="clear" w:color="auto" w:fill="auto"/>
            <w:noWrap/>
            <w:vAlign w:val="bottom"/>
            <w:hideMark/>
          </w:tcPr>
          <w:p w14:paraId="44FB15F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F862241"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0,90</w:t>
            </w:r>
          </w:p>
        </w:tc>
        <w:tc>
          <w:tcPr>
            <w:tcW w:w="851" w:type="dxa"/>
            <w:tcBorders>
              <w:top w:val="nil"/>
              <w:left w:val="nil"/>
              <w:bottom w:val="single" w:sz="4" w:space="0" w:color="auto"/>
              <w:right w:val="single" w:sz="4" w:space="0" w:color="auto"/>
            </w:tcBorders>
            <w:shd w:val="clear" w:color="auto" w:fill="auto"/>
            <w:noWrap/>
            <w:vAlign w:val="bottom"/>
            <w:hideMark/>
          </w:tcPr>
          <w:p w14:paraId="07DD180B"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7F01E5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1C98A6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-0,75</w:t>
            </w:r>
          </w:p>
        </w:tc>
        <w:tc>
          <w:tcPr>
            <w:tcW w:w="850" w:type="dxa"/>
            <w:tcBorders>
              <w:top w:val="nil"/>
              <w:left w:val="nil"/>
              <w:bottom w:val="single" w:sz="4" w:space="0" w:color="auto"/>
              <w:right w:val="single" w:sz="4" w:space="0" w:color="auto"/>
            </w:tcBorders>
            <w:shd w:val="clear" w:color="auto" w:fill="auto"/>
            <w:noWrap/>
            <w:vAlign w:val="bottom"/>
            <w:hideMark/>
          </w:tcPr>
          <w:p w14:paraId="0BCEBF1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54,55</w:t>
            </w:r>
          </w:p>
        </w:tc>
        <w:tc>
          <w:tcPr>
            <w:tcW w:w="709" w:type="dxa"/>
            <w:tcBorders>
              <w:top w:val="nil"/>
              <w:left w:val="nil"/>
              <w:bottom w:val="single" w:sz="4" w:space="0" w:color="auto"/>
              <w:right w:val="single" w:sz="4" w:space="0" w:color="auto"/>
            </w:tcBorders>
            <w:shd w:val="clear" w:color="auto" w:fill="auto"/>
            <w:noWrap/>
            <w:vAlign w:val="bottom"/>
            <w:hideMark/>
          </w:tcPr>
          <w:p w14:paraId="1584FDD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0,90</w:t>
            </w:r>
          </w:p>
        </w:tc>
        <w:tc>
          <w:tcPr>
            <w:tcW w:w="713" w:type="dxa"/>
            <w:tcBorders>
              <w:top w:val="nil"/>
              <w:left w:val="nil"/>
              <w:bottom w:val="single" w:sz="4" w:space="0" w:color="auto"/>
              <w:right w:val="single" w:sz="4" w:space="0" w:color="auto"/>
            </w:tcBorders>
            <w:shd w:val="clear" w:color="auto" w:fill="auto"/>
            <w:noWrap/>
            <w:vAlign w:val="bottom"/>
            <w:hideMark/>
          </w:tcPr>
          <w:p w14:paraId="2A0AF4F4"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067099B4" w14:textId="77777777" w:rsidTr="00467069">
        <w:trPr>
          <w:trHeight w:val="1257"/>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724527A0"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по делам гражданской обороны, защиты от чрезвычайных ситуаций и ликвидации последствий стихийных бедствий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620E221B"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769</w:t>
            </w:r>
          </w:p>
        </w:tc>
        <w:tc>
          <w:tcPr>
            <w:tcW w:w="851" w:type="dxa"/>
            <w:tcBorders>
              <w:top w:val="nil"/>
              <w:left w:val="nil"/>
              <w:bottom w:val="single" w:sz="4" w:space="0" w:color="auto"/>
              <w:right w:val="single" w:sz="4" w:space="0" w:color="auto"/>
            </w:tcBorders>
            <w:shd w:val="clear" w:color="auto" w:fill="auto"/>
            <w:noWrap/>
            <w:vAlign w:val="bottom"/>
            <w:hideMark/>
          </w:tcPr>
          <w:p w14:paraId="533F4A4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194,79</w:t>
            </w:r>
          </w:p>
        </w:tc>
        <w:tc>
          <w:tcPr>
            <w:tcW w:w="850" w:type="dxa"/>
            <w:tcBorders>
              <w:top w:val="nil"/>
              <w:left w:val="nil"/>
              <w:bottom w:val="single" w:sz="4" w:space="0" w:color="auto"/>
              <w:right w:val="single" w:sz="4" w:space="0" w:color="auto"/>
            </w:tcBorders>
            <w:shd w:val="clear" w:color="auto" w:fill="auto"/>
            <w:noWrap/>
            <w:vAlign w:val="bottom"/>
            <w:hideMark/>
          </w:tcPr>
          <w:p w14:paraId="3E11C29D"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315,85</w:t>
            </w:r>
          </w:p>
        </w:tc>
        <w:tc>
          <w:tcPr>
            <w:tcW w:w="851" w:type="dxa"/>
            <w:tcBorders>
              <w:top w:val="nil"/>
              <w:left w:val="nil"/>
              <w:bottom w:val="single" w:sz="4" w:space="0" w:color="auto"/>
              <w:right w:val="single" w:sz="4" w:space="0" w:color="auto"/>
            </w:tcBorders>
            <w:shd w:val="clear" w:color="auto" w:fill="auto"/>
            <w:noWrap/>
            <w:vAlign w:val="bottom"/>
            <w:hideMark/>
          </w:tcPr>
          <w:p w14:paraId="4A63D0A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144,54</w:t>
            </w:r>
          </w:p>
        </w:tc>
        <w:tc>
          <w:tcPr>
            <w:tcW w:w="850" w:type="dxa"/>
            <w:tcBorders>
              <w:top w:val="nil"/>
              <w:left w:val="nil"/>
              <w:bottom w:val="single" w:sz="4" w:space="0" w:color="auto"/>
              <w:right w:val="single" w:sz="4" w:space="0" w:color="auto"/>
            </w:tcBorders>
            <w:shd w:val="clear" w:color="auto" w:fill="auto"/>
            <w:noWrap/>
            <w:vAlign w:val="bottom"/>
            <w:hideMark/>
          </w:tcPr>
          <w:p w14:paraId="7249A6A2"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235,45</w:t>
            </w:r>
          </w:p>
        </w:tc>
        <w:tc>
          <w:tcPr>
            <w:tcW w:w="851" w:type="dxa"/>
            <w:tcBorders>
              <w:top w:val="nil"/>
              <w:left w:val="nil"/>
              <w:bottom w:val="single" w:sz="4" w:space="0" w:color="auto"/>
              <w:right w:val="single" w:sz="4" w:space="0" w:color="auto"/>
            </w:tcBorders>
            <w:shd w:val="clear" w:color="auto" w:fill="auto"/>
            <w:noWrap/>
            <w:vAlign w:val="bottom"/>
            <w:hideMark/>
          </w:tcPr>
          <w:p w14:paraId="0E8A859F"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144,54</w:t>
            </w:r>
          </w:p>
        </w:tc>
        <w:tc>
          <w:tcPr>
            <w:tcW w:w="850" w:type="dxa"/>
            <w:tcBorders>
              <w:top w:val="nil"/>
              <w:left w:val="nil"/>
              <w:bottom w:val="single" w:sz="4" w:space="0" w:color="auto"/>
              <w:right w:val="single" w:sz="4" w:space="0" w:color="auto"/>
            </w:tcBorders>
            <w:shd w:val="clear" w:color="auto" w:fill="auto"/>
            <w:noWrap/>
            <w:vAlign w:val="bottom"/>
            <w:hideMark/>
          </w:tcPr>
          <w:p w14:paraId="7334E67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144,54</w:t>
            </w:r>
          </w:p>
        </w:tc>
        <w:tc>
          <w:tcPr>
            <w:tcW w:w="851" w:type="dxa"/>
            <w:tcBorders>
              <w:top w:val="nil"/>
              <w:left w:val="nil"/>
              <w:bottom w:val="single" w:sz="4" w:space="0" w:color="auto"/>
              <w:right w:val="single" w:sz="4" w:space="0" w:color="auto"/>
            </w:tcBorders>
            <w:shd w:val="clear" w:color="auto" w:fill="auto"/>
            <w:noWrap/>
            <w:vAlign w:val="bottom"/>
            <w:hideMark/>
          </w:tcPr>
          <w:p w14:paraId="4F7A954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-80,40</w:t>
            </w:r>
          </w:p>
        </w:tc>
        <w:tc>
          <w:tcPr>
            <w:tcW w:w="850" w:type="dxa"/>
            <w:tcBorders>
              <w:top w:val="nil"/>
              <w:left w:val="nil"/>
              <w:bottom w:val="single" w:sz="4" w:space="0" w:color="auto"/>
              <w:right w:val="single" w:sz="4" w:space="0" w:color="auto"/>
            </w:tcBorders>
            <w:shd w:val="clear" w:color="auto" w:fill="auto"/>
            <w:noWrap/>
            <w:vAlign w:val="bottom"/>
            <w:hideMark/>
          </w:tcPr>
          <w:p w14:paraId="2CBCF4F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74,55</w:t>
            </w:r>
          </w:p>
        </w:tc>
        <w:tc>
          <w:tcPr>
            <w:tcW w:w="709" w:type="dxa"/>
            <w:tcBorders>
              <w:top w:val="nil"/>
              <w:left w:val="nil"/>
              <w:bottom w:val="single" w:sz="4" w:space="0" w:color="auto"/>
              <w:right w:val="single" w:sz="4" w:space="0" w:color="auto"/>
            </w:tcBorders>
            <w:shd w:val="clear" w:color="auto" w:fill="auto"/>
            <w:noWrap/>
            <w:vAlign w:val="bottom"/>
            <w:hideMark/>
          </w:tcPr>
          <w:p w14:paraId="680FA35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90,91</w:t>
            </w:r>
          </w:p>
        </w:tc>
        <w:tc>
          <w:tcPr>
            <w:tcW w:w="713" w:type="dxa"/>
            <w:tcBorders>
              <w:top w:val="nil"/>
              <w:left w:val="nil"/>
              <w:bottom w:val="single" w:sz="4" w:space="0" w:color="auto"/>
              <w:right w:val="single" w:sz="4" w:space="0" w:color="auto"/>
            </w:tcBorders>
            <w:shd w:val="clear" w:color="auto" w:fill="auto"/>
            <w:noWrap/>
            <w:vAlign w:val="bottom"/>
            <w:hideMark/>
          </w:tcPr>
          <w:p w14:paraId="3AF93B9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162,90</w:t>
            </w:r>
          </w:p>
        </w:tc>
      </w:tr>
      <w:tr w:rsidR="00827437" w:rsidRPr="00522104" w14:paraId="3BF8E32C" w14:textId="77777777" w:rsidTr="00467069">
        <w:trPr>
          <w:trHeight w:val="34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8C5538D"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Агентство по тарифам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352314CD"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770</w:t>
            </w:r>
          </w:p>
        </w:tc>
        <w:tc>
          <w:tcPr>
            <w:tcW w:w="851" w:type="dxa"/>
            <w:tcBorders>
              <w:top w:val="nil"/>
              <w:left w:val="nil"/>
              <w:bottom w:val="single" w:sz="4" w:space="0" w:color="auto"/>
              <w:right w:val="single" w:sz="4" w:space="0" w:color="auto"/>
            </w:tcBorders>
            <w:shd w:val="clear" w:color="auto" w:fill="auto"/>
            <w:noWrap/>
            <w:vAlign w:val="bottom"/>
            <w:hideMark/>
          </w:tcPr>
          <w:p w14:paraId="1DE1C86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52,74</w:t>
            </w:r>
          </w:p>
        </w:tc>
        <w:tc>
          <w:tcPr>
            <w:tcW w:w="850" w:type="dxa"/>
            <w:tcBorders>
              <w:top w:val="nil"/>
              <w:left w:val="nil"/>
              <w:bottom w:val="single" w:sz="4" w:space="0" w:color="auto"/>
              <w:right w:val="single" w:sz="4" w:space="0" w:color="auto"/>
            </w:tcBorders>
            <w:shd w:val="clear" w:color="auto" w:fill="auto"/>
            <w:noWrap/>
            <w:vAlign w:val="bottom"/>
            <w:hideMark/>
          </w:tcPr>
          <w:p w14:paraId="79D0E4C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60,41</w:t>
            </w:r>
          </w:p>
        </w:tc>
        <w:tc>
          <w:tcPr>
            <w:tcW w:w="851" w:type="dxa"/>
            <w:tcBorders>
              <w:top w:val="nil"/>
              <w:left w:val="nil"/>
              <w:bottom w:val="single" w:sz="4" w:space="0" w:color="auto"/>
              <w:right w:val="single" w:sz="4" w:space="0" w:color="auto"/>
            </w:tcBorders>
            <w:shd w:val="clear" w:color="auto" w:fill="auto"/>
            <w:noWrap/>
            <w:vAlign w:val="bottom"/>
            <w:hideMark/>
          </w:tcPr>
          <w:p w14:paraId="5DE5F20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53,25</w:t>
            </w:r>
          </w:p>
        </w:tc>
        <w:tc>
          <w:tcPr>
            <w:tcW w:w="850" w:type="dxa"/>
            <w:tcBorders>
              <w:top w:val="nil"/>
              <w:left w:val="nil"/>
              <w:bottom w:val="single" w:sz="4" w:space="0" w:color="auto"/>
              <w:right w:val="single" w:sz="4" w:space="0" w:color="auto"/>
            </w:tcBorders>
            <w:shd w:val="clear" w:color="auto" w:fill="auto"/>
            <w:noWrap/>
            <w:vAlign w:val="bottom"/>
            <w:hideMark/>
          </w:tcPr>
          <w:p w14:paraId="5982A586"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55,23</w:t>
            </w:r>
          </w:p>
        </w:tc>
        <w:tc>
          <w:tcPr>
            <w:tcW w:w="851" w:type="dxa"/>
            <w:tcBorders>
              <w:top w:val="nil"/>
              <w:left w:val="nil"/>
              <w:bottom w:val="single" w:sz="4" w:space="0" w:color="auto"/>
              <w:right w:val="single" w:sz="4" w:space="0" w:color="auto"/>
            </w:tcBorders>
            <w:shd w:val="clear" w:color="auto" w:fill="auto"/>
            <w:noWrap/>
            <w:vAlign w:val="bottom"/>
            <w:hideMark/>
          </w:tcPr>
          <w:p w14:paraId="0414DB40"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57,37</w:t>
            </w:r>
          </w:p>
        </w:tc>
        <w:tc>
          <w:tcPr>
            <w:tcW w:w="850" w:type="dxa"/>
            <w:tcBorders>
              <w:top w:val="nil"/>
              <w:left w:val="nil"/>
              <w:bottom w:val="single" w:sz="4" w:space="0" w:color="auto"/>
              <w:right w:val="single" w:sz="4" w:space="0" w:color="auto"/>
            </w:tcBorders>
            <w:shd w:val="clear" w:color="auto" w:fill="auto"/>
            <w:noWrap/>
            <w:vAlign w:val="bottom"/>
            <w:hideMark/>
          </w:tcPr>
          <w:p w14:paraId="2F2BEA5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59,60</w:t>
            </w:r>
          </w:p>
        </w:tc>
        <w:tc>
          <w:tcPr>
            <w:tcW w:w="851" w:type="dxa"/>
            <w:tcBorders>
              <w:top w:val="nil"/>
              <w:left w:val="nil"/>
              <w:bottom w:val="single" w:sz="4" w:space="0" w:color="auto"/>
              <w:right w:val="single" w:sz="4" w:space="0" w:color="auto"/>
            </w:tcBorders>
            <w:shd w:val="clear" w:color="auto" w:fill="auto"/>
            <w:noWrap/>
            <w:vAlign w:val="bottom"/>
            <w:hideMark/>
          </w:tcPr>
          <w:p w14:paraId="42CAA98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-5,18</w:t>
            </w:r>
          </w:p>
        </w:tc>
        <w:tc>
          <w:tcPr>
            <w:tcW w:w="850" w:type="dxa"/>
            <w:tcBorders>
              <w:top w:val="nil"/>
              <w:left w:val="nil"/>
              <w:bottom w:val="single" w:sz="4" w:space="0" w:color="auto"/>
              <w:right w:val="single" w:sz="4" w:space="0" w:color="auto"/>
            </w:tcBorders>
            <w:shd w:val="clear" w:color="auto" w:fill="auto"/>
            <w:noWrap/>
            <w:vAlign w:val="bottom"/>
            <w:hideMark/>
          </w:tcPr>
          <w:p w14:paraId="73D6A5A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91,43</w:t>
            </w:r>
          </w:p>
        </w:tc>
        <w:tc>
          <w:tcPr>
            <w:tcW w:w="709" w:type="dxa"/>
            <w:tcBorders>
              <w:top w:val="nil"/>
              <w:left w:val="nil"/>
              <w:bottom w:val="single" w:sz="4" w:space="0" w:color="auto"/>
              <w:right w:val="single" w:sz="4" w:space="0" w:color="auto"/>
            </w:tcBorders>
            <w:shd w:val="clear" w:color="auto" w:fill="auto"/>
            <w:noWrap/>
            <w:vAlign w:val="bottom"/>
            <w:hideMark/>
          </w:tcPr>
          <w:p w14:paraId="0C9D594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1,98</w:t>
            </w:r>
          </w:p>
        </w:tc>
        <w:tc>
          <w:tcPr>
            <w:tcW w:w="713" w:type="dxa"/>
            <w:tcBorders>
              <w:top w:val="nil"/>
              <w:left w:val="nil"/>
              <w:bottom w:val="single" w:sz="4" w:space="0" w:color="auto"/>
              <w:right w:val="single" w:sz="4" w:space="0" w:color="auto"/>
            </w:tcBorders>
            <w:shd w:val="clear" w:color="auto" w:fill="auto"/>
            <w:noWrap/>
            <w:vAlign w:val="bottom"/>
            <w:hideMark/>
          </w:tcPr>
          <w:p w14:paraId="0B75A99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103,71</w:t>
            </w:r>
          </w:p>
        </w:tc>
      </w:tr>
      <w:tr w:rsidR="00827437" w:rsidRPr="00522104" w14:paraId="561136D4"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562FE17B"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Департамент информационной политики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05EA0501"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771</w:t>
            </w:r>
          </w:p>
        </w:tc>
        <w:tc>
          <w:tcPr>
            <w:tcW w:w="851" w:type="dxa"/>
            <w:tcBorders>
              <w:top w:val="nil"/>
              <w:left w:val="nil"/>
              <w:bottom w:val="single" w:sz="4" w:space="0" w:color="auto"/>
              <w:right w:val="single" w:sz="4" w:space="0" w:color="auto"/>
            </w:tcBorders>
            <w:shd w:val="clear" w:color="auto" w:fill="auto"/>
            <w:noWrap/>
            <w:vAlign w:val="bottom"/>
            <w:hideMark/>
          </w:tcPr>
          <w:p w14:paraId="7DCE984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9B3EBD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15,00</w:t>
            </w:r>
          </w:p>
        </w:tc>
        <w:tc>
          <w:tcPr>
            <w:tcW w:w="851" w:type="dxa"/>
            <w:tcBorders>
              <w:top w:val="nil"/>
              <w:left w:val="nil"/>
              <w:bottom w:val="single" w:sz="4" w:space="0" w:color="auto"/>
              <w:right w:val="single" w:sz="4" w:space="0" w:color="auto"/>
            </w:tcBorders>
            <w:shd w:val="clear" w:color="auto" w:fill="auto"/>
            <w:noWrap/>
            <w:vAlign w:val="bottom"/>
            <w:hideMark/>
          </w:tcPr>
          <w:p w14:paraId="066BD5F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1FB9754"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BE9595D"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2163BB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9FCFF9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-15,00</w:t>
            </w:r>
          </w:p>
        </w:tc>
        <w:tc>
          <w:tcPr>
            <w:tcW w:w="850" w:type="dxa"/>
            <w:tcBorders>
              <w:top w:val="nil"/>
              <w:left w:val="nil"/>
              <w:bottom w:val="single" w:sz="4" w:space="0" w:color="auto"/>
              <w:right w:val="single" w:sz="4" w:space="0" w:color="auto"/>
            </w:tcBorders>
            <w:shd w:val="clear" w:color="auto" w:fill="auto"/>
            <w:noWrap/>
            <w:vAlign w:val="bottom"/>
            <w:hideMark/>
          </w:tcPr>
          <w:p w14:paraId="09E7361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612636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0A7C1A7F"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68D560EE" w14:textId="77777777" w:rsidTr="00467069">
        <w:trPr>
          <w:trHeight w:val="54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6D7141CC"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строительства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2CF626B2"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A37509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71C314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7,92</w:t>
            </w:r>
          </w:p>
        </w:tc>
        <w:tc>
          <w:tcPr>
            <w:tcW w:w="851" w:type="dxa"/>
            <w:tcBorders>
              <w:top w:val="nil"/>
              <w:left w:val="nil"/>
              <w:bottom w:val="single" w:sz="4" w:space="0" w:color="auto"/>
              <w:right w:val="single" w:sz="4" w:space="0" w:color="auto"/>
            </w:tcBorders>
            <w:shd w:val="clear" w:color="auto" w:fill="auto"/>
            <w:noWrap/>
            <w:vAlign w:val="bottom"/>
            <w:hideMark/>
          </w:tcPr>
          <w:p w14:paraId="4F9AA0F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A1F1F50"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1701479C"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724F5C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FF59F6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-7,92</w:t>
            </w:r>
          </w:p>
        </w:tc>
        <w:tc>
          <w:tcPr>
            <w:tcW w:w="850" w:type="dxa"/>
            <w:tcBorders>
              <w:top w:val="nil"/>
              <w:left w:val="nil"/>
              <w:bottom w:val="single" w:sz="4" w:space="0" w:color="auto"/>
              <w:right w:val="single" w:sz="4" w:space="0" w:color="auto"/>
            </w:tcBorders>
            <w:shd w:val="clear" w:color="auto" w:fill="auto"/>
            <w:noWrap/>
            <w:vAlign w:val="bottom"/>
            <w:hideMark/>
          </w:tcPr>
          <w:p w14:paraId="1CF1BAB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0093E49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44B4D828"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10077D98"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5CF46D11"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Государственная ветеринарная инспекция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28090084"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776</w:t>
            </w:r>
          </w:p>
        </w:tc>
        <w:tc>
          <w:tcPr>
            <w:tcW w:w="851" w:type="dxa"/>
            <w:tcBorders>
              <w:top w:val="nil"/>
              <w:left w:val="nil"/>
              <w:bottom w:val="single" w:sz="4" w:space="0" w:color="auto"/>
              <w:right w:val="single" w:sz="4" w:space="0" w:color="auto"/>
            </w:tcBorders>
            <w:shd w:val="clear" w:color="auto" w:fill="auto"/>
            <w:noWrap/>
            <w:vAlign w:val="bottom"/>
            <w:hideMark/>
          </w:tcPr>
          <w:p w14:paraId="7C658B8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28,27</w:t>
            </w:r>
          </w:p>
        </w:tc>
        <w:tc>
          <w:tcPr>
            <w:tcW w:w="850" w:type="dxa"/>
            <w:tcBorders>
              <w:top w:val="nil"/>
              <w:left w:val="nil"/>
              <w:bottom w:val="single" w:sz="4" w:space="0" w:color="auto"/>
              <w:right w:val="single" w:sz="4" w:space="0" w:color="auto"/>
            </w:tcBorders>
            <w:shd w:val="clear" w:color="auto" w:fill="auto"/>
            <w:noWrap/>
            <w:vAlign w:val="bottom"/>
            <w:hideMark/>
          </w:tcPr>
          <w:p w14:paraId="5EA700D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51,03</w:t>
            </w:r>
          </w:p>
        </w:tc>
        <w:tc>
          <w:tcPr>
            <w:tcW w:w="851" w:type="dxa"/>
            <w:tcBorders>
              <w:top w:val="nil"/>
              <w:left w:val="nil"/>
              <w:bottom w:val="single" w:sz="4" w:space="0" w:color="auto"/>
              <w:right w:val="single" w:sz="4" w:space="0" w:color="auto"/>
            </w:tcBorders>
            <w:shd w:val="clear" w:color="auto" w:fill="auto"/>
            <w:noWrap/>
            <w:vAlign w:val="bottom"/>
            <w:hideMark/>
          </w:tcPr>
          <w:p w14:paraId="47D79AC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28,31</w:t>
            </w:r>
          </w:p>
        </w:tc>
        <w:tc>
          <w:tcPr>
            <w:tcW w:w="850" w:type="dxa"/>
            <w:tcBorders>
              <w:top w:val="nil"/>
              <w:left w:val="nil"/>
              <w:bottom w:val="single" w:sz="4" w:space="0" w:color="auto"/>
              <w:right w:val="single" w:sz="4" w:space="0" w:color="auto"/>
            </w:tcBorders>
            <w:shd w:val="clear" w:color="auto" w:fill="auto"/>
            <w:noWrap/>
            <w:vAlign w:val="bottom"/>
            <w:hideMark/>
          </w:tcPr>
          <w:p w14:paraId="355AD037"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28,31</w:t>
            </w:r>
          </w:p>
        </w:tc>
        <w:tc>
          <w:tcPr>
            <w:tcW w:w="851" w:type="dxa"/>
            <w:tcBorders>
              <w:top w:val="nil"/>
              <w:left w:val="nil"/>
              <w:bottom w:val="single" w:sz="4" w:space="0" w:color="auto"/>
              <w:right w:val="single" w:sz="4" w:space="0" w:color="auto"/>
            </w:tcBorders>
            <w:shd w:val="clear" w:color="auto" w:fill="auto"/>
            <w:noWrap/>
            <w:vAlign w:val="bottom"/>
            <w:hideMark/>
          </w:tcPr>
          <w:p w14:paraId="77F29FB9"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28,31</w:t>
            </w:r>
          </w:p>
        </w:tc>
        <w:tc>
          <w:tcPr>
            <w:tcW w:w="850" w:type="dxa"/>
            <w:tcBorders>
              <w:top w:val="nil"/>
              <w:left w:val="nil"/>
              <w:bottom w:val="single" w:sz="4" w:space="0" w:color="auto"/>
              <w:right w:val="single" w:sz="4" w:space="0" w:color="auto"/>
            </w:tcBorders>
            <w:shd w:val="clear" w:color="auto" w:fill="auto"/>
            <w:noWrap/>
            <w:vAlign w:val="bottom"/>
            <w:hideMark/>
          </w:tcPr>
          <w:p w14:paraId="31E682E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28,31</w:t>
            </w:r>
          </w:p>
        </w:tc>
        <w:tc>
          <w:tcPr>
            <w:tcW w:w="851" w:type="dxa"/>
            <w:tcBorders>
              <w:top w:val="nil"/>
              <w:left w:val="nil"/>
              <w:bottom w:val="single" w:sz="4" w:space="0" w:color="auto"/>
              <w:right w:val="single" w:sz="4" w:space="0" w:color="auto"/>
            </w:tcBorders>
            <w:shd w:val="clear" w:color="auto" w:fill="auto"/>
            <w:noWrap/>
            <w:vAlign w:val="bottom"/>
            <w:hideMark/>
          </w:tcPr>
          <w:p w14:paraId="7339AEB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-22,72</w:t>
            </w:r>
          </w:p>
        </w:tc>
        <w:tc>
          <w:tcPr>
            <w:tcW w:w="850" w:type="dxa"/>
            <w:tcBorders>
              <w:top w:val="nil"/>
              <w:left w:val="nil"/>
              <w:bottom w:val="single" w:sz="4" w:space="0" w:color="auto"/>
              <w:right w:val="single" w:sz="4" w:space="0" w:color="auto"/>
            </w:tcBorders>
            <w:shd w:val="clear" w:color="auto" w:fill="auto"/>
            <w:noWrap/>
            <w:vAlign w:val="bottom"/>
            <w:hideMark/>
          </w:tcPr>
          <w:p w14:paraId="06F07C8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55,48</w:t>
            </w:r>
          </w:p>
        </w:tc>
        <w:tc>
          <w:tcPr>
            <w:tcW w:w="709" w:type="dxa"/>
            <w:tcBorders>
              <w:top w:val="nil"/>
              <w:left w:val="nil"/>
              <w:bottom w:val="single" w:sz="4" w:space="0" w:color="auto"/>
              <w:right w:val="single" w:sz="4" w:space="0" w:color="auto"/>
            </w:tcBorders>
            <w:shd w:val="clear" w:color="auto" w:fill="auto"/>
            <w:noWrap/>
            <w:vAlign w:val="bottom"/>
            <w:hideMark/>
          </w:tcPr>
          <w:p w14:paraId="52E6C73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7A75B0A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100,00</w:t>
            </w:r>
          </w:p>
        </w:tc>
      </w:tr>
      <w:tr w:rsidR="00827437" w:rsidRPr="00522104" w14:paraId="52937FED" w14:textId="77777777" w:rsidTr="00467069">
        <w:trPr>
          <w:trHeight w:val="78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0A69F23C"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государственного финансового контроля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1D7E9C40"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778</w:t>
            </w:r>
          </w:p>
        </w:tc>
        <w:tc>
          <w:tcPr>
            <w:tcW w:w="851" w:type="dxa"/>
            <w:tcBorders>
              <w:top w:val="nil"/>
              <w:left w:val="nil"/>
              <w:bottom w:val="single" w:sz="4" w:space="0" w:color="auto"/>
              <w:right w:val="single" w:sz="4" w:space="0" w:color="auto"/>
            </w:tcBorders>
            <w:shd w:val="clear" w:color="auto" w:fill="auto"/>
            <w:noWrap/>
            <w:vAlign w:val="bottom"/>
            <w:hideMark/>
          </w:tcPr>
          <w:p w14:paraId="1D3CFC6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39,50</w:t>
            </w:r>
          </w:p>
        </w:tc>
        <w:tc>
          <w:tcPr>
            <w:tcW w:w="850" w:type="dxa"/>
            <w:tcBorders>
              <w:top w:val="nil"/>
              <w:left w:val="nil"/>
              <w:bottom w:val="single" w:sz="4" w:space="0" w:color="auto"/>
              <w:right w:val="single" w:sz="4" w:space="0" w:color="auto"/>
            </w:tcBorders>
            <w:shd w:val="clear" w:color="auto" w:fill="auto"/>
            <w:noWrap/>
            <w:vAlign w:val="bottom"/>
            <w:hideMark/>
          </w:tcPr>
          <w:p w14:paraId="47AC856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43,80</w:t>
            </w:r>
          </w:p>
        </w:tc>
        <w:tc>
          <w:tcPr>
            <w:tcW w:w="851" w:type="dxa"/>
            <w:tcBorders>
              <w:top w:val="nil"/>
              <w:left w:val="nil"/>
              <w:bottom w:val="single" w:sz="4" w:space="0" w:color="auto"/>
              <w:right w:val="single" w:sz="4" w:space="0" w:color="auto"/>
            </w:tcBorders>
            <w:shd w:val="clear" w:color="auto" w:fill="auto"/>
            <w:noWrap/>
            <w:vAlign w:val="bottom"/>
            <w:hideMark/>
          </w:tcPr>
          <w:p w14:paraId="4087069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39,87</w:t>
            </w:r>
          </w:p>
        </w:tc>
        <w:tc>
          <w:tcPr>
            <w:tcW w:w="850" w:type="dxa"/>
            <w:tcBorders>
              <w:top w:val="nil"/>
              <w:left w:val="nil"/>
              <w:bottom w:val="single" w:sz="4" w:space="0" w:color="auto"/>
              <w:right w:val="single" w:sz="4" w:space="0" w:color="auto"/>
            </w:tcBorders>
            <w:shd w:val="clear" w:color="auto" w:fill="auto"/>
            <w:noWrap/>
            <w:vAlign w:val="bottom"/>
            <w:hideMark/>
          </w:tcPr>
          <w:p w14:paraId="17152CA5"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51,36</w:t>
            </w:r>
          </w:p>
        </w:tc>
        <w:tc>
          <w:tcPr>
            <w:tcW w:w="851" w:type="dxa"/>
            <w:tcBorders>
              <w:top w:val="nil"/>
              <w:left w:val="nil"/>
              <w:bottom w:val="single" w:sz="4" w:space="0" w:color="auto"/>
              <w:right w:val="single" w:sz="4" w:space="0" w:color="auto"/>
            </w:tcBorders>
            <w:shd w:val="clear" w:color="auto" w:fill="auto"/>
            <w:noWrap/>
            <w:vAlign w:val="bottom"/>
            <w:hideMark/>
          </w:tcPr>
          <w:p w14:paraId="225E8298"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42,94</w:t>
            </w:r>
          </w:p>
        </w:tc>
        <w:tc>
          <w:tcPr>
            <w:tcW w:w="850" w:type="dxa"/>
            <w:tcBorders>
              <w:top w:val="nil"/>
              <w:left w:val="nil"/>
              <w:bottom w:val="single" w:sz="4" w:space="0" w:color="auto"/>
              <w:right w:val="single" w:sz="4" w:space="0" w:color="auto"/>
            </w:tcBorders>
            <w:shd w:val="clear" w:color="auto" w:fill="auto"/>
            <w:noWrap/>
            <w:vAlign w:val="bottom"/>
            <w:hideMark/>
          </w:tcPr>
          <w:p w14:paraId="1EC4D41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44,59</w:t>
            </w:r>
          </w:p>
        </w:tc>
        <w:tc>
          <w:tcPr>
            <w:tcW w:w="851" w:type="dxa"/>
            <w:tcBorders>
              <w:top w:val="nil"/>
              <w:left w:val="nil"/>
              <w:bottom w:val="single" w:sz="4" w:space="0" w:color="auto"/>
              <w:right w:val="single" w:sz="4" w:space="0" w:color="auto"/>
            </w:tcBorders>
            <w:shd w:val="clear" w:color="auto" w:fill="auto"/>
            <w:noWrap/>
            <w:vAlign w:val="bottom"/>
            <w:hideMark/>
          </w:tcPr>
          <w:p w14:paraId="00094C2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7,56</w:t>
            </w:r>
          </w:p>
        </w:tc>
        <w:tc>
          <w:tcPr>
            <w:tcW w:w="850" w:type="dxa"/>
            <w:tcBorders>
              <w:top w:val="nil"/>
              <w:left w:val="nil"/>
              <w:bottom w:val="single" w:sz="4" w:space="0" w:color="auto"/>
              <w:right w:val="single" w:sz="4" w:space="0" w:color="auto"/>
            </w:tcBorders>
            <w:shd w:val="clear" w:color="auto" w:fill="auto"/>
            <w:noWrap/>
            <w:vAlign w:val="bottom"/>
            <w:hideMark/>
          </w:tcPr>
          <w:p w14:paraId="7FBB26D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117,27</w:t>
            </w:r>
          </w:p>
        </w:tc>
        <w:tc>
          <w:tcPr>
            <w:tcW w:w="709" w:type="dxa"/>
            <w:tcBorders>
              <w:top w:val="nil"/>
              <w:left w:val="nil"/>
              <w:bottom w:val="single" w:sz="4" w:space="0" w:color="auto"/>
              <w:right w:val="single" w:sz="4" w:space="0" w:color="auto"/>
            </w:tcBorders>
            <w:shd w:val="clear" w:color="auto" w:fill="auto"/>
            <w:noWrap/>
            <w:vAlign w:val="bottom"/>
            <w:hideMark/>
          </w:tcPr>
          <w:p w14:paraId="49CD180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11,49</w:t>
            </w:r>
          </w:p>
        </w:tc>
        <w:tc>
          <w:tcPr>
            <w:tcW w:w="713" w:type="dxa"/>
            <w:tcBorders>
              <w:top w:val="nil"/>
              <w:left w:val="nil"/>
              <w:bottom w:val="single" w:sz="4" w:space="0" w:color="auto"/>
              <w:right w:val="single" w:sz="4" w:space="0" w:color="auto"/>
            </w:tcBorders>
            <w:shd w:val="clear" w:color="auto" w:fill="auto"/>
            <w:noWrap/>
            <w:vAlign w:val="bottom"/>
            <w:hideMark/>
          </w:tcPr>
          <w:p w14:paraId="5C1FFF5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128,81</w:t>
            </w:r>
          </w:p>
        </w:tc>
      </w:tr>
      <w:tr w:rsidR="00827437" w:rsidRPr="00522104" w14:paraId="7138EC8E"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7F9F8055"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экономического развития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250B49E5"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784</w:t>
            </w:r>
          </w:p>
        </w:tc>
        <w:tc>
          <w:tcPr>
            <w:tcW w:w="851" w:type="dxa"/>
            <w:tcBorders>
              <w:top w:val="nil"/>
              <w:left w:val="nil"/>
              <w:bottom w:val="single" w:sz="4" w:space="0" w:color="auto"/>
              <w:right w:val="single" w:sz="4" w:space="0" w:color="auto"/>
            </w:tcBorders>
            <w:shd w:val="clear" w:color="auto" w:fill="auto"/>
            <w:noWrap/>
            <w:vAlign w:val="bottom"/>
            <w:hideMark/>
          </w:tcPr>
          <w:p w14:paraId="3D1EAA5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28,73</w:t>
            </w:r>
          </w:p>
        </w:tc>
        <w:tc>
          <w:tcPr>
            <w:tcW w:w="850" w:type="dxa"/>
            <w:tcBorders>
              <w:top w:val="nil"/>
              <w:left w:val="nil"/>
              <w:bottom w:val="single" w:sz="4" w:space="0" w:color="auto"/>
              <w:right w:val="single" w:sz="4" w:space="0" w:color="auto"/>
            </w:tcBorders>
            <w:shd w:val="clear" w:color="auto" w:fill="auto"/>
            <w:noWrap/>
            <w:vAlign w:val="bottom"/>
            <w:hideMark/>
          </w:tcPr>
          <w:p w14:paraId="5C797E6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28,73</w:t>
            </w:r>
          </w:p>
        </w:tc>
        <w:tc>
          <w:tcPr>
            <w:tcW w:w="851" w:type="dxa"/>
            <w:tcBorders>
              <w:top w:val="nil"/>
              <w:left w:val="nil"/>
              <w:bottom w:val="single" w:sz="4" w:space="0" w:color="auto"/>
              <w:right w:val="single" w:sz="4" w:space="0" w:color="auto"/>
            </w:tcBorders>
            <w:shd w:val="clear" w:color="auto" w:fill="auto"/>
            <w:noWrap/>
            <w:vAlign w:val="bottom"/>
            <w:hideMark/>
          </w:tcPr>
          <w:p w14:paraId="3BF33B7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D3D1C58"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2C754D30"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B1EEF9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5CDA8D2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-28,73</w:t>
            </w:r>
          </w:p>
        </w:tc>
        <w:tc>
          <w:tcPr>
            <w:tcW w:w="850" w:type="dxa"/>
            <w:tcBorders>
              <w:top w:val="nil"/>
              <w:left w:val="nil"/>
              <w:bottom w:val="single" w:sz="4" w:space="0" w:color="auto"/>
              <w:right w:val="single" w:sz="4" w:space="0" w:color="auto"/>
            </w:tcBorders>
            <w:shd w:val="clear" w:color="auto" w:fill="auto"/>
            <w:noWrap/>
            <w:vAlign w:val="bottom"/>
            <w:hideMark/>
          </w:tcPr>
          <w:p w14:paraId="476629C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355E510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7E572BD1"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5FF37993" w14:textId="77777777" w:rsidTr="00467069">
        <w:trPr>
          <w:trHeight w:val="154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FD7F8B3"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0B6CC146"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785</w:t>
            </w:r>
          </w:p>
        </w:tc>
        <w:tc>
          <w:tcPr>
            <w:tcW w:w="851" w:type="dxa"/>
            <w:tcBorders>
              <w:top w:val="nil"/>
              <w:left w:val="nil"/>
              <w:bottom w:val="single" w:sz="4" w:space="0" w:color="auto"/>
              <w:right w:val="single" w:sz="4" w:space="0" w:color="auto"/>
            </w:tcBorders>
            <w:shd w:val="clear" w:color="auto" w:fill="auto"/>
            <w:noWrap/>
            <w:vAlign w:val="bottom"/>
            <w:hideMark/>
          </w:tcPr>
          <w:p w14:paraId="663F508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26012A6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2,00</w:t>
            </w:r>
          </w:p>
        </w:tc>
        <w:tc>
          <w:tcPr>
            <w:tcW w:w="851" w:type="dxa"/>
            <w:tcBorders>
              <w:top w:val="nil"/>
              <w:left w:val="nil"/>
              <w:bottom w:val="single" w:sz="4" w:space="0" w:color="auto"/>
              <w:right w:val="single" w:sz="4" w:space="0" w:color="auto"/>
            </w:tcBorders>
            <w:shd w:val="clear" w:color="auto" w:fill="auto"/>
            <w:noWrap/>
            <w:vAlign w:val="bottom"/>
            <w:hideMark/>
          </w:tcPr>
          <w:p w14:paraId="15C57A3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3EDF83A"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B58B304"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4D89A8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44AC696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-2,00</w:t>
            </w:r>
          </w:p>
        </w:tc>
        <w:tc>
          <w:tcPr>
            <w:tcW w:w="850" w:type="dxa"/>
            <w:tcBorders>
              <w:top w:val="nil"/>
              <w:left w:val="nil"/>
              <w:bottom w:val="single" w:sz="4" w:space="0" w:color="auto"/>
              <w:right w:val="single" w:sz="4" w:space="0" w:color="auto"/>
            </w:tcBorders>
            <w:shd w:val="clear" w:color="auto" w:fill="auto"/>
            <w:noWrap/>
            <w:vAlign w:val="bottom"/>
            <w:hideMark/>
          </w:tcPr>
          <w:p w14:paraId="2553AD9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1638582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0A9A63CE"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4DF73FA4" w14:textId="77777777" w:rsidTr="00467069">
        <w:trPr>
          <w:trHeight w:val="78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1A8BEEE5"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Уполномоченный по защите прав предпринимателей в Приморском крае</w:t>
            </w:r>
          </w:p>
        </w:tc>
        <w:tc>
          <w:tcPr>
            <w:tcW w:w="425" w:type="dxa"/>
            <w:tcBorders>
              <w:top w:val="nil"/>
              <w:left w:val="nil"/>
              <w:bottom w:val="single" w:sz="4" w:space="0" w:color="auto"/>
              <w:right w:val="single" w:sz="4" w:space="0" w:color="auto"/>
            </w:tcBorders>
            <w:shd w:val="clear" w:color="auto" w:fill="auto"/>
            <w:noWrap/>
            <w:vAlign w:val="bottom"/>
            <w:hideMark/>
          </w:tcPr>
          <w:p w14:paraId="05588FA7"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786</w:t>
            </w:r>
          </w:p>
        </w:tc>
        <w:tc>
          <w:tcPr>
            <w:tcW w:w="851" w:type="dxa"/>
            <w:tcBorders>
              <w:top w:val="nil"/>
              <w:left w:val="nil"/>
              <w:bottom w:val="single" w:sz="4" w:space="0" w:color="auto"/>
              <w:right w:val="single" w:sz="4" w:space="0" w:color="auto"/>
            </w:tcBorders>
            <w:shd w:val="clear" w:color="auto" w:fill="auto"/>
            <w:noWrap/>
            <w:vAlign w:val="bottom"/>
            <w:hideMark/>
          </w:tcPr>
          <w:p w14:paraId="318B9F9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16,19</w:t>
            </w:r>
          </w:p>
        </w:tc>
        <w:tc>
          <w:tcPr>
            <w:tcW w:w="850" w:type="dxa"/>
            <w:tcBorders>
              <w:top w:val="nil"/>
              <w:left w:val="nil"/>
              <w:bottom w:val="single" w:sz="4" w:space="0" w:color="auto"/>
              <w:right w:val="single" w:sz="4" w:space="0" w:color="auto"/>
            </w:tcBorders>
            <w:shd w:val="clear" w:color="auto" w:fill="auto"/>
            <w:noWrap/>
            <w:vAlign w:val="bottom"/>
            <w:hideMark/>
          </w:tcPr>
          <w:p w14:paraId="5475ED8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16,32</w:t>
            </w:r>
          </w:p>
        </w:tc>
        <w:tc>
          <w:tcPr>
            <w:tcW w:w="851" w:type="dxa"/>
            <w:tcBorders>
              <w:top w:val="nil"/>
              <w:left w:val="nil"/>
              <w:bottom w:val="single" w:sz="4" w:space="0" w:color="auto"/>
              <w:right w:val="single" w:sz="4" w:space="0" w:color="auto"/>
            </w:tcBorders>
            <w:shd w:val="clear" w:color="auto" w:fill="auto"/>
            <w:noWrap/>
            <w:vAlign w:val="bottom"/>
            <w:hideMark/>
          </w:tcPr>
          <w:p w14:paraId="4B25F1B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16,32</w:t>
            </w:r>
          </w:p>
        </w:tc>
        <w:tc>
          <w:tcPr>
            <w:tcW w:w="850" w:type="dxa"/>
            <w:tcBorders>
              <w:top w:val="nil"/>
              <w:left w:val="nil"/>
              <w:bottom w:val="single" w:sz="4" w:space="0" w:color="auto"/>
              <w:right w:val="single" w:sz="4" w:space="0" w:color="auto"/>
            </w:tcBorders>
            <w:shd w:val="clear" w:color="auto" w:fill="auto"/>
            <w:noWrap/>
            <w:vAlign w:val="bottom"/>
            <w:hideMark/>
          </w:tcPr>
          <w:p w14:paraId="09B6D0A0"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16,84</w:t>
            </w:r>
          </w:p>
        </w:tc>
        <w:tc>
          <w:tcPr>
            <w:tcW w:w="851" w:type="dxa"/>
            <w:tcBorders>
              <w:top w:val="nil"/>
              <w:left w:val="nil"/>
              <w:bottom w:val="single" w:sz="4" w:space="0" w:color="auto"/>
              <w:right w:val="single" w:sz="4" w:space="0" w:color="auto"/>
            </w:tcBorders>
            <w:shd w:val="clear" w:color="auto" w:fill="auto"/>
            <w:noWrap/>
            <w:vAlign w:val="bottom"/>
            <w:hideMark/>
          </w:tcPr>
          <w:p w14:paraId="456E471E"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17,39</w:t>
            </w:r>
          </w:p>
        </w:tc>
        <w:tc>
          <w:tcPr>
            <w:tcW w:w="850" w:type="dxa"/>
            <w:tcBorders>
              <w:top w:val="nil"/>
              <w:left w:val="nil"/>
              <w:bottom w:val="single" w:sz="4" w:space="0" w:color="auto"/>
              <w:right w:val="single" w:sz="4" w:space="0" w:color="auto"/>
            </w:tcBorders>
            <w:shd w:val="clear" w:color="auto" w:fill="auto"/>
            <w:noWrap/>
            <w:vAlign w:val="bottom"/>
            <w:hideMark/>
          </w:tcPr>
          <w:p w14:paraId="32AB1E32"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17,97</w:t>
            </w:r>
          </w:p>
        </w:tc>
        <w:tc>
          <w:tcPr>
            <w:tcW w:w="851" w:type="dxa"/>
            <w:tcBorders>
              <w:top w:val="nil"/>
              <w:left w:val="nil"/>
              <w:bottom w:val="single" w:sz="4" w:space="0" w:color="auto"/>
              <w:right w:val="single" w:sz="4" w:space="0" w:color="auto"/>
            </w:tcBorders>
            <w:shd w:val="clear" w:color="auto" w:fill="auto"/>
            <w:noWrap/>
            <w:vAlign w:val="bottom"/>
            <w:hideMark/>
          </w:tcPr>
          <w:p w14:paraId="69B224E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0,52</w:t>
            </w:r>
          </w:p>
        </w:tc>
        <w:tc>
          <w:tcPr>
            <w:tcW w:w="850" w:type="dxa"/>
            <w:tcBorders>
              <w:top w:val="nil"/>
              <w:left w:val="nil"/>
              <w:bottom w:val="single" w:sz="4" w:space="0" w:color="auto"/>
              <w:right w:val="single" w:sz="4" w:space="0" w:color="auto"/>
            </w:tcBorders>
            <w:shd w:val="clear" w:color="auto" w:fill="auto"/>
            <w:noWrap/>
            <w:vAlign w:val="bottom"/>
            <w:hideMark/>
          </w:tcPr>
          <w:p w14:paraId="723E895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103,22</w:t>
            </w:r>
          </w:p>
        </w:tc>
        <w:tc>
          <w:tcPr>
            <w:tcW w:w="709" w:type="dxa"/>
            <w:tcBorders>
              <w:top w:val="nil"/>
              <w:left w:val="nil"/>
              <w:bottom w:val="single" w:sz="4" w:space="0" w:color="auto"/>
              <w:right w:val="single" w:sz="4" w:space="0" w:color="auto"/>
            </w:tcBorders>
            <w:shd w:val="clear" w:color="auto" w:fill="auto"/>
            <w:noWrap/>
            <w:vAlign w:val="bottom"/>
            <w:hideMark/>
          </w:tcPr>
          <w:p w14:paraId="6428674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0,52</w:t>
            </w:r>
          </w:p>
        </w:tc>
        <w:tc>
          <w:tcPr>
            <w:tcW w:w="713" w:type="dxa"/>
            <w:tcBorders>
              <w:top w:val="nil"/>
              <w:left w:val="nil"/>
              <w:bottom w:val="single" w:sz="4" w:space="0" w:color="auto"/>
              <w:right w:val="single" w:sz="4" w:space="0" w:color="auto"/>
            </w:tcBorders>
            <w:shd w:val="clear" w:color="auto" w:fill="auto"/>
            <w:noWrap/>
            <w:vAlign w:val="bottom"/>
            <w:hideMark/>
          </w:tcPr>
          <w:p w14:paraId="7D0F45D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103,19</w:t>
            </w:r>
          </w:p>
        </w:tc>
      </w:tr>
      <w:tr w:rsidR="00827437" w:rsidRPr="00522104" w14:paraId="1FE807A6"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1515E35"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Департамент внутренней политики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4997D2BF"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789</w:t>
            </w:r>
          </w:p>
        </w:tc>
        <w:tc>
          <w:tcPr>
            <w:tcW w:w="851" w:type="dxa"/>
            <w:tcBorders>
              <w:top w:val="nil"/>
              <w:left w:val="nil"/>
              <w:bottom w:val="single" w:sz="4" w:space="0" w:color="auto"/>
              <w:right w:val="single" w:sz="4" w:space="0" w:color="auto"/>
            </w:tcBorders>
            <w:shd w:val="clear" w:color="auto" w:fill="auto"/>
            <w:noWrap/>
            <w:vAlign w:val="bottom"/>
            <w:hideMark/>
          </w:tcPr>
          <w:p w14:paraId="607CCBC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67,46</w:t>
            </w:r>
          </w:p>
        </w:tc>
        <w:tc>
          <w:tcPr>
            <w:tcW w:w="850" w:type="dxa"/>
            <w:tcBorders>
              <w:top w:val="nil"/>
              <w:left w:val="nil"/>
              <w:bottom w:val="single" w:sz="4" w:space="0" w:color="auto"/>
              <w:right w:val="single" w:sz="4" w:space="0" w:color="auto"/>
            </w:tcBorders>
            <w:shd w:val="clear" w:color="auto" w:fill="auto"/>
            <w:noWrap/>
            <w:vAlign w:val="bottom"/>
            <w:hideMark/>
          </w:tcPr>
          <w:p w14:paraId="2EA20B0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78,19</w:t>
            </w:r>
          </w:p>
        </w:tc>
        <w:tc>
          <w:tcPr>
            <w:tcW w:w="851" w:type="dxa"/>
            <w:tcBorders>
              <w:top w:val="nil"/>
              <w:left w:val="nil"/>
              <w:bottom w:val="single" w:sz="4" w:space="0" w:color="auto"/>
              <w:right w:val="single" w:sz="4" w:space="0" w:color="auto"/>
            </w:tcBorders>
            <w:shd w:val="clear" w:color="auto" w:fill="auto"/>
            <w:noWrap/>
            <w:vAlign w:val="bottom"/>
            <w:hideMark/>
          </w:tcPr>
          <w:p w14:paraId="198CCEF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67,94</w:t>
            </w:r>
          </w:p>
        </w:tc>
        <w:tc>
          <w:tcPr>
            <w:tcW w:w="850" w:type="dxa"/>
            <w:tcBorders>
              <w:top w:val="nil"/>
              <w:left w:val="nil"/>
              <w:bottom w:val="single" w:sz="4" w:space="0" w:color="auto"/>
              <w:right w:val="single" w:sz="4" w:space="0" w:color="auto"/>
            </w:tcBorders>
            <w:shd w:val="clear" w:color="auto" w:fill="auto"/>
            <w:noWrap/>
            <w:vAlign w:val="bottom"/>
            <w:hideMark/>
          </w:tcPr>
          <w:p w14:paraId="49EC12D9"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88,80</w:t>
            </w:r>
          </w:p>
        </w:tc>
        <w:tc>
          <w:tcPr>
            <w:tcW w:w="851" w:type="dxa"/>
            <w:tcBorders>
              <w:top w:val="nil"/>
              <w:left w:val="nil"/>
              <w:bottom w:val="single" w:sz="4" w:space="0" w:color="auto"/>
              <w:right w:val="single" w:sz="4" w:space="0" w:color="auto"/>
            </w:tcBorders>
            <w:shd w:val="clear" w:color="auto" w:fill="auto"/>
            <w:noWrap/>
            <w:vAlign w:val="bottom"/>
            <w:hideMark/>
          </w:tcPr>
          <w:p w14:paraId="009BEF1E"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72,70</w:t>
            </w:r>
          </w:p>
        </w:tc>
        <w:tc>
          <w:tcPr>
            <w:tcW w:w="850" w:type="dxa"/>
            <w:tcBorders>
              <w:top w:val="nil"/>
              <w:left w:val="nil"/>
              <w:bottom w:val="single" w:sz="4" w:space="0" w:color="auto"/>
              <w:right w:val="single" w:sz="4" w:space="0" w:color="auto"/>
            </w:tcBorders>
            <w:shd w:val="clear" w:color="auto" w:fill="auto"/>
            <w:noWrap/>
            <w:vAlign w:val="bottom"/>
            <w:hideMark/>
          </w:tcPr>
          <w:p w14:paraId="7931150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74,83</w:t>
            </w:r>
          </w:p>
        </w:tc>
        <w:tc>
          <w:tcPr>
            <w:tcW w:w="851" w:type="dxa"/>
            <w:tcBorders>
              <w:top w:val="nil"/>
              <w:left w:val="nil"/>
              <w:bottom w:val="single" w:sz="4" w:space="0" w:color="auto"/>
              <w:right w:val="single" w:sz="4" w:space="0" w:color="auto"/>
            </w:tcBorders>
            <w:shd w:val="clear" w:color="auto" w:fill="auto"/>
            <w:noWrap/>
            <w:vAlign w:val="bottom"/>
            <w:hideMark/>
          </w:tcPr>
          <w:p w14:paraId="6B00CA8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10,61</w:t>
            </w:r>
          </w:p>
        </w:tc>
        <w:tc>
          <w:tcPr>
            <w:tcW w:w="850" w:type="dxa"/>
            <w:tcBorders>
              <w:top w:val="nil"/>
              <w:left w:val="nil"/>
              <w:bottom w:val="single" w:sz="4" w:space="0" w:color="auto"/>
              <w:right w:val="single" w:sz="4" w:space="0" w:color="auto"/>
            </w:tcBorders>
            <w:shd w:val="clear" w:color="auto" w:fill="auto"/>
            <w:noWrap/>
            <w:vAlign w:val="bottom"/>
            <w:hideMark/>
          </w:tcPr>
          <w:p w14:paraId="1866240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113,56</w:t>
            </w:r>
          </w:p>
        </w:tc>
        <w:tc>
          <w:tcPr>
            <w:tcW w:w="709" w:type="dxa"/>
            <w:tcBorders>
              <w:top w:val="nil"/>
              <w:left w:val="nil"/>
              <w:bottom w:val="single" w:sz="4" w:space="0" w:color="auto"/>
              <w:right w:val="single" w:sz="4" w:space="0" w:color="auto"/>
            </w:tcBorders>
            <w:shd w:val="clear" w:color="auto" w:fill="auto"/>
            <w:noWrap/>
            <w:vAlign w:val="bottom"/>
            <w:hideMark/>
          </w:tcPr>
          <w:p w14:paraId="21805CE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20,86</w:t>
            </w:r>
          </w:p>
        </w:tc>
        <w:tc>
          <w:tcPr>
            <w:tcW w:w="713" w:type="dxa"/>
            <w:tcBorders>
              <w:top w:val="nil"/>
              <w:left w:val="nil"/>
              <w:bottom w:val="single" w:sz="4" w:space="0" w:color="auto"/>
              <w:right w:val="single" w:sz="4" w:space="0" w:color="auto"/>
            </w:tcBorders>
            <w:shd w:val="clear" w:color="auto" w:fill="auto"/>
            <w:noWrap/>
            <w:vAlign w:val="bottom"/>
            <w:hideMark/>
          </w:tcPr>
          <w:p w14:paraId="5478231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130,70</w:t>
            </w:r>
          </w:p>
        </w:tc>
      </w:tr>
      <w:tr w:rsidR="00827437" w:rsidRPr="00522104" w14:paraId="257490F1" w14:textId="77777777" w:rsidTr="00467069">
        <w:trPr>
          <w:trHeight w:val="78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37A254D"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природных ресурсов и охраны окружающей среды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1FF5C514"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790</w:t>
            </w:r>
          </w:p>
        </w:tc>
        <w:tc>
          <w:tcPr>
            <w:tcW w:w="851" w:type="dxa"/>
            <w:tcBorders>
              <w:top w:val="nil"/>
              <w:left w:val="nil"/>
              <w:bottom w:val="single" w:sz="4" w:space="0" w:color="auto"/>
              <w:right w:val="single" w:sz="4" w:space="0" w:color="auto"/>
            </w:tcBorders>
            <w:shd w:val="clear" w:color="auto" w:fill="auto"/>
            <w:noWrap/>
            <w:vAlign w:val="bottom"/>
            <w:hideMark/>
          </w:tcPr>
          <w:p w14:paraId="32965C6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4D63572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4,72</w:t>
            </w:r>
          </w:p>
        </w:tc>
        <w:tc>
          <w:tcPr>
            <w:tcW w:w="851" w:type="dxa"/>
            <w:tcBorders>
              <w:top w:val="nil"/>
              <w:left w:val="nil"/>
              <w:bottom w:val="single" w:sz="4" w:space="0" w:color="auto"/>
              <w:right w:val="single" w:sz="4" w:space="0" w:color="auto"/>
            </w:tcBorders>
            <w:shd w:val="clear" w:color="auto" w:fill="auto"/>
            <w:noWrap/>
            <w:vAlign w:val="bottom"/>
            <w:hideMark/>
          </w:tcPr>
          <w:p w14:paraId="7713191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32B61106"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0DB7D74B"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0CB0FF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931628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-4,72</w:t>
            </w:r>
          </w:p>
        </w:tc>
        <w:tc>
          <w:tcPr>
            <w:tcW w:w="850" w:type="dxa"/>
            <w:tcBorders>
              <w:top w:val="nil"/>
              <w:left w:val="nil"/>
              <w:bottom w:val="single" w:sz="4" w:space="0" w:color="auto"/>
              <w:right w:val="single" w:sz="4" w:space="0" w:color="auto"/>
            </w:tcBorders>
            <w:shd w:val="clear" w:color="auto" w:fill="auto"/>
            <w:noWrap/>
            <w:vAlign w:val="bottom"/>
            <w:hideMark/>
          </w:tcPr>
          <w:p w14:paraId="269CE9E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6CC5D9C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7D4043C3"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508ADE9F" w14:textId="77777777" w:rsidTr="00467069">
        <w:trPr>
          <w:trHeight w:val="20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03E94632"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по регулированию контрактной системы в сфере закупок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27369B12"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796</w:t>
            </w:r>
          </w:p>
        </w:tc>
        <w:tc>
          <w:tcPr>
            <w:tcW w:w="851" w:type="dxa"/>
            <w:tcBorders>
              <w:top w:val="nil"/>
              <w:left w:val="nil"/>
              <w:bottom w:val="single" w:sz="4" w:space="0" w:color="auto"/>
              <w:right w:val="single" w:sz="4" w:space="0" w:color="auto"/>
            </w:tcBorders>
            <w:shd w:val="clear" w:color="auto" w:fill="auto"/>
            <w:noWrap/>
            <w:vAlign w:val="bottom"/>
            <w:hideMark/>
          </w:tcPr>
          <w:p w14:paraId="74E7D02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69,69</w:t>
            </w:r>
          </w:p>
        </w:tc>
        <w:tc>
          <w:tcPr>
            <w:tcW w:w="850" w:type="dxa"/>
            <w:tcBorders>
              <w:top w:val="nil"/>
              <w:left w:val="nil"/>
              <w:bottom w:val="single" w:sz="4" w:space="0" w:color="auto"/>
              <w:right w:val="single" w:sz="4" w:space="0" w:color="auto"/>
            </w:tcBorders>
            <w:shd w:val="clear" w:color="auto" w:fill="auto"/>
            <w:noWrap/>
            <w:vAlign w:val="bottom"/>
            <w:hideMark/>
          </w:tcPr>
          <w:p w14:paraId="7C28BD4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101,13</w:t>
            </w:r>
          </w:p>
        </w:tc>
        <w:tc>
          <w:tcPr>
            <w:tcW w:w="851" w:type="dxa"/>
            <w:tcBorders>
              <w:top w:val="nil"/>
              <w:left w:val="nil"/>
              <w:bottom w:val="single" w:sz="4" w:space="0" w:color="auto"/>
              <w:right w:val="single" w:sz="4" w:space="0" w:color="auto"/>
            </w:tcBorders>
            <w:shd w:val="clear" w:color="auto" w:fill="auto"/>
            <w:noWrap/>
            <w:vAlign w:val="bottom"/>
            <w:hideMark/>
          </w:tcPr>
          <w:p w14:paraId="41F35D6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70,29</w:t>
            </w:r>
          </w:p>
        </w:tc>
        <w:tc>
          <w:tcPr>
            <w:tcW w:w="850" w:type="dxa"/>
            <w:tcBorders>
              <w:top w:val="nil"/>
              <w:left w:val="nil"/>
              <w:bottom w:val="single" w:sz="4" w:space="0" w:color="auto"/>
              <w:right w:val="single" w:sz="4" w:space="0" w:color="auto"/>
            </w:tcBorders>
            <w:shd w:val="clear" w:color="auto" w:fill="auto"/>
            <w:noWrap/>
            <w:vAlign w:val="bottom"/>
            <w:hideMark/>
          </w:tcPr>
          <w:p w14:paraId="30544E28"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101,85</w:t>
            </w:r>
          </w:p>
        </w:tc>
        <w:tc>
          <w:tcPr>
            <w:tcW w:w="851" w:type="dxa"/>
            <w:tcBorders>
              <w:top w:val="nil"/>
              <w:left w:val="nil"/>
              <w:bottom w:val="single" w:sz="4" w:space="0" w:color="auto"/>
              <w:right w:val="single" w:sz="4" w:space="0" w:color="auto"/>
            </w:tcBorders>
            <w:shd w:val="clear" w:color="auto" w:fill="auto"/>
            <w:noWrap/>
            <w:vAlign w:val="bottom"/>
            <w:hideMark/>
          </w:tcPr>
          <w:p w14:paraId="2D471E69"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105,49</w:t>
            </w:r>
          </w:p>
        </w:tc>
        <w:tc>
          <w:tcPr>
            <w:tcW w:w="850" w:type="dxa"/>
            <w:tcBorders>
              <w:top w:val="nil"/>
              <w:left w:val="nil"/>
              <w:bottom w:val="single" w:sz="4" w:space="0" w:color="auto"/>
              <w:right w:val="single" w:sz="4" w:space="0" w:color="auto"/>
            </w:tcBorders>
            <w:shd w:val="clear" w:color="auto" w:fill="auto"/>
            <w:noWrap/>
            <w:vAlign w:val="bottom"/>
            <w:hideMark/>
          </w:tcPr>
          <w:p w14:paraId="1C667FB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109,29</w:t>
            </w:r>
          </w:p>
        </w:tc>
        <w:tc>
          <w:tcPr>
            <w:tcW w:w="851" w:type="dxa"/>
            <w:tcBorders>
              <w:top w:val="nil"/>
              <w:left w:val="nil"/>
              <w:bottom w:val="single" w:sz="4" w:space="0" w:color="auto"/>
              <w:right w:val="single" w:sz="4" w:space="0" w:color="auto"/>
            </w:tcBorders>
            <w:shd w:val="clear" w:color="auto" w:fill="auto"/>
            <w:noWrap/>
            <w:vAlign w:val="bottom"/>
            <w:hideMark/>
          </w:tcPr>
          <w:p w14:paraId="233EFDC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0,72</w:t>
            </w:r>
          </w:p>
        </w:tc>
        <w:tc>
          <w:tcPr>
            <w:tcW w:w="850" w:type="dxa"/>
            <w:tcBorders>
              <w:top w:val="nil"/>
              <w:left w:val="nil"/>
              <w:bottom w:val="single" w:sz="4" w:space="0" w:color="auto"/>
              <w:right w:val="single" w:sz="4" w:space="0" w:color="auto"/>
            </w:tcBorders>
            <w:shd w:val="clear" w:color="auto" w:fill="auto"/>
            <w:noWrap/>
            <w:vAlign w:val="bottom"/>
            <w:hideMark/>
          </w:tcPr>
          <w:p w14:paraId="4299A04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100,71</w:t>
            </w:r>
          </w:p>
        </w:tc>
        <w:tc>
          <w:tcPr>
            <w:tcW w:w="709" w:type="dxa"/>
            <w:tcBorders>
              <w:top w:val="nil"/>
              <w:left w:val="nil"/>
              <w:bottom w:val="single" w:sz="4" w:space="0" w:color="auto"/>
              <w:right w:val="single" w:sz="4" w:space="0" w:color="auto"/>
            </w:tcBorders>
            <w:shd w:val="clear" w:color="auto" w:fill="auto"/>
            <w:noWrap/>
            <w:vAlign w:val="bottom"/>
            <w:hideMark/>
          </w:tcPr>
          <w:p w14:paraId="1AA631A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31,55</w:t>
            </w:r>
          </w:p>
        </w:tc>
        <w:tc>
          <w:tcPr>
            <w:tcW w:w="713" w:type="dxa"/>
            <w:tcBorders>
              <w:top w:val="nil"/>
              <w:left w:val="nil"/>
              <w:bottom w:val="single" w:sz="4" w:space="0" w:color="auto"/>
              <w:right w:val="single" w:sz="4" w:space="0" w:color="auto"/>
            </w:tcBorders>
            <w:shd w:val="clear" w:color="auto" w:fill="auto"/>
            <w:noWrap/>
            <w:vAlign w:val="bottom"/>
            <w:hideMark/>
          </w:tcPr>
          <w:p w14:paraId="74CBFBE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144,89</w:t>
            </w:r>
          </w:p>
        </w:tc>
      </w:tr>
      <w:tr w:rsidR="00827437" w:rsidRPr="00522104" w14:paraId="631C1F7D" w14:textId="77777777" w:rsidTr="00467069">
        <w:trPr>
          <w:trHeight w:val="129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7A8B6B93"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Департамент по защите государственной тайны, информационной безопасности и мобилизационной подготовки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51AAE33B"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797</w:t>
            </w:r>
          </w:p>
        </w:tc>
        <w:tc>
          <w:tcPr>
            <w:tcW w:w="851" w:type="dxa"/>
            <w:tcBorders>
              <w:top w:val="nil"/>
              <w:left w:val="nil"/>
              <w:bottom w:val="single" w:sz="4" w:space="0" w:color="auto"/>
              <w:right w:val="single" w:sz="4" w:space="0" w:color="auto"/>
            </w:tcBorders>
            <w:shd w:val="clear" w:color="auto" w:fill="auto"/>
            <w:noWrap/>
            <w:vAlign w:val="bottom"/>
            <w:hideMark/>
          </w:tcPr>
          <w:p w14:paraId="23DC3FF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31,95</w:t>
            </w:r>
          </w:p>
        </w:tc>
        <w:tc>
          <w:tcPr>
            <w:tcW w:w="850" w:type="dxa"/>
            <w:tcBorders>
              <w:top w:val="nil"/>
              <w:left w:val="nil"/>
              <w:bottom w:val="single" w:sz="4" w:space="0" w:color="auto"/>
              <w:right w:val="single" w:sz="4" w:space="0" w:color="auto"/>
            </w:tcBorders>
            <w:shd w:val="clear" w:color="auto" w:fill="auto"/>
            <w:noWrap/>
            <w:vAlign w:val="bottom"/>
            <w:hideMark/>
          </w:tcPr>
          <w:p w14:paraId="538E2E3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39,10</w:t>
            </w:r>
          </w:p>
        </w:tc>
        <w:tc>
          <w:tcPr>
            <w:tcW w:w="851" w:type="dxa"/>
            <w:tcBorders>
              <w:top w:val="nil"/>
              <w:left w:val="nil"/>
              <w:bottom w:val="single" w:sz="4" w:space="0" w:color="auto"/>
              <w:right w:val="single" w:sz="4" w:space="0" w:color="auto"/>
            </w:tcBorders>
            <w:shd w:val="clear" w:color="auto" w:fill="auto"/>
            <w:noWrap/>
            <w:vAlign w:val="bottom"/>
            <w:hideMark/>
          </w:tcPr>
          <w:p w14:paraId="10908F4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33,47</w:t>
            </w:r>
          </w:p>
        </w:tc>
        <w:tc>
          <w:tcPr>
            <w:tcW w:w="850" w:type="dxa"/>
            <w:tcBorders>
              <w:top w:val="nil"/>
              <w:left w:val="nil"/>
              <w:bottom w:val="single" w:sz="4" w:space="0" w:color="auto"/>
              <w:right w:val="single" w:sz="4" w:space="0" w:color="auto"/>
            </w:tcBorders>
            <w:shd w:val="clear" w:color="auto" w:fill="auto"/>
            <w:noWrap/>
            <w:vAlign w:val="bottom"/>
            <w:hideMark/>
          </w:tcPr>
          <w:p w14:paraId="14D5B50B"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36,79</w:t>
            </w:r>
          </w:p>
        </w:tc>
        <w:tc>
          <w:tcPr>
            <w:tcW w:w="851" w:type="dxa"/>
            <w:tcBorders>
              <w:top w:val="nil"/>
              <w:left w:val="nil"/>
              <w:bottom w:val="single" w:sz="4" w:space="0" w:color="auto"/>
              <w:right w:val="single" w:sz="4" w:space="0" w:color="auto"/>
            </w:tcBorders>
            <w:shd w:val="clear" w:color="auto" w:fill="auto"/>
            <w:noWrap/>
            <w:vAlign w:val="bottom"/>
            <w:hideMark/>
          </w:tcPr>
          <w:p w14:paraId="658F3272"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38,05</w:t>
            </w:r>
          </w:p>
        </w:tc>
        <w:tc>
          <w:tcPr>
            <w:tcW w:w="850" w:type="dxa"/>
            <w:tcBorders>
              <w:top w:val="nil"/>
              <w:left w:val="nil"/>
              <w:bottom w:val="single" w:sz="4" w:space="0" w:color="auto"/>
              <w:right w:val="single" w:sz="4" w:space="0" w:color="auto"/>
            </w:tcBorders>
            <w:shd w:val="clear" w:color="auto" w:fill="auto"/>
            <w:noWrap/>
            <w:vAlign w:val="bottom"/>
            <w:hideMark/>
          </w:tcPr>
          <w:p w14:paraId="418F3C3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39,35</w:t>
            </w:r>
          </w:p>
        </w:tc>
        <w:tc>
          <w:tcPr>
            <w:tcW w:w="851" w:type="dxa"/>
            <w:tcBorders>
              <w:top w:val="nil"/>
              <w:left w:val="nil"/>
              <w:bottom w:val="single" w:sz="4" w:space="0" w:color="auto"/>
              <w:right w:val="single" w:sz="4" w:space="0" w:color="auto"/>
            </w:tcBorders>
            <w:shd w:val="clear" w:color="auto" w:fill="auto"/>
            <w:noWrap/>
            <w:vAlign w:val="bottom"/>
            <w:hideMark/>
          </w:tcPr>
          <w:p w14:paraId="2F0707E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-2,31</w:t>
            </w:r>
          </w:p>
        </w:tc>
        <w:tc>
          <w:tcPr>
            <w:tcW w:w="850" w:type="dxa"/>
            <w:tcBorders>
              <w:top w:val="nil"/>
              <w:left w:val="nil"/>
              <w:bottom w:val="single" w:sz="4" w:space="0" w:color="auto"/>
              <w:right w:val="single" w:sz="4" w:space="0" w:color="auto"/>
            </w:tcBorders>
            <w:shd w:val="clear" w:color="auto" w:fill="auto"/>
            <w:noWrap/>
            <w:vAlign w:val="bottom"/>
            <w:hideMark/>
          </w:tcPr>
          <w:p w14:paraId="3BC688D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94,09</w:t>
            </w:r>
          </w:p>
        </w:tc>
        <w:tc>
          <w:tcPr>
            <w:tcW w:w="709" w:type="dxa"/>
            <w:tcBorders>
              <w:top w:val="nil"/>
              <w:left w:val="nil"/>
              <w:bottom w:val="single" w:sz="4" w:space="0" w:color="auto"/>
              <w:right w:val="single" w:sz="4" w:space="0" w:color="auto"/>
            </w:tcBorders>
            <w:shd w:val="clear" w:color="auto" w:fill="auto"/>
            <w:noWrap/>
            <w:vAlign w:val="bottom"/>
            <w:hideMark/>
          </w:tcPr>
          <w:p w14:paraId="4A7CD09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3,32</w:t>
            </w:r>
          </w:p>
        </w:tc>
        <w:tc>
          <w:tcPr>
            <w:tcW w:w="713" w:type="dxa"/>
            <w:tcBorders>
              <w:top w:val="nil"/>
              <w:left w:val="nil"/>
              <w:bottom w:val="single" w:sz="4" w:space="0" w:color="auto"/>
              <w:right w:val="single" w:sz="4" w:space="0" w:color="auto"/>
            </w:tcBorders>
            <w:shd w:val="clear" w:color="auto" w:fill="auto"/>
            <w:noWrap/>
            <w:vAlign w:val="bottom"/>
            <w:hideMark/>
          </w:tcPr>
          <w:p w14:paraId="3159F51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109,93</w:t>
            </w:r>
          </w:p>
        </w:tc>
      </w:tr>
      <w:tr w:rsidR="00827437" w:rsidRPr="00522104" w14:paraId="74ED30EB"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48F0D7B9"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Уполномоченный по правам ребенка в Приморском крае</w:t>
            </w:r>
          </w:p>
        </w:tc>
        <w:tc>
          <w:tcPr>
            <w:tcW w:w="425" w:type="dxa"/>
            <w:tcBorders>
              <w:top w:val="nil"/>
              <w:left w:val="nil"/>
              <w:bottom w:val="single" w:sz="4" w:space="0" w:color="auto"/>
              <w:right w:val="single" w:sz="4" w:space="0" w:color="auto"/>
            </w:tcBorders>
            <w:shd w:val="clear" w:color="auto" w:fill="auto"/>
            <w:noWrap/>
            <w:vAlign w:val="bottom"/>
            <w:hideMark/>
          </w:tcPr>
          <w:p w14:paraId="5A90C1D3"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805</w:t>
            </w:r>
          </w:p>
        </w:tc>
        <w:tc>
          <w:tcPr>
            <w:tcW w:w="851" w:type="dxa"/>
            <w:tcBorders>
              <w:top w:val="nil"/>
              <w:left w:val="nil"/>
              <w:bottom w:val="single" w:sz="4" w:space="0" w:color="auto"/>
              <w:right w:val="single" w:sz="4" w:space="0" w:color="auto"/>
            </w:tcBorders>
            <w:shd w:val="clear" w:color="auto" w:fill="auto"/>
            <w:noWrap/>
            <w:vAlign w:val="bottom"/>
            <w:hideMark/>
          </w:tcPr>
          <w:p w14:paraId="7E68B1E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8,00</w:t>
            </w:r>
          </w:p>
        </w:tc>
        <w:tc>
          <w:tcPr>
            <w:tcW w:w="850" w:type="dxa"/>
            <w:tcBorders>
              <w:top w:val="nil"/>
              <w:left w:val="nil"/>
              <w:bottom w:val="single" w:sz="4" w:space="0" w:color="auto"/>
              <w:right w:val="single" w:sz="4" w:space="0" w:color="auto"/>
            </w:tcBorders>
            <w:shd w:val="clear" w:color="auto" w:fill="auto"/>
            <w:noWrap/>
            <w:vAlign w:val="bottom"/>
            <w:hideMark/>
          </w:tcPr>
          <w:p w14:paraId="117D436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8,09</w:t>
            </w:r>
          </w:p>
        </w:tc>
        <w:tc>
          <w:tcPr>
            <w:tcW w:w="851" w:type="dxa"/>
            <w:tcBorders>
              <w:top w:val="nil"/>
              <w:left w:val="nil"/>
              <w:bottom w:val="single" w:sz="4" w:space="0" w:color="auto"/>
              <w:right w:val="single" w:sz="4" w:space="0" w:color="auto"/>
            </w:tcBorders>
            <w:shd w:val="clear" w:color="auto" w:fill="auto"/>
            <w:noWrap/>
            <w:vAlign w:val="bottom"/>
            <w:hideMark/>
          </w:tcPr>
          <w:p w14:paraId="0D90B77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8,07</w:t>
            </w:r>
          </w:p>
        </w:tc>
        <w:tc>
          <w:tcPr>
            <w:tcW w:w="850" w:type="dxa"/>
            <w:tcBorders>
              <w:top w:val="nil"/>
              <w:left w:val="nil"/>
              <w:bottom w:val="single" w:sz="4" w:space="0" w:color="auto"/>
              <w:right w:val="single" w:sz="4" w:space="0" w:color="auto"/>
            </w:tcBorders>
            <w:shd w:val="clear" w:color="auto" w:fill="auto"/>
            <w:noWrap/>
            <w:vAlign w:val="bottom"/>
            <w:hideMark/>
          </w:tcPr>
          <w:p w14:paraId="03DA33C9"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8,45</w:t>
            </w:r>
          </w:p>
        </w:tc>
        <w:tc>
          <w:tcPr>
            <w:tcW w:w="851" w:type="dxa"/>
            <w:tcBorders>
              <w:top w:val="nil"/>
              <w:left w:val="nil"/>
              <w:bottom w:val="single" w:sz="4" w:space="0" w:color="auto"/>
              <w:right w:val="single" w:sz="4" w:space="0" w:color="auto"/>
            </w:tcBorders>
            <w:shd w:val="clear" w:color="auto" w:fill="auto"/>
            <w:noWrap/>
            <w:vAlign w:val="bottom"/>
            <w:hideMark/>
          </w:tcPr>
          <w:p w14:paraId="65014F4E"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8,69</w:t>
            </w:r>
          </w:p>
        </w:tc>
        <w:tc>
          <w:tcPr>
            <w:tcW w:w="850" w:type="dxa"/>
            <w:tcBorders>
              <w:top w:val="nil"/>
              <w:left w:val="nil"/>
              <w:bottom w:val="single" w:sz="4" w:space="0" w:color="auto"/>
              <w:right w:val="single" w:sz="4" w:space="0" w:color="auto"/>
            </w:tcBorders>
            <w:shd w:val="clear" w:color="auto" w:fill="auto"/>
            <w:noWrap/>
            <w:vAlign w:val="bottom"/>
            <w:hideMark/>
          </w:tcPr>
          <w:p w14:paraId="7E4C406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9,01</w:t>
            </w:r>
          </w:p>
        </w:tc>
        <w:tc>
          <w:tcPr>
            <w:tcW w:w="851" w:type="dxa"/>
            <w:tcBorders>
              <w:top w:val="nil"/>
              <w:left w:val="nil"/>
              <w:bottom w:val="single" w:sz="4" w:space="0" w:color="auto"/>
              <w:right w:val="single" w:sz="4" w:space="0" w:color="auto"/>
            </w:tcBorders>
            <w:shd w:val="clear" w:color="auto" w:fill="auto"/>
            <w:noWrap/>
            <w:vAlign w:val="bottom"/>
            <w:hideMark/>
          </w:tcPr>
          <w:p w14:paraId="4E4F537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0,36</w:t>
            </w:r>
          </w:p>
        </w:tc>
        <w:tc>
          <w:tcPr>
            <w:tcW w:w="850" w:type="dxa"/>
            <w:tcBorders>
              <w:top w:val="nil"/>
              <w:left w:val="nil"/>
              <w:bottom w:val="single" w:sz="4" w:space="0" w:color="auto"/>
              <w:right w:val="single" w:sz="4" w:space="0" w:color="auto"/>
            </w:tcBorders>
            <w:shd w:val="clear" w:color="auto" w:fill="auto"/>
            <w:noWrap/>
            <w:vAlign w:val="bottom"/>
            <w:hideMark/>
          </w:tcPr>
          <w:p w14:paraId="54419794"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104,43</w:t>
            </w:r>
          </w:p>
        </w:tc>
        <w:tc>
          <w:tcPr>
            <w:tcW w:w="709" w:type="dxa"/>
            <w:tcBorders>
              <w:top w:val="nil"/>
              <w:left w:val="nil"/>
              <w:bottom w:val="single" w:sz="4" w:space="0" w:color="auto"/>
              <w:right w:val="single" w:sz="4" w:space="0" w:color="auto"/>
            </w:tcBorders>
            <w:shd w:val="clear" w:color="auto" w:fill="auto"/>
            <w:noWrap/>
            <w:vAlign w:val="bottom"/>
            <w:hideMark/>
          </w:tcPr>
          <w:p w14:paraId="7360EE1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0,37</w:t>
            </w:r>
          </w:p>
        </w:tc>
        <w:tc>
          <w:tcPr>
            <w:tcW w:w="713" w:type="dxa"/>
            <w:tcBorders>
              <w:top w:val="nil"/>
              <w:left w:val="nil"/>
              <w:bottom w:val="single" w:sz="4" w:space="0" w:color="auto"/>
              <w:right w:val="single" w:sz="4" w:space="0" w:color="auto"/>
            </w:tcBorders>
            <w:shd w:val="clear" w:color="auto" w:fill="auto"/>
            <w:noWrap/>
            <w:vAlign w:val="bottom"/>
            <w:hideMark/>
          </w:tcPr>
          <w:p w14:paraId="6899F231"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104,60</w:t>
            </w:r>
          </w:p>
        </w:tc>
      </w:tr>
      <w:tr w:rsidR="00827437" w:rsidRPr="00522104" w14:paraId="41886876" w14:textId="77777777" w:rsidTr="00467069">
        <w:trPr>
          <w:trHeight w:val="767"/>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4A7A8F85"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лесного хозяйства и охраны объектов животного мира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5AE0CDBC"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807</w:t>
            </w:r>
          </w:p>
        </w:tc>
        <w:tc>
          <w:tcPr>
            <w:tcW w:w="851" w:type="dxa"/>
            <w:tcBorders>
              <w:top w:val="nil"/>
              <w:left w:val="nil"/>
              <w:bottom w:val="single" w:sz="4" w:space="0" w:color="auto"/>
              <w:right w:val="single" w:sz="4" w:space="0" w:color="auto"/>
            </w:tcBorders>
            <w:shd w:val="clear" w:color="auto" w:fill="auto"/>
            <w:noWrap/>
            <w:vAlign w:val="bottom"/>
            <w:hideMark/>
          </w:tcPr>
          <w:p w14:paraId="7D419F20"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59829C2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9,99</w:t>
            </w:r>
          </w:p>
        </w:tc>
        <w:tc>
          <w:tcPr>
            <w:tcW w:w="851" w:type="dxa"/>
            <w:tcBorders>
              <w:top w:val="nil"/>
              <w:left w:val="nil"/>
              <w:bottom w:val="single" w:sz="4" w:space="0" w:color="auto"/>
              <w:right w:val="single" w:sz="4" w:space="0" w:color="auto"/>
            </w:tcBorders>
            <w:shd w:val="clear" w:color="auto" w:fill="auto"/>
            <w:noWrap/>
            <w:vAlign w:val="bottom"/>
            <w:hideMark/>
          </w:tcPr>
          <w:p w14:paraId="02ADD5BF"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61EDB5BC"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7761D3B9"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0" w:type="dxa"/>
            <w:tcBorders>
              <w:top w:val="nil"/>
              <w:left w:val="nil"/>
              <w:bottom w:val="single" w:sz="4" w:space="0" w:color="auto"/>
              <w:right w:val="single" w:sz="4" w:space="0" w:color="auto"/>
            </w:tcBorders>
            <w:shd w:val="clear" w:color="auto" w:fill="auto"/>
            <w:noWrap/>
            <w:vAlign w:val="bottom"/>
            <w:hideMark/>
          </w:tcPr>
          <w:p w14:paraId="7F045CA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851" w:type="dxa"/>
            <w:tcBorders>
              <w:top w:val="nil"/>
              <w:left w:val="nil"/>
              <w:bottom w:val="single" w:sz="4" w:space="0" w:color="auto"/>
              <w:right w:val="single" w:sz="4" w:space="0" w:color="auto"/>
            </w:tcBorders>
            <w:shd w:val="clear" w:color="auto" w:fill="auto"/>
            <w:noWrap/>
            <w:vAlign w:val="bottom"/>
            <w:hideMark/>
          </w:tcPr>
          <w:p w14:paraId="6563B45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-9,99</w:t>
            </w:r>
          </w:p>
        </w:tc>
        <w:tc>
          <w:tcPr>
            <w:tcW w:w="850" w:type="dxa"/>
            <w:tcBorders>
              <w:top w:val="nil"/>
              <w:left w:val="nil"/>
              <w:bottom w:val="single" w:sz="4" w:space="0" w:color="auto"/>
              <w:right w:val="single" w:sz="4" w:space="0" w:color="auto"/>
            </w:tcBorders>
            <w:shd w:val="clear" w:color="auto" w:fill="auto"/>
            <w:noWrap/>
            <w:vAlign w:val="bottom"/>
            <w:hideMark/>
          </w:tcPr>
          <w:p w14:paraId="3D0AF5BA"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09" w:type="dxa"/>
            <w:tcBorders>
              <w:top w:val="nil"/>
              <w:left w:val="nil"/>
              <w:bottom w:val="single" w:sz="4" w:space="0" w:color="auto"/>
              <w:right w:val="single" w:sz="4" w:space="0" w:color="auto"/>
            </w:tcBorders>
            <w:shd w:val="clear" w:color="auto" w:fill="auto"/>
            <w:noWrap/>
            <w:vAlign w:val="bottom"/>
            <w:hideMark/>
          </w:tcPr>
          <w:p w14:paraId="6881C54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0,00</w:t>
            </w:r>
          </w:p>
        </w:tc>
        <w:tc>
          <w:tcPr>
            <w:tcW w:w="713" w:type="dxa"/>
            <w:tcBorders>
              <w:top w:val="nil"/>
              <w:left w:val="nil"/>
              <w:bottom w:val="single" w:sz="4" w:space="0" w:color="auto"/>
              <w:right w:val="single" w:sz="4" w:space="0" w:color="auto"/>
            </w:tcBorders>
            <w:shd w:val="clear" w:color="auto" w:fill="auto"/>
            <w:noWrap/>
            <w:vAlign w:val="bottom"/>
            <w:hideMark/>
          </w:tcPr>
          <w:p w14:paraId="5579ED10" w14:textId="77777777" w:rsidR="00827437" w:rsidRPr="00522104" w:rsidRDefault="00827437" w:rsidP="00E40BEE">
            <w:pPr>
              <w:spacing w:after="0" w:line="240" w:lineRule="auto"/>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 </w:t>
            </w:r>
          </w:p>
        </w:tc>
      </w:tr>
      <w:tr w:rsidR="00827437" w:rsidRPr="00522104" w14:paraId="469BB4FE" w14:textId="77777777" w:rsidTr="00467069">
        <w:trPr>
          <w:trHeight w:val="525"/>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291C550E"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Министерство промышленности и торговли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3EF7B9ED"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808</w:t>
            </w:r>
          </w:p>
        </w:tc>
        <w:tc>
          <w:tcPr>
            <w:tcW w:w="851" w:type="dxa"/>
            <w:tcBorders>
              <w:top w:val="nil"/>
              <w:left w:val="nil"/>
              <w:bottom w:val="single" w:sz="4" w:space="0" w:color="auto"/>
              <w:right w:val="single" w:sz="4" w:space="0" w:color="auto"/>
            </w:tcBorders>
            <w:shd w:val="clear" w:color="auto" w:fill="auto"/>
            <w:noWrap/>
            <w:vAlign w:val="bottom"/>
            <w:hideMark/>
          </w:tcPr>
          <w:p w14:paraId="40A489A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61,57</w:t>
            </w:r>
          </w:p>
        </w:tc>
        <w:tc>
          <w:tcPr>
            <w:tcW w:w="850" w:type="dxa"/>
            <w:tcBorders>
              <w:top w:val="nil"/>
              <w:left w:val="nil"/>
              <w:bottom w:val="single" w:sz="4" w:space="0" w:color="auto"/>
              <w:right w:val="single" w:sz="4" w:space="0" w:color="auto"/>
            </w:tcBorders>
            <w:shd w:val="clear" w:color="auto" w:fill="auto"/>
            <w:noWrap/>
            <w:vAlign w:val="bottom"/>
            <w:hideMark/>
          </w:tcPr>
          <w:p w14:paraId="034162E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69,23</w:t>
            </w:r>
          </w:p>
        </w:tc>
        <w:tc>
          <w:tcPr>
            <w:tcW w:w="851" w:type="dxa"/>
            <w:tcBorders>
              <w:top w:val="nil"/>
              <w:left w:val="nil"/>
              <w:bottom w:val="single" w:sz="4" w:space="0" w:color="auto"/>
              <w:right w:val="single" w:sz="4" w:space="0" w:color="auto"/>
            </w:tcBorders>
            <w:shd w:val="clear" w:color="auto" w:fill="auto"/>
            <w:noWrap/>
            <w:vAlign w:val="bottom"/>
            <w:hideMark/>
          </w:tcPr>
          <w:p w14:paraId="7E7BD0D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62,17</w:t>
            </w:r>
          </w:p>
        </w:tc>
        <w:tc>
          <w:tcPr>
            <w:tcW w:w="850" w:type="dxa"/>
            <w:tcBorders>
              <w:top w:val="nil"/>
              <w:left w:val="nil"/>
              <w:bottom w:val="single" w:sz="4" w:space="0" w:color="auto"/>
              <w:right w:val="single" w:sz="4" w:space="0" w:color="auto"/>
            </w:tcBorders>
            <w:shd w:val="clear" w:color="auto" w:fill="auto"/>
            <w:noWrap/>
            <w:vAlign w:val="bottom"/>
            <w:hideMark/>
          </w:tcPr>
          <w:p w14:paraId="6F08C125"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61,28</w:t>
            </w:r>
          </w:p>
        </w:tc>
        <w:tc>
          <w:tcPr>
            <w:tcW w:w="851" w:type="dxa"/>
            <w:tcBorders>
              <w:top w:val="nil"/>
              <w:left w:val="nil"/>
              <w:bottom w:val="single" w:sz="4" w:space="0" w:color="auto"/>
              <w:right w:val="single" w:sz="4" w:space="0" w:color="auto"/>
            </w:tcBorders>
            <w:shd w:val="clear" w:color="auto" w:fill="auto"/>
            <w:noWrap/>
            <w:vAlign w:val="bottom"/>
            <w:hideMark/>
          </w:tcPr>
          <w:p w14:paraId="3DE699F5"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63,18</w:t>
            </w:r>
          </w:p>
        </w:tc>
        <w:tc>
          <w:tcPr>
            <w:tcW w:w="850" w:type="dxa"/>
            <w:tcBorders>
              <w:top w:val="nil"/>
              <w:left w:val="nil"/>
              <w:bottom w:val="single" w:sz="4" w:space="0" w:color="auto"/>
              <w:right w:val="single" w:sz="4" w:space="0" w:color="auto"/>
            </w:tcBorders>
            <w:shd w:val="clear" w:color="auto" w:fill="auto"/>
            <w:noWrap/>
            <w:vAlign w:val="bottom"/>
            <w:hideMark/>
          </w:tcPr>
          <w:p w14:paraId="52AD2D0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65,67</w:t>
            </w:r>
          </w:p>
        </w:tc>
        <w:tc>
          <w:tcPr>
            <w:tcW w:w="851" w:type="dxa"/>
            <w:tcBorders>
              <w:top w:val="nil"/>
              <w:left w:val="nil"/>
              <w:bottom w:val="single" w:sz="4" w:space="0" w:color="auto"/>
              <w:right w:val="single" w:sz="4" w:space="0" w:color="auto"/>
            </w:tcBorders>
            <w:shd w:val="clear" w:color="auto" w:fill="auto"/>
            <w:noWrap/>
            <w:vAlign w:val="bottom"/>
            <w:hideMark/>
          </w:tcPr>
          <w:p w14:paraId="58A594B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-7,95</w:t>
            </w:r>
          </w:p>
        </w:tc>
        <w:tc>
          <w:tcPr>
            <w:tcW w:w="850" w:type="dxa"/>
            <w:tcBorders>
              <w:top w:val="nil"/>
              <w:left w:val="nil"/>
              <w:bottom w:val="single" w:sz="4" w:space="0" w:color="auto"/>
              <w:right w:val="single" w:sz="4" w:space="0" w:color="auto"/>
            </w:tcBorders>
            <w:shd w:val="clear" w:color="auto" w:fill="auto"/>
            <w:noWrap/>
            <w:vAlign w:val="bottom"/>
            <w:hideMark/>
          </w:tcPr>
          <w:p w14:paraId="634770F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88,52</w:t>
            </w:r>
          </w:p>
        </w:tc>
        <w:tc>
          <w:tcPr>
            <w:tcW w:w="709" w:type="dxa"/>
            <w:tcBorders>
              <w:top w:val="nil"/>
              <w:left w:val="nil"/>
              <w:bottom w:val="single" w:sz="4" w:space="0" w:color="auto"/>
              <w:right w:val="single" w:sz="4" w:space="0" w:color="auto"/>
            </w:tcBorders>
            <w:shd w:val="clear" w:color="auto" w:fill="auto"/>
            <w:noWrap/>
            <w:vAlign w:val="bottom"/>
            <w:hideMark/>
          </w:tcPr>
          <w:p w14:paraId="46C5CC49"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-0,89</w:t>
            </w:r>
          </w:p>
        </w:tc>
        <w:tc>
          <w:tcPr>
            <w:tcW w:w="713" w:type="dxa"/>
            <w:tcBorders>
              <w:top w:val="nil"/>
              <w:left w:val="nil"/>
              <w:bottom w:val="single" w:sz="4" w:space="0" w:color="auto"/>
              <w:right w:val="single" w:sz="4" w:space="0" w:color="auto"/>
            </w:tcBorders>
            <w:shd w:val="clear" w:color="auto" w:fill="auto"/>
            <w:noWrap/>
            <w:vAlign w:val="bottom"/>
            <w:hideMark/>
          </w:tcPr>
          <w:p w14:paraId="2D3ADF77"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98,56</w:t>
            </w:r>
          </w:p>
        </w:tc>
      </w:tr>
      <w:tr w:rsidR="00827437" w:rsidRPr="00522104" w14:paraId="5D64AA52" w14:textId="77777777" w:rsidTr="00467069">
        <w:trPr>
          <w:trHeight w:val="1260"/>
        </w:trPr>
        <w:tc>
          <w:tcPr>
            <w:tcW w:w="2127" w:type="dxa"/>
            <w:tcBorders>
              <w:top w:val="nil"/>
              <w:left w:val="single" w:sz="4" w:space="0" w:color="auto"/>
              <w:bottom w:val="single" w:sz="4" w:space="0" w:color="auto"/>
              <w:right w:val="single" w:sz="4" w:space="0" w:color="auto"/>
            </w:tcBorders>
            <w:shd w:val="clear" w:color="auto" w:fill="auto"/>
            <w:vAlign w:val="bottom"/>
            <w:hideMark/>
          </w:tcPr>
          <w:p w14:paraId="5E7B492A" w14:textId="77777777" w:rsidR="00827437" w:rsidRPr="00522104" w:rsidRDefault="00827437" w:rsidP="00E40BEE">
            <w:pPr>
              <w:spacing w:after="0" w:line="240" w:lineRule="auto"/>
              <w:ind w:left="-108" w:right="-108"/>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c>
          <w:tcPr>
            <w:tcW w:w="425" w:type="dxa"/>
            <w:tcBorders>
              <w:top w:val="nil"/>
              <w:left w:val="nil"/>
              <w:bottom w:val="single" w:sz="4" w:space="0" w:color="auto"/>
              <w:right w:val="single" w:sz="4" w:space="0" w:color="auto"/>
            </w:tcBorders>
            <w:shd w:val="clear" w:color="auto" w:fill="auto"/>
            <w:noWrap/>
            <w:vAlign w:val="bottom"/>
            <w:hideMark/>
          </w:tcPr>
          <w:p w14:paraId="3AB2C8BE" w14:textId="77777777" w:rsidR="00827437" w:rsidRPr="00522104" w:rsidRDefault="00827437" w:rsidP="00E40BEE">
            <w:pPr>
              <w:spacing w:after="0" w:line="240" w:lineRule="auto"/>
              <w:ind w:left="-108" w:right="-108"/>
              <w:jc w:val="center"/>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809</w:t>
            </w:r>
          </w:p>
        </w:tc>
        <w:tc>
          <w:tcPr>
            <w:tcW w:w="851" w:type="dxa"/>
            <w:tcBorders>
              <w:top w:val="nil"/>
              <w:left w:val="nil"/>
              <w:bottom w:val="single" w:sz="4" w:space="0" w:color="auto"/>
              <w:right w:val="single" w:sz="4" w:space="0" w:color="auto"/>
            </w:tcBorders>
            <w:shd w:val="clear" w:color="auto" w:fill="auto"/>
            <w:noWrap/>
            <w:vAlign w:val="bottom"/>
            <w:hideMark/>
          </w:tcPr>
          <w:p w14:paraId="77CBFDDB"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22,61</w:t>
            </w:r>
          </w:p>
        </w:tc>
        <w:tc>
          <w:tcPr>
            <w:tcW w:w="850" w:type="dxa"/>
            <w:tcBorders>
              <w:top w:val="nil"/>
              <w:left w:val="nil"/>
              <w:bottom w:val="single" w:sz="4" w:space="0" w:color="auto"/>
              <w:right w:val="single" w:sz="4" w:space="0" w:color="auto"/>
            </w:tcBorders>
            <w:shd w:val="clear" w:color="auto" w:fill="auto"/>
            <w:noWrap/>
            <w:vAlign w:val="bottom"/>
            <w:hideMark/>
          </w:tcPr>
          <w:p w14:paraId="67D6BCC8"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25,51</w:t>
            </w:r>
          </w:p>
        </w:tc>
        <w:tc>
          <w:tcPr>
            <w:tcW w:w="851" w:type="dxa"/>
            <w:tcBorders>
              <w:top w:val="nil"/>
              <w:left w:val="nil"/>
              <w:bottom w:val="single" w:sz="4" w:space="0" w:color="auto"/>
              <w:right w:val="single" w:sz="4" w:space="0" w:color="auto"/>
            </w:tcBorders>
            <w:shd w:val="clear" w:color="auto" w:fill="auto"/>
            <w:noWrap/>
            <w:vAlign w:val="bottom"/>
            <w:hideMark/>
          </w:tcPr>
          <w:p w14:paraId="3415392C"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22,61</w:t>
            </w:r>
          </w:p>
        </w:tc>
        <w:tc>
          <w:tcPr>
            <w:tcW w:w="850" w:type="dxa"/>
            <w:tcBorders>
              <w:top w:val="nil"/>
              <w:left w:val="nil"/>
              <w:bottom w:val="single" w:sz="4" w:space="0" w:color="auto"/>
              <w:right w:val="single" w:sz="4" w:space="0" w:color="auto"/>
            </w:tcBorders>
            <w:shd w:val="clear" w:color="auto" w:fill="auto"/>
            <w:noWrap/>
            <w:vAlign w:val="bottom"/>
            <w:hideMark/>
          </w:tcPr>
          <w:p w14:paraId="2D3F11C5" w14:textId="77777777" w:rsidR="00827437" w:rsidRPr="00522104" w:rsidRDefault="00827437" w:rsidP="00E40BEE">
            <w:pPr>
              <w:spacing w:after="0" w:line="240" w:lineRule="auto"/>
              <w:ind w:left="-249"/>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24,62</w:t>
            </w:r>
          </w:p>
        </w:tc>
        <w:tc>
          <w:tcPr>
            <w:tcW w:w="851" w:type="dxa"/>
            <w:tcBorders>
              <w:top w:val="nil"/>
              <w:left w:val="nil"/>
              <w:bottom w:val="single" w:sz="4" w:space="0" w:color="auto"/>
              <w:right w:val="single" w:sz="4" w:space="0" w:color="auto"/>
            </w:tcBorders>
            <w:shd w:val="clear" w:color="auto" w:fill="auto"/>
            <w:noWrap/>
            <w:vAlign w:val="bottom"/>
            <w:hideMark/>
          </w:tcPr>
          <w:p w14:paraId="679982AA" w14:textId="77777777" w:rsidR="00827437" w:rsidRPr="00522104" w:rsidRDefault="00827437" w:rsidP="00E40BEE">
            <w:pPr>
              <w:spacing w:after="0" w:line="240" w:lineRule="auto"/>
              <w:ind w:left="-250"/>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23,45</w:t>
            </w:r>
          </w:p>
        </w:tc>
        <w:tc>
          <w:tcPr>
            <w:tcW w:w="850" w:type="dxa"/>
            <w:tcBorders>
              <w:top w:val="nil"/>
              <w:left w:val="nil"/>
              <w:bottom w:val="single" w:sz="4" w:space="0" w:color="auto"/>
              <w:right w:val="single" w:sz="4" w:space="0" w:color="auto"/>
            </w:tcBorders>
            <w:shd w:val="clear" w:color="auto" w:fill="auto"/>
            <w:noWrap/>
            <w:vAlign w:val="bottom"/>
            <w:hideMark/>
          </w:tcPr>
          <w:p w14:paraId="07369445"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24,29</w:t>
            </w:r>
          </w:p>
        </w:tc>
        <w:tc>
          <w:tcPr>
            <w:tcW w:w="851" w:type="dxa"/>
            <w:tcBorders>
              <w:top w:val="nil"/>
              <w:left w:val="nil"/>
              <w:bottom w:val="single" w:sz="4" w:space="0" w:color="auto"/>
              <w:right w:val="single" w:sz="4" w:space="0" w:color="auto"/>
            </w:tcBorders>
            <w:shd w:val="clear" w:color="auto" w:fill="auto"/>
            <w:noWrap/>
            <w:vAlign w:val="bottom"/>
            <w:hideMark/>
          </w:tcPr>
          <w:p w14:paraId="53E2CCBE"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-0,89</w:t>
            </w:r>
          </w:p>
        </w:tc>
        <w:tc>
          <w:tcPr>
            <w:tcW w:w="850" w:type="dxa"/>
            <w:tcBorders>
              <w:top w:val="nil"/>
              <w:left w:val="nil"/>
              <w:bottom w:val="single" w:sz="4" w:space="0" w:color="auto"/>
              <w:right w:val="single" w:sz="4" w:space="0" w:color="auto"/>
            </w:tcBorders>
            <w:shd w:val="clear" w:color="auto" w:fill="auto"/>
            <w:noWrap/>
            <w:vAlign w:val="bottom"/>
            <w:hideMark/>
          </w:tcPr>
          <w:p w14:paraId="3ED57F46"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96,50</w:t>
            </w:r>
          </w:p>
        </w:tc>
        <w:tc>
          <w:tcPr>
            <w:tcW w:w="709" w:type="dxa"/>
            <w:tcBorders>
              <w:top w:val="nil"/>
              <w:left w:val="nil"/>
              <w:bottom w:val="single" w:sz="4" w:space="0" w:color="auto"/>
              <w:right w:val="single" w:sz="4" w:space="0" w:color="auto"/>
            </w:tcBorders>
            <w:shd w:val="clear" w:color="auto" w:fill="auto"/>
            <w:noWrap/>
            <w:vAlign w:val="bottom"/>
            <w:hideMark/>
          </w:tcPr>
          <w:p w14:paraId="1F8069A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2,00</w:t>
            </w:r>
          </w:p>
        </w:tc>
        <w:tc>
          <w:tcPr>
            <w:tcW w:w="713" w:type="dxa"/>
            <w:tcBorders>
              <w:top w:val="nil"/>
              <w:left w:val="nil"/>
              <w:bottom w:val="single" w:sz="4" w:space="0" w:color="auto"/>
              <w:right w:val="single" w:sz="4" w:space="0" w:color="auto"/>
            </w:tcBorders>
            <w:shd w:val="clear" w:color="auto" w:fill="auto"/>
            <w:noWrap/>
            <w:vAlign w:val="bottom"/>
            <w:hideMark/>
          </w:tcPr>
          <w:p w14:paraId="1C615773" w14:textId="77777777" w:rsidR="00827437" w:rsidRPr="00522104" w:rsidRDefault="00827437" w:rsidP="00E40BEE">
            <w:pPr>
              <w:spacing w:after="0" w:line="240" w:lineRule="auto"/>
              <w:jc w:val="right"/>
              <w:rPr>
                <w:rFonts w:ascii="Times New Roman" w:eastAsia="Times New Roman" w:hAnsi="Times New Roman" w:cs="Times New Roman"/>
                <w:color w:val="000000"/>
                <w:sz w:val="18"/>
                <w:szCs w:val="18"/>
                <w:lang w:eastAsia="ru-RU"/>
              </w:rPr>
            </w:pPr>
            <w:r w:rsidRPr="00522104">
              <w:rPr>
                <w:rFonts w:ascii="Times New Roman" w:eastAsia="Times New Roman" w:hAnsi="Times New Roman" w:cs="Times New Roman"/>
                <w:color w:val="000000"/>
                <w:sz w:val="18"/>
                <w:szCs w:val="18"/>
                <w:lang w:eastAsia="ru-RU"/>
              </w:rPr>
              <w:t>108,87</w:t>
            </w:r>
          </w:p>
        </w:tc>
      </w:tr>
    </w:tbl>
    <w:p w14:paraId="79E6F9EE"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p>
    <w:p w14:paraId="2D0F201D" w14:textId="7E1724AC"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В сравнении с утвержденными назначениями в законопроекте на 2022 год разнонаправленным корректировкам подверглись расходы на руководство и управление в сфере установленных функций органов государственной власти Приморского края, планируемых по 16 ГРБС, в том числе: увеличение на 34,46 млн рублей и снижение на 191,44 млн рублей. Наибольшее сокращение (на 190,55 млн рублей) наблюдается по Законодательному Собранию Приморского края. Также по министерству промышленности и торговли Приморского края предлагается снижение данных расходов на 0,89</w:t>
      </w:r>
      <w:r w:rsidR="0079689B"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 xml:space="preserve">млн рублей (по сравнению с 2021 годом – на 7,95 млн рублей). По информации министерства, сокращение расходов связано с изменением структуры и (или) штатной численности министерства (выбытие отдела). </w:t>
      </w:r>
    </w:p>
    <w:p w14:paraId="384FCDB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По следующим ГРБС представлено значительное увеличение расходов:</w:t>
      </w:r>
    </w:p>
    <w:p w14:paraId="68944690"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министерству</w:t>
      </w:r>
      <w:r w:rsidRPr="00522104">
        <w:t xml:space="preserve"> </w:t>
      </w:r>
      <w:r w:rsidRPr="00522104">
        <w:rPr>
          <w:rFonts w:ascii="Times New Roman" w:eastAsia="Times New Roman" w:hAnsi="Times New Roman" w:cs="Times New Roman"/>
          <w:sz w:val="28"/>
          <w:szCs w:val="24"/>
          <w:lang w:eastAsia="ru-RU"/>
        </w:rPr>
        <w:t>по делам гражданской обороны, защиты от чрезвычайных ситуаций и ликвидации последствий стихийных бедствий Приморского края – на 90,91 млн рублей, или на 62,90 % (законопроект – 235,45 млн рублей, утверждено – 144,54 млн рублей) за счет:</w:t>
      </w:r>
    </w:p>
    <w:p w14:paraId="1B63F508" w14:textId="2BBF3F58"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резервного фонда Правительства Приморского края по ликвидации чрезвычайных ситуаций природного и техногенного характера – на 60,00 млн рублей, или на 42,86 % (утверждено 140,00 млн рублей). По сравнению с 2021 годом наблюдается сокращение расходов на 61,06 млн рублей, или на 23,39 %; </w:t>
      </w:r>
    </w:p>
    <w:p w14:paraId="64BBEAE7"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резерва материальных ресурсов Приморского края для ликвидации чрезвычайных ситуаций природного и техногенного характера на 30,91 млн рублей, или в 7,8 раз (утверждено – 4,54 млн рублей);</w:t>
      </w:r>
    </w:p>
    <w:p w14:paraId="182F8633" w14:textId="596F57BA"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департаменту записи актов гражданского состояния Приморского края на 36,46 млн рублей, или на 26,96 % (законопроект – 171,72 млн рублей, утверждено 135,26 млн рублей), из них за счет увеличения расходов на 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 на 25,63 млн рублей (в утвержденном законе о краевом бюджете данные расходы на 2022 год не планировались);</w:t>
      </w:r>
    </w:p>
    <w:p w14:paraId="723C03AD" w14:textId="5283926C"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министерству по регулированию контрактной системы в сфере закупок Приморского края на 31,55 млн рублей, или на 44,89 % (законопроект – 101,85</w:t>
      </w:r>
      <w:r w:rsidR="00560014"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млн рублей, утверждено – 70,29 млн рублей) из них за счет увеличения расходов на обеспечение деятельности (оказание услуг, выполнение работ) краевых государственных учреждений на 30,41 млн рублей (утверждено</w:t>
      </w:r>
      <w:r w:rsidR="00560014" w:rsidRPr="00522104">
        <w:rPr>
          <w:rFonts w:ascii="Times New Roman" w:eastAsia="Times New Roman" w:hAnsi="Times New Roman" w:cs="Times New Roman"/>
          <w:sz w:val="28"/>
          <w:szCs w:val="24"/>
          <w:lang w:eastAsia="ru-RU"/>
        </w:rPr>
        <w:t xml:space="preserve"> </w:t>
      </w:r>
      <w:r w:rsidRPr="00522104">
        <w:rPr>
          <w:rFonts w:ascii="Times New Roman" w:eastAsia="Times New Roman" w:hAnsi="Times New Roman" w:cs="Times New Roman"/>
          <w:sz w:val="28"/>
          <w:szCs w:val="24"/>
          <w:lang w:eastAsia="ru-RU"/>
        </w:rPr>
        <w:t>40,19</w:t>
      </w:r>
      <w:r w:rsidR="00560014"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млн рублей). По информации министерства, увеличение бюджетных ассигнований обусловлено индексацией фонда оплаты труда сотрудников;</w:t>
      </w:r>
    </w:p>
    <w:p w14:paraId="03660A0C" w14:textId="76DD250A"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департаменту внутренней политики Приморского края на 20,86 млн рублей, или на 30,70 % (законопроект – 88,80 млн рублей, утверждено 67,94</w:t>
      </w:r>
      <w:r w:rsidR="00560014" w:rsidRPr="00522104">
        <w:rPr>
          <w:rFonts w:ascii="Times New Roman" w:eastAsia="Times New Roman" w:hAnsi="Times New Roman" w:cs="Times New Roman"/>
          <w:sz w:val="28"/>
          <w:szCs w:val="24"/>
          <w:lang w:eastAsia="ru-RU"/>
        </w:rPr>
        <w:t> </w:t>
      </w:r>
      <w:r w:rsidRPr="00522104">
        <w:rPr>
          <w:rFonts w:ascii="Times New Roman" w:eastAsia="Times New Roman" w:hAnsi="Times New Roman" w:cs="Times New Roman"/>
          <w:sz w:val="28"/>
          <w:szCs w:val="24"/>
          <w:lang w:eastAsia="ru-RU"/>
        </w:rPr>
        <w:t>млн рублей), из них за счет введения новых расходов на поддержку проектов, инициируемых жителями муниципальных образований, по решению вопросов местного назначения в сумме 18,00 млн рублей, а также за счет увеличения расходов на обеспечение деятельности (оказание услуг, выполнение работ) краевых государственных учреждений на 1,85 млн рублей;</w:t>
      </w:r>
    </w:p>
    <w:p w14:paraId="7C9C2E1F"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 xml:space="preserve">министерству государственного финансового контроля Приморского края на 11,49 млн рублей, или на 28,81 % (законопроект – 51,36 млн рублей, утверждено – 39,87 млн рублей), из них за счет введения новых расходов на проведение независимых экспертиз в сумме 10,00 млн рублей. </w:t>
      </w:r>
    </w:p>
    <w:p w14:paraId="0EA24B35" w14:textId="77777777" w:rsidR="00827437" w:rsidRPr="00522104" w:rsidRDefault="00827437" w:rsidP="00827437">
      <w:pPr>
        <w:spacing w:after="0" w:line="240" w:lineRule="auto"/>
        <w:ind w:firstLine="720"/>
        <w:jc w:val="both"/>
        <w:rPr>
          <w:rFonts w:ascii="Times New Roman" w:hAnsi="Times New Roman" w:cs="Times New Roman"/>
          <w:sz w:val="28"/>
          <w:szCs w:val="28"/>
        </w:rPr>
      </w:pPr>
    </w:p>
    <w:p w14:paraId="032BF21F" w14:textId="77777777" w:rsidR="00827437" w:rsidRPr="00522104" w:rsidRDefault="00827437" w:rsidP="00827437">
      <w:pPr>
        <w:spacing w:after="0" w:line="240" w:lineRule="auto"/>
        <w:ind w:firstLine="720"/>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6. Источники внутреннего финансирования дефицита краевого бюджета.</w:t>
      </w:r>
    </w:p>
    <w:p w14:paraId="47F435C6"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Размер запланированного дефицита на 2022 год ожидается практически на уровне утвержденного Законом № 969-КЗ на 2021 год дефицита (8336,53 млн рублей) и выше уровня утвержденного на 2022 год размера дефицита в 3,03 раза (утверждено на 2022 год 2351,78 млн рублей).</w:t>
      </w:r>
    </w:p>
    <w:p w14:paraId="7EBFD4B4" w14:textId="741ACB70"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2022 год по сравнению с утвержденными назначениями законопроектом запланировано снижение привлечения кредитов от кредитных организаций на 2341,29 млн рублей и погашение кредитов кредитных организаций в 2022 году не планируется (утверждено 3000,00 млн рублей). В отличие от утвержденных назначений законопроектом на 2022 год в качестве источников предусмотрено изменение остатков средств на счетах по учету средств бюджетов в сумме 4000,00 млн рублей, также в качестве источников в 2022 году законопроектом предусмотрено привлечение иных источников финансирования</w:t>
      </w:r>
      <w:r w:rsidR="00287EDF" w:rsidRPr="00522104">
        <w:rPr>
          <w:rFonts w:ascii="Times New Roman" w:eastAsia="Times New Roman" w:hAnsi="Times New Roman" w:cs="Times New Roman"/>
          <w:sz w:val="28"/>
          <w:szCs w:val="28"/>
          <w:lang w:eastAsia="ru-RU"/>
        </w:rPr>
        <w:t xml:space="preserve"> дефицита</w:t>
      </w:r>
      <w:r w:rsidRPr="00522104">
        <w:rPr>
          <w:rFonts w:ascii="Times New Roman" w:eastAsia="Times New Roman" w:hAnsi="Times New Roman" w:cs="Times New Roman"/>
          <w:sz w:val="28"/>
          <w:szCs w:val="28"/>
          <w:lang w:eastAsia="ru-RU"/>
        </w:rPr>
        <w:t xml:space="preserve"> в сумме 125,93 млн рублей.</w:t>
      </w:r>
    </w:p>
    <w:p w14:paraId="20500430" w14:textId="246B9D14"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плановый период 2023-2024 годов краевой бюджет запланирован бездефицитным. Более подробная информация об источниках внутреннего финансирования дефицита краевого бюджета на 2021 год и 2022 год, утвержденных Законом № 969-КЗ, а также предложенные законопроектом показатели источников внутреннего финансирования дефицита краевого бюджет</w:t>
      </w:r>
      <w:r w:rsidR="009F75D5" w:rsidRPr="00522104">
        <w:rPr>
          <w:rFonts w:ascii="Times New Roman" w:eastAsia="Times New Roman" w:hAnsi="Times New Roman" w:cs="Times New Roman"/>
          <w:sz w:val="28"/>
          <w:szCs w:val="28"/>
          <w:lang w:eastAsia="ru-RU"/>
        </w:rPr>
        <w:t>а на 2022-2023 годы отражены в п</w:t>
      </w:r>
      <w:r w:rsidRPr="00522104">
        <w:rPr>
          <w:rFonts w:ascii="Times New Roman" w:eastAsia="Times New Roman" w:hAnsi="Times New Roman" w:cs="Times New Roman"/>
          <w:sz w:val="28"/>
          <w:szCs w:val="28"/>
          <w:lang w:eastAsia="ru-RU"/>
        </w:rPr>
        <w:t>риложении</w:t>
      </w:r>
      <w:r w:rsidR="009F75D5" w:rsidRPr="00522104">
        <w:rPr>
          <w:rFonts w:ascii="Times New Roman" w:eastAsia="Times New Roman" w:hAnsi="Times New Roman" w:cs="Times New Roman"/>
          <w:sz w:val="28"/>
          <w:szCs w:val="28"/>
          <w:lang w:eastAsia="ru-RU"/>
        </w:rPr>
        <w:t xml:space="preserve"> 7</w:t>
      </w:r>
      <w:r w:rsidRPr="00522104">
        <w:rPr>
          <w:rFonts w:ascii="Times New Roman" w:eastAsia="Times New Roman" w:hAnsi="Times New Roman" w:cs="Times New Roman"/>
          <w:sz w:val="28"/>
          <w:szCs w:val="28"/>
          <w:lang w:eastAsia="ru-RU"/>
        </w:rPr>
        <w:t>.</w:t>
      </w:r>
    </w:p>
    <w:tbl>
      <w:tblPr>
        <w:tblW w:w="9923" w:type="dxa"/>
        <w:tblInd w:w="-176" w:type="dxa"/>
        <w:tblLayout w:type="fixed"/>
        <w:tblLook w:val="04A0" w:firstRow="1" w:lastRow="0" w:firstColumn="1" w:lastColumn="0" w:noHBand="0" w:noVBand="1"/>
      </w:tblPr>
      <w:tblGrid>
        <w:gridCol w:w="3403"/>
        <w:gridCol w:w="1276"/>
        <w:gridCol w:w="1417"/>
        <w:gridCol w:w="1276"/>
        <w:gridCol w:w="1276"/>
        <w:gridCol w:w="1275"/>
      </w:tblGrid>
      <w:tr w:rsidR="00827437" w:rsidRPr="000B3CF8" w14:paraId="64BD31DB" w14:textId="77777777" w:rsidTr="00E40BEE">
        <w:trPr>
          <w:trHeight w:val="20"/>
          <w:tblHeader/>
        </w:trPr>
        <w:tc>
          <w:tcPr>
            <w:tcW w:w="3403" w:type="dxa"/>
            <w:tcBorders>
              <w:bottom w:val="single" w:sz="4" w:space="0" w:color="auto"/>
            </w:tcBorders>
            <w:shd w:val="clear" w:color="auto" w:fill="auto"/>
            <w:vAlign w:val="center"/>
          </w:tcPr>
          <w:p w14:paraId="38BD7696" w14:textId="77777777" w:rsidR="00827437" w:rsidRPr="00522104" w:rsidRDefault="00827437" w:rsidP="00E40BEE">
            <w:pPr>
              <w:spacing w:after="0" w:line="240" w:lineRule="auto"/>
              <w:jc w:val="center"/>
              <w:rPr>
                <w:rFonts w:ascii="Times New Roman" w:eastAsia="Times New Roman" w:hAnsi="Times New Roman" w:cs="Times New Roman"/>
                <w:b/>
                <w:bCs/>
                <w:color w:val="000000"/>
                <w:lang w:eastAsia="ru-RU"/>
              </w:rPr>
            </w:pPr>
          </w:p>
        </w:tc>
        <w:tc>
          <w:tcPr>
            <w:tcW w:w="1276" w:type="dxa"/>
            <w:tcBorders>
              <w:bottom w:val="single" w:sz="4" w:space="0" w:color="auto"/>
            </w:tcBorders>
            <w:shd w:val="clear" w:color="auto" w:fill="auto"/>
            <w:vAlign w:val="center"/>
          </w:tcPr>
          <w:p w14:paraId="577B2777" w14:textId="77777777" w:rsidR="00827437" w:rsidRPr="00522104" w:rsidRDefault="00827437" w:rsidP="00E40BEE">
            <w:pPr>
              <w:spacing w:after="0" w:line="240" w:lineRule="auto"/>
              <w:jc w:val="center"/>
              <w:rPr>
                <w:rFonts w:ascii="Times New Roman" w:eastAsia="Times New Roman" w:hAnsi="Times New Roman" w:cs="Times New Roman"/>
                <w:b/>
                <w:bCs/>
                <w:color w:val="000000"/>
                <w:lang w:eastAsia="ru-RU"/>
              </w:rPr>
            </w:pPr>
          </w:p>
        </w:tc>
        <w:tc>
          <w:tcPr>
            <w:tcW w:w="1417" w:type="dxa"/>
            <w:tcBorders>
              <w:bottom w:val="single" w:sz="4" w:space="0" w:color="auto"/>
            </w:tcBorders>
            <w:shd w:val="clear" w:color="auto" w:fill="auto"/>
            <w:vAlign w:val="center"/>
          </w:tcPr>
          <w:p w14:paraId="2AA5EB4E" w14:textId="77777777" w:rsidR="00827437" w:rsidRPr="00522104" w:rsidRDefault="00827437" w:rsidP="00E40BEE">
            <w:pPr>
              <w:spacing w:after="0" w:line="240" w:lineRule="auto"/>
              <w:jc w:val="center"/>
              <w:rPr>
                <w:rFonts w:ascii="Times New Roman" w:eastAsia="Times New Roman" w:hAnsi="Times New Roman" w:cs="Times New Roman"/>
                <w:b/>
                <w:bCs/>
                <w:color w:val="000000"/>
                <w:lang w:eastAsia="ru-RU"/>
              </w:rPr>
            </w:pPr>
          </w:p>
        </w:tc>
        <w:tc>
          <w:tcPr>
            <w:tcW w:w="3827" w:type="dxa"/>
            <w:gridSpan w:val="3"/>
            <w:tcBorders>
              <w:bottom w:val="single" w:sz="4" w:space="0" w:color="auto"/>
            </w:tcBorders>
            <w:shd w:val="clear" w:color="auto" w:fill="auto"/>
            <w:vAlign w:val="center"/>
          </w:tcPr>
          <w:p w14:paraId="3A40D877" w14:textId="77777777" w:rsidR="00827437" w:rsidRPr="000B3CF8" w:rsidRDefault="00827437" w:rsidP="00E40BEE">
            <w:pPr>
              <w:spacing w:after="0" w:line="240" w:lineRule="auto"/>
              <w:jc w:val="right"/>
              <w:rPr>
                <w:rFonts w:ascii="Times New Roman" w:eastAsia="Times New Roman" w:hAnsi="Times New Roman" w:cs="Times New Roman"/>
                <w:bCs/>
                <w:color w:val="000000"/>
                <w:sz w:val="20"/>
                <w:szCs w:val="20"/>
                <w:lang w:eastAsia="ru-RU"/>
              </w:rPr>
            </w:pPr>
            <w:r w:rsidRPr="000B3CF8">
              <w:rPr>
                <w:rFonts w:ascii="Times New Roman" w:eastAsia="Times New Roman" w:hAnsi="Times New Roman" w:cs="Times New Roman"/>
                <w:bCs/>
                <w:color w:val="000000"/>
                <w:sz w:val="20"/>
                <w:szCs w:val="20"/>
                <w:lang w:eastAsia="ru-RU"/>
              </w:rPr>
              <w:t>(млн рублей)</w:t>
            </w:r>
          </w:p>
        </w:tc>
      </w:tr>
      <w:tr w:rsidR="00827437" w:rsidRPr="00522104" w14:paraId="12136F1E" w14:textId="77777777" w:rsidTr="00E40BEE">
        <w:trPr>
          <w:trHeight w:val="20"/>
          <w:tblHeader/>
        </w:trPr>
        <w:tc>
          <w:tcPr>
            <w:tcW w:w="3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2E9C96" w14:textId="77777777" w:rsidR="00827437" w:rsidRPr="00522104" w:rsidRDefault="00827437" w:rsidP="00E40BEE">
            <w:pPr>
              <w:spacing w:after="0" w:line="240" w:lineRule="auto"/>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Наименование источников</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3A1444" w14:textId="77777777" w:rsidR="00827437" w:rsidRPr="00522104" w:rsidRDefault="00827437" w:rsidP="00E40BEE">
            <w:pPr>
              <w:spacing w:after="0" w:line="240" w:lineRule="auto"/>
              <w:ind w:left="-108"/>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 xml:space="preserve">Утверждено Законом  </w:t>
            </w:r>
          </w:p>
          <w:p w14:paraId="7B282C26" w14:textId="77777777" w:rsidR="00827437" w:rsidRPr="00522104" w:rsidRDefault="00827437" w:rsidP="00E40BEE">
            <w:pPr>
              <w:spacing w:after="0" w:line="240" w:lineRule="auto"/>
              <w:ind w:left="-108"/>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 xml:space="preserve">№ 969-КЗ </w:t>
            </w:r>
          </w:p>
          <w:p w14:paraId="4F329787" w14:textId="77777777" w:rsidR="00827437" w:rsidRPr="00522104" w:rsidRDefault="00827437" w:rsidP="00E40BEE">
            <w:pPr>
              <w:spacing w:after="0" w:line="240" w:lineRule="auto"/>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(8 редакция)</w:t>
            </w:r>
          </w:p>
        </w:tc>
        <w:tc>
          <w:tcPr>
            <w:tcW w:w="382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2EBFB45" w14:textId="77777777" w:rsidR="00827437" w:rsidRPr="00522104" w:rsidRDefault="00827437" w:rsidP="00E40BEE">
            <w:pPr>
              <w:spacing w:after="0" w:line="240" w:lineRule="auto"/>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Законопроект</w:t>
            </w:r>
          </w:p>
        </w:tc>
      </w:tr>
      <w:tr w:rsidR="00827437" w:rsidRPr="00522104" w14:paraId="718DC2D3" w14:textId="77777777" w:rsidTr="00E40BEE">
        <w:trPr>
          <w:trHeight w:val="20"/>
          <w:tblHeader/>
        </w:trPr>
        <w:tc>
          <w:tcPr>
            <w:tcW w:w="3403" w:type="dxa"/>
            <w:vMerge/>
            <w:tcBorders>
              <w:top w:val="single" w:sz="4" w:space="0" w:color="auto"/>
              <w:left w:val="single" w:sz="4" w:space="0" w:color="auto"/>
              <w:bottom w:val="single" w:sz="4" w:space="0" w:color="auto"/>
              <w:right w:val="single" w:sz="4" w:space="0" w:color="auto"/>
            </w:tcBorders>
            <w:vAlign w:val="center"/>
            <w:hideMark/>
          </w:tcPr>
          <w:p w14:paraId="0E9A9EB4" w14:textId="77777777" w:rsidR="00827437" w:rsidRPr="00522104" w:rsidRDefault="00827437" w:rsidP="00E40BEE">
            <w:pPr>
              <w:spacing w:after="0" w:line="240" w:lineRule="auto"/>
              <w:rPr>
                <w:rFonts w:ascii="Times New Roman" w:eastAsia="Times New Roman" w:hAnsi="Times New Roman" w:cs="Times New Roman"/>
                <w:bCs/>
                <w:color w:val="000000"/>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C719D5" w14:textId="77777777" w:rsidR="00827437" w:rsidRPr="00522104" w:rsidRDefault="00827437" w:rsidP="000B3CF8">
            <w:pPr>
              <w:spacing w:after="0" w:line="240" w:lineRule="auto"/>
              <w:ind w:left="-74"/>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на 2021 год</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6F44B" w14:textId="77777777" w:rsidR="00827437" w:rsidRPr="00522104" w:rsidRDefault="00827437" w:rsidP="00E40BEE">
            <w:pPr>
              <w:spacing w:after="0" w:line="240" w:lineRule="auto"/>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на 2022 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6BB03" w14:textId="41983201" w:rsidR="00827437" w:rsidRPr="00522104" w:rsidRDefault="00827437" w:rsidP="00E40BEE">
            <w:pPr>
              <w:spacing w:after="0" w:line="240" w:lineRule="auto"/>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2022</w:t>
            </w:r>
            <w:r w:rsidR="00272907">
              <w:rPr>
                <w:rFonts w:ascii="Times New Roman" w:eastAsia="Times New Roman" w:hAnsi="Times New Roman" w:cs="Times New Roman"/>
                <w:bCs/>
                <w:color w:val="000000"/>
                <w:lang w:eastAsia="ru-RU"/>
              </w:rPr>
              <w:t xml:space="preserve"> год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12CCB" w14:textId="06C33944" w:rsidR="00827437" w:rsidRPr="00522104" w:rsidRDefault="00827437" w:rsidP="00E40BEE">
            <w:pPr>
              <w:spacing w:after="0" w:line="240" w:lineRule="auto"/>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2023</w:t>
            </w:r>
            <w:r w:rsidR="00272907">
              <w:rPr>
                <w:rFonts w:ascii="Times New Roman" w:eastAsia="Times New Roman" w:hAnsi="Times New Roman" w:cs="Times New Roman"/>
                <w:bCs/>
                <w:color w:val="000000"/>
                <w:lang w:eastAsia="ru-RU"/>
              </w:rPr>
              <w:t xml:space="preserve"> год</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04541" w14:textId="0A78A492" w:rsidR="00827437" w:rsidRPr="00522104" w:rsidRDefault="00827437" w:rsidP="00E40BEE">
            <w:pPr>
              <w:spacing w:after="0" w:line="240" w:lineRule="auto"/>
              <w:jc w:val="center"/>
              <w:rPr>
                <w:rFonts w:ascii="Times New Roman" w:eastAsia="Times New Roman" w:hAnsi="Times New Roman" w:cs="Times New Roman"/>
                <w:bCs/>
                <w:color w:val="000000"/>
                <w:lang w:eastAsia="ru-RU"/>
              </w:rPr>
            </w:pPr>
            <w:r w:rsidRPr="00522104">
              <w:rPr>
                <w:rFonts w:ascii="Times New Roman" w:eastAsia="Times New Roman" w:hAnsi="Times New Roman" w:cs="Times New Roman"/>
                <w:bCs/>
                <w:color w:val="000000"/>
                <w:lang w:eastAsia="ru-RU"/>
              </w:rPr>
              <w:t>2024</w:t>
            </w:r>
            <w:r w:rsidR="00272907">
              <w:rPr>
                <w:rFonts w:ascii="Times New Roman" w:eastAsia="Times New Roman" w:hAnsi="Times New Roman" w:cs="Times New Roman"/>
                <w:bCs/>
                <w:color w:val="000000"/>
                <w:lang w:eastAsia="ru-RU"/>
              </w:rPr>
              <w:t xml:space="preserve"> год</w:t>
            </w:r>
          </w:p>
        </w:tc>
      </w:tr>
      <w:tr w:rsidR="00827437" w:rsidRPr="00522104" w14:paraId="16D9FCCF"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80E5D" w14:textId="77777777" w:rsidR="00827437" w:rsidRPr="00522104" w:rsidRDefault="00827437" w:rsidP="00E40BEE">
            <w:pPr>
              <w:spacing w:after="0" w:line="240" w:lineRule="auto"/>
              <w:jc w:val="both"/>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Кредиты кредитных организаций в валюте РФ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CBED6A"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FB6FF"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3 075,90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FC5D62"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3 734,62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973F1D"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669,79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5CEC16"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675,69</w:t>
            </w:r>
          </w:p>
        </w:tc>
      </w:tr>
      <w:tr w:rsidR="00827437" w:rsidRPr="00522104" w14:paraId="0C0B9B33"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44B7E" w14:textId="1C9524E9" w:rsidR="00827437" w:rsidRPr="00522104" w:rsidRDefault="00827437" w:rsidP="00560014">
            <w:pPr>
              <w:spacing w:after="0" w:line="240" w:lineRule="auto"/>
              <w:jc w:val="both"/>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 xml:space="preserve">Привлечение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106C0"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BCD5C2"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6 075,91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13D6E"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3 734,62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7E8983"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4 404,41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6E5DA7"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5 080,10</w:t>
            </w:r>
          </w:p>
        </w:tc>
      </w:tr>
      <w:tr w:rsidR="00827437" w:rsidRPr="00522104" w14:paraId="02822EC3"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DAA9A" w14:textId="20B5B2CC" w:rsidR="00827437" w:rsidRPr="00522104" w:rsidRDefault="00827437" w:rsidP="00560014">
            <w:pPr>
              <w:spacing w:after="0" w:line="240" w:lineRule="auto"/>
              <w:jc w:val="both"/>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Погашение</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969CD4"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-3 000,00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0B446A"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-3 000,00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4C505A"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36F3A"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-3 734,62</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ED871"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-4 404,41</w:t>
            </w:r>
          </w:p>
        </w:tc>
      </w:tr>
      <w:tr w:rsidR="00827437" w:rsidRPr="00522104" w14:paraId="34B6AB00"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89BCC" w14:textId="77777777" w:rsidR="00827437" w:rsidRPr="00522104" w:rsidRDefault="00827437" w:rsidP="00E40BEE">
            <w:pPr>
              <w:spacing w:after="0" w:line="240" w:lineRule="auto"/>
              <w:jc w:val="both"/>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Бюджетные кредиты из других бюджетов бюджетной системы РФ в валюте РФ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DBA5B"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-724,13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32E5FD"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-724,13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ADE5D7"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-724,13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573529"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-724,13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F2762"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-724,13</w:t>
            </w:r>
          </w:p>
        </w:tc>
      </w:tr>
      <w:tr w:rsidR="00827437" w:rsidRPr="00522104" w14:paraId="708CA488"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AF504" w14:textId="7598FFC4" w:rsidR="00827437" w:rsidRPr="00522104" w:rsidRDefault="00827437" w:rsidP="00560014">
            <w:pPr>
              <w:spacing w:after="0" w:line="240" w:lineRule="auto"/>
              <w:jc w:val="both"/>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 xml:space="preserve">Привлечение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268860"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4A9043"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8D1575"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7D0F69"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6 000,00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C4F234"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6 000,00</w:t>
            </w:r>
          </w:p>
        </w:tc>
      </w:tr>
      <w:tr w:rsidR="00827437" w:rsidRPr="00522104" w14:paraId="5DFD8BFD"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0E81F" w14:textId="0999033C" w:rsidR="00827437" w:rsidRPr="00522104" w:rsidRDefault="00827437" w:rsidP="00560014">
            <w:pPr>
              <w:spacing w:after="0" w:line="240" w:lineRule="auto"/>
              <w:jc w:val="both"/>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Погашение</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25CAB2"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-6 724,13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DDFBE8"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-6 724,13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15ED30"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-6 724,13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393896"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-6 724,13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C866A"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-6 724,13</w:t>
            </w:r>
          </w:p>
        </w:tc>
      </w:tr>
      <w:tr w:rsidR="00827437" w:rsidRPr="00522104" w14:paraId="5789A82E"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04FEF" w14:textId="77777777" w:rsidR="00827437" w:rsidRPr="00522104" w:rsidRDefault="00827437" w:rsidP="00E40BEE">
            <w:pPr>
              <w:spacing w:after="0" w:line="240" w:lineRule="auto"/>
              <w:jc w:val="both"/>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Изменение остатков средств на счетах по учету средств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377AA9"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9 060,66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98261"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BBAD0A"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4 000,00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EA1E64"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CC04A"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r>
      <w:tr w:rsidR="00827437" w:rsidRPr="00522104" w14:paraId="04902C3E"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5C99F" w14:textId="4E1DC02E" w:rsidR="00827437" w:rsidRPr="00522104" w:rsidRDefault="00827437" w:rsidP="00560014">
            <w:pPr>
              <w:spacing w:after="0" w:line="240" w:lineRule="auto"/>
              <w:jc w:val="both"/>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 xml:space="preserve">Увеличение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14BB98" w14:textId="77777777" w:rsidR="00827437" w:rsidRPr="00522104" w:rsidRDefault="00827437" w:rsidP="00E40BEE">
            <w:pPr>
              <w:spacing w:after="0" w:line="240" w:lineRule="auto"/>
              <w:ind w:left="-108"/>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-167 489,81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D8018"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-147 294,94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81CAB" w14:textId="77777777" w:rsidR="00827437" w:rsidRPr="00522104" w:rsidRDefault="00827437" w:rsidP="00E40BEE">
            <w:pPr>
              <w:spacing w:after="0" w:line="240" w:lineRule="auto"/>
              <w:ind w:left="-197"/>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-162 805,73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0A103" w14:textId="77777777" w:rsidR="00827437" w:rsidRPr="00522104" w:rsidRDefault="00827437" w:rsidP="00E40BEE">
            <w:pPr>
              <w:spacing w:after="0" w:line="240" w:lineRule="auto"/>
              <w:ind w:left="-197"/>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-159 083,26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DE894" w14:textId="77777777" w:rsidR="00827437" w:rsidRPr="00522104" w:rsidRDefault="00827437" w:rsidP="00E40BEE">
            <w:pPr>
              <w:spacing w:after="0" w:line="240" w:lineRule="auto"/>
              <w:ind w:left="-197"/>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-162 530,23</w:t>
            </w:r>
          </w:p>
        </w:tc>
      </w:tr>
      <w:tr w:rsidR="00827437" w:rsidRPr="00522104" w14:paraId="6C3A002D"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DFC06" w14:textId="66628511" w:rsidR="00827437" w:rsidRPr="00522104" w:rsidRDefault="00827437" w:rsidP="00560014">
            <w:pPr>
              <w:spacing w:after="0" w:line="240" w:lineRule="auto"/>
              <w:jc w:val="both"/>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 xml:space="preserve">Уменьшение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A402F" w14:textId="77777777" w:rsidR="00827437" w:rsidRPr="00522104" w:rsidRDefault="00827437" w:rsidP="00E40BEE">
            <w:pPr>
              <w:spacing w:after="0" w:line="240" w:lineRule="auto"/>
              <w:ind w:left="-108"/>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176 550,47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3D01EB" w14:textId="77777777" w:rsidR="00827437" w:rsidRPr="00522104" w:rsidRDefault="00827437" w:rsidP="00E40BEE">
            <w:pPr>
              <w:spacing w:after="0" w:line="240" w:lineRule="auto"/>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147 294,94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F9312" w14:textId="77777777" w:rsidR="00827437" w:rsidRPr="00522104" w:rsidRDefault="00827437" w:rsidP="00E40BEE">
            <w:pPr>
              <w:spacing w:after="0" w:line="240" w:lineRule="auto"/>
              <w:ind w:left="-197"/>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166 805,73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3A1FBD" w14:textId="77777777" w:rsidR="00827437" w:rsidRPr="00522104" w:rsidRDefault="00827437" w:rsidP="00E40BEE">
            <w:pPr>
              <w:spacing w:after="0" w:line="240" w:lineRule="auto"/>
              <w:ind w:left="-197"/>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159 083,26</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E0556C" w14:textId="77777777" w:rsidR="00827437" w:rsidRPr="00522104" w:rsidRDefault="00827437" w:rsidP="00E40BEE">
            <w:pPr>
              <w:spacing w:after="0" w:line="240" w:lineRule="auto"/>
              <w:ind w:left="-197"/>
              <w:jc w:val="right"/>
              <w:rPr>
                <w:rFonts w:ascii="Times New Roman" w:eastAsia="Times New Roman" w:hAnsi="Times New Roman" w:cs="Times New Roman"/>
                <w:i/>
                <w:iCs/>
                <w:color w:val="000000"/>
                <w:lang w:eastAsia="ru-RU"/>
              </w:rPr>
            </w:pPr>
            <w:r w:rsidRPr="00522104">
              <w:rPr>
                <w:rFonts w:ascii="Times New Roman" w:eastAsia="Times New Roman" w:hAnsi="Times New Roman" w:cs="Times New Roman"/>
                <w:i/>
                <w:iCs/>
                <w:color w:val="000000"/>
                <w:lang w:eastAsia="ru-RU"/>
              </w:rPr>
              <w:t>162 530,23</w:t>
            </w:r>
          </w:p>
        </w:tc>
      </w:tr>
      <w:tr w:rsidR="00827437" w:rsidRPr="00522104" w14:paraId="75E88500"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5A66D" w14:textId="77777777" w:rsidR="00827437" w:rsidRPr="00522104" w:rsidRDefault="00827437" w:rsidP="00E40BEE">
            <w:pPr>
              <w:spacing w:after="0" w:line="240" w:lineRule="auto"/>
              <w:jc w:val="both"/>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Иные источники внутреннего финансирования дефицитов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E629D"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9F1A8"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48A4F4"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125,93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ED0632"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54,33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13992F"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48,44</w:t>
            </w:r>
          </w:p>
        </w:tc>
      </w:tr>
      <w:tr w:rsidR="00827437" w:rsidRPr="00522104" w14:paraId="2F1EB967"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434489" w14:textId="77777777" w:rsidR="00827437" w:rsidRPr="00522104" w:rsidRDefault="00827437" w:rsidP="00E40BEE">
            <w:pPr>
              <w:spacing w:after="0" w:line="240" w:lineRule="auto"/>
              <w:jc w:val="both"/>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Бюджетные кредиты, предоставленные внутри страны в валюте РФ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A93F91"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88B00"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F93300"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125,93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66316"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54,33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425E6"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48,44</w:t>
            </w:r>
          </w:p>
        </w:tc>
      </w:tr>
      <w:tr w:rsidR="00827437" w:rsidRPr="00522104" w14:paraId="659A3BEB"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B7DE2" w14:textId="6C97CDA4" w:rsidR="00827437" w:rsidRPr="00522104" w:rsidRDefault="00827437" w:rsidP="00560014">
            <w:pPr>
              <w:spacing w:after="0" w:line="240" w:lineRule="auto"/>
              <w:jc w:val="both"/>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Возврат предоставленных кредитов</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D91C4B"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518,96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1F573E"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311,34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2B1E0"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625,93</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EBBBC"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454,33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50194"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448,44</w:t>
            </w:r>
          </w:p>
        </w:tc>
      </w:tr>
      <w:tr w:rsidR="00827437" w:rsidRPr="00522104" w14:paraId="3EE67A07" w14:textId="77777777" w:rsidTr="00E40BEE">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98634" w14:textId="16B8FF12" w:rsidR="00827437" w:rsidRPr="00522104" w:rsidRDefault="00827437" w:rsidP="00560014">
            <w:pPr>
              <w:spacing w:after="0" w:line="240" w:lineRule="auto"/>
              <w:jc w:val="both"/>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юридическим лицам</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9E5EF1"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75,22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D2C87"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75,22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91FCE1"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60,35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9F024D"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83783"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0,00</w:t>
            </w:r>
          </w:p>
        </w:tc>
      </w:tr>
      <w:tr w:rsidR="00827437" w:rsidRPr="00522104" w14:paraId="0B7C29E9" w14:textId="77777777" w:rsidTr="000B3CF8">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4256D" w14:textId="521E1DFE" w:rsidR="00827437" w:rsidRPr="00522104" w:rsidRDefault="00827437" w:rsidP="00560014">
            <w:pPr>
              <w:spacing w:after="0" w:line="240" w:lineRule="auto"/>
              <w:jc w:val="both"/>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 xml:space="preserve">другим бюджетам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C99FF"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443,74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C857C"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236,12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9A237"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565,58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0EC5A"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454,33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980EC9"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448,44</w:t>
            </w:r>
          </w:p>
        </w:tc>
      </w:tr>
      <w:tr w:rsidR="00827437" w:rsidRPr="00522104" w14:paraId="16CE22B2" w14:textId="77777777" w:rsidTr="000B3CF8">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090E8" w14:textId="77777777" w:rsidR="00827437" w:rsidRPr="00522104" w:rsidRDefault="00827437" w:rsidP="00E40BEE">
            <w:pPr>
              <w:spacing w:after="0" w:line="240" w:lineRule="auto"/>
              <w:jc w:val="both"/>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Предоставление бюджетных кредитов внутри страны в валюте РФ</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A3F623"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-518,96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67F19"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-311,34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E6A884"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-500,00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DB9FE7"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-400,00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92337E" w14:textId="77777777" w:rsidR="00827437" w:rsidRPr="00522104" w:rsidRDefault="00827437" w:rsidP="00E40BEE">
            <w:pPr>
              <w:spacing w:after="0" w:line="240" w:lineRule="auto"/>
              <w:jc w:val="right"/>
              <w:rPr>
                <w:rFonts w:ascii="Times New Roman" w:eastAsia="Times New Roman" w:hAnsi="Times New Roman" w:cs="Times New Roman"/>
                <w:color w:val="000000"/>
                <w:lang w:eastAsia="ru-RU"/>
              </w:rPr>
            </w:pPr>
            <w:r w:rsidRPr="00522104">
              <w:rPr>
                <w:rFonts w:ascii="Times New Roman" w:eastAsia="Times New Roman" w:hAnsi="Times New Roman" w:cs="Times New Roman"/>
                <w:color w:val="000000"/>
                <w:lang w:eastAsia="ru-RU"/>
              </w:rPr>
              <w:t>-400,00</w:t>
            </w:r>
          </w:p>
        </w:tc>
      </w:tr>
      <w:tr w:rsidR="00827437" w:rsidRPr="00522104" w14:paraId="71752D69" w14:textId="77777777" w:rsidTr="000B3CF8">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5C9CC" w14:textId="77777777" w:rsidR="00827437" w:rsidRPr="00522104" w:rsidRDefault="00827437" w:rsidP="00E40BEE">
            <w:pPr>
              <w:spacing w:after="0" w:line="240" w:lineRule="auto"/>
              <w:jc w:val="both"/>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 xml:space="preserve">Предоставление другим бюджетам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EB8DB9"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-518,96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A8BA5D"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-311,34</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2588E"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-500,00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C001A"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-400,00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6CA7FB" w14:textId="77777777" w:rsidR="00827437" w:rsidRPr="00522104" w:rsidRDefault="00827437" w:rsidP="00E40BEE">
            <w:pPr>
              <w:spacing w:after="0" w:line="240" w:lineRule="auto"/>
              <w:jc w:val="right"/>
              <w:rPr>
                <w:rFonts w:ascii="Times New Roman" w:eastAsia="Times New Roman" w:hAnsi="Times New Roman" w:cs="Times New Roman"/>
                <w:i/>
                <w:color w:val="000000"/>
                <w:lang w:eastAsia="ru-RU"/>
              </w:rPr>
            </w:pPr>
            <w:r w:rsidRPr="00522104">
              <w:rPr>
                <w:rFonts w:ascii="Times New Roman" w:eastAsia="Times New Roman" w:hAnsi="Times New Roman" w:cs="Times New Roman"/>
                <w:i/>
                <w:color w:val="000000"/>
                <w:lang w:eastAsia="ru-RU"/>
              </w:rPr>
              <w:t>-400,00</w:t>
            </w:r>
          </w:p>
        </w:tc>
      </w:tr>
      <w:tr w:rsidR="00827437" w:rsidRPr="00522104" w14:paraId="69270F86" w14:textId="77777777" w:rsidTr="000B3CF8">
        <w:trPr>
          <w:trHeight w:val="20"/>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BFE32" w14:textId="68718BE9" w:rsidR="00827437" w:rsidRPr="00522104" w:rsidRDefault="00827437" w:rsidP="00560014">
            <w:pPr>
              <w:spacing w:after="0" w:line="240" w:lineRule="auto"/>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 xml:space="preserve">Итого источников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33911D"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8 336,53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52F447"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2 351,78</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23378"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7 136,42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2D36BF"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9A010D" w14:textId="77777777" w:rsidR="00827437" w:rsidRPr="00522104" w:rsidRDefault="00827437" w:rsidP="00E40BEE">
            <w:pPr>
              <w:spacing w:after="0" w:line="240" w:lineRule="auto"/>
              <w:jc w:val="right"/>
              <w:rPr>
                <w:rFonts w:ascii="Times New Roman" w:eastAsia="Times New Roman" w:hAnsi="Times New Roman" w:cs="Times New Roman"/>
                <w:b/>
                <w:bCs/>
                <w:color w:val="000000"/>
                <w:lang w:eastAsia="ru-RU"/>
              </w:rPr>
            </w:pPr>
            <w:r w:rsidRPr="00522104">
              <w:rPr>
                <w:rFonts w:ascii="Times New Roman" w:eastAsia="Times New Roman" w:hAnsi="Times New Roman" w:cs="Times New Roman"/>
                <w:b/>
                <w:bCs/>
                <w:color w:val="000000"/>
                <w:lang w:eastAsia="ru-RU"/>
              </w:rPr>
              <w:t>0,00</w:t>
            </w:r>
          </w:p>
        </w:tc>
      </w:tr>
    </w:tbl>
    <w:p w14:paraId="1A8B67EE"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p>
    <w:p w14:paraId="711ED8E5"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законопроекте на 2022 год в качестве привлечения источников внутреннего финансирования дефицита краевого бюджета в общем объеме 9734,62 млн рублей планируется получение кредитов из федерального бюджета в сумме 6000,00 млн рублей и от кредитных организаций – 3734,62 млн рублей.</w:t>
      </w:r>
    </w:p>
    <w:p w14:paraId="4773B550"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Погашение обязательств краевого бюджета в 2022 году предусмотрено перед федеральным бюджетом в сумме (-) 6724,13 млн рублей.</w:t>
      </w:r>
    </w:p>
    <w:p w14:paraId="3CFF9C19"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изменениях остатков средств на счетах по учету средств бюджета отражена разница между увеличением и уменьшением прочих остатков денежных средств бюджета Приморского края, которая составит 4000,00 млн рублей. Увеличение прочих остатков средств на счетах по учету средств бюджета на 2022 год прогнозируется в сумме (-) 162805,73 млн рублей, уменьшение прочих остатков – 166805,73 млн рублей.</w:t>
      </w:r>
    </w:p>
    <w:p w14:paraId="35144359" w14:textId="46EF43B2"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Возврат бюджетных кредитов, предоставленных из краевого бюджета</w:t>
      </w:r>
      <w:r w:rsidR="0056001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запланирован в сумме 625,93 млн рублей</w:t>
      </w:r>
      <w:r w:rsidR="00560014" w:rsidRPr="00522104">
        <w:rPr>
          <w:rFonts w:ascii="Times New Roman" w:eastAsia="Times New Roman" w:hAnsi="Times New Roman" w:cs="Times New Roman"/>
          <w:sz w:val="28"/>
          <w:szCs w:val="28"/>
          <w:lang w:eastAsia="ru-RU"/>
        </w:rPr>
        <w:t>, в том числе юридическим лицам</w:t>
      </w:r>
      <w:r w:rsidRPr="00522104">
        <w:rPr>
          <w:rFonts w:ascii="Times New Roman" w:eastAsia="Times New Roman" w:hAnsi="Times New Roman" w:cs="Times New Roman"/>
          <w:sz w:val="28"/>
          <w:szCs w:val="28"/>
          <w:lang w:eastAsia="ru-RU"/>
        </w:rPr>
        <w:t xml:space="preserve"> – 60,35 млн рублей (КГУП "Примтеплоэнерго"</w:t>
      </w:r>
      <w:r w:rsidR="00287EDF"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муниципальным образованиям Приморского края – 565,58 млн рублей.</w:t>
      </w:r>
    </w:p>
    <w:p w14:paraId="6568861F"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Предоставление из краевого бюджета бюджетных кредитов муниципальным образованиям Приморского края запланировано в сумме</w:t>
      </w:r>
      <w:r w:rsidRPr="00522104">
        <w:rPr>
          <w:rFonts w:ascii="Times New Roman" w:eastAsia="Times New Roman" w:hAnsi="Times New Roman" w:cs="Times New Roman"/>
          <w:sz w:val="28"/>
          <w:szCs w:val="28"/>
          <w:lang w:eastAsia="ru-RU"/>
        </w:rPr>
        <w:br/>
        <w:t xml:space="preserve"> (-) 500,00 млн рублей для покрытия временных кассовых разрывов, возникающих при исполнении бюджетов муниципальных образований, осуществлении мероприятий, связанных с ликвидацией последствий стихийных бедствий и техногенных аварий и для частичного покрытия дефицитов бюджетов муниципальных образований (статья 12 законопроекта).</w:t>
      </w:r>
    </w:p>
    <w:p w14:paraId="75EE3677"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2023 год краевой бюджет запланирован без дефицита. </w:t>
      </w:r>
    </w:p>
    <w:p w14:paraId="4EAC5FF3" w14:textId="15DB54E4"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составе источников в качестве привлечения источников внутреннего финансирования дефицита краевого бюджета на 2023 год планируется получение кредитов в сумме 10404,41 млн рублей, в том числе коммерческих</w:t>
      </w:r>
      <w:r w:rsidR="00560014"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4404,41 млн рублей и бюджетных – 6000,00 млн рублей.</w:t>
      </w:r>
    </w:p>
    <w:p w14:paraId="45E9DCB2"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Погашение обязательств в 2023 году предусмотрено в общей сумме</w:t>
      </w:r>
      <w:r w:rsidRPr="00522104">
        <w:rPr>
          <w:rFonts w:ascii="Times New Roman" w:eastAsia="Times New Roman" w:hAnsi="Times New Roman" w:cs="Times New Roman"/>
          <w:sz w:val="28"/>
          <w:szCs w:val="28"/>
          <w:lang w:eastAsia="ru-RU"/>
        </w:rPr>
        <w:br/>
        <w:t xml:space="preserve">(-) 10458,75 млн рублей, в том числе перед федеральным бюджетом предусмотрено в сумме (-) 6724,13 млн рублей. Погашение коммерческих кредитов в 2023 году запланировано в сумме (-) 3734,62 млн рублей. </w:t>
      </w:r>
    </w:p>
    <w:p w14:paraId="37C47653"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Возврат бюджетных кредитов муниципальными образованиями Приморского края, предоставленных из краевого бюджета, составит 454,33 млн рублей.</w:t>
      </w:r>
    </w:p>
    <w:p w14:paraId="06FC29F1"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8"/>
          <w:lang w:eastAsia="ru-RU"/>
        </w:rPr>
        <w:t xml:space="preserve">Предоставление бюджетных кредитов муниципальным образованиям запланировано на сумму (-) 400,00 млн рублей. </w:t>
      </w:r>
    </w:p>
    <w:p w14:paraId="12E1C996" w14:textId="31FB9FA1"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2024 год краевой бюджет также запланирован без дефицита. Общий объем привлеченных кредитных средств составит 11080,10 млн рублей, в том числе коммерческих кредитов – 5080,10 млн рублей и бюджетных – 6000,00 млн рублей.</w:t>
      </w:r>
    </w:p>
    <w:p w14:paraId="7AFF3A75"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Погашение кредитных обязательств предусмотрено в сумме </w:t>
      </w:r>
      <w:r w:rsidRPr="00522104">
        <w:rPr>
          <w:rFonts w:ascii="Times New Roman" w:eastAsia="Times New Roman" w:hAnsi="Times New Roman" w:cs="Times New Roman"/>
          <w:sz w:val="28"/>
          <w:szCs w:val="28"/>
          <w:lang w:eastAsia="ru-RU"/>
        </w:rPr>
        <w:br/>
        <w:t>(-) 11128,54 млн рублей, в том числе коммерческих – (-) 4404,41 млн рублей, бюджетных – (-) 6724,13 млн рублей.</w:t>
      </w:r>
    </w:p>
    <w:p w14:paraId="2C7298D6"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Муниципальными образованиями Приморского края возврат предоставленных бюджетных кредитов в краевой бюджет составит 448,44 млн рублей, также прогнозируется предоставление бюджетных кредитов из краевого бюджета (-) 400,00 млн рублей. </w:t>
      </w:r>
    </w:p>
    <w:p w14:paraId="435E06CF"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4"/>
          <w:lang w:eastAsia="ru-RU"/>
        </w:rPr>
        <w:t xml:space="preserve">Представленный законопроектом на 2022 год </w:t>
      </w:r>
      <w:r w:rsidRPr="00522104">
        <w:rPr>
          <w:rFonts w:ascii="Times New Roman" w:eastAsia="Times New Roman" w:hAnsi="Times New Roman" w:cs="Times New Roman"/>
          <w:sz w:val="28"/>
          <w:szCs w:val="28"/>
          <w:lang w:eastAsia="ru-RU"/>
        </w:rPr>
        <w:t>размер дефицита краевого бюджета не превышает ограничения, установленные статьей 92.1 Бюджетного кодекса Российской Федерации.</w:t>
      </w:r>
    </w:p>
    <w:p w14:paraId="09380E77" w14:textId="77777777" w:rsidR="00827437" w:rsidRPr="00522104" w:rsidRDefault="00827437" w:rsidP="00827437">
      <w:pPr>
        <w:spacing w:after="0" w:line="240" w:lineRule="auto"/>
        <w:ind w:firstLine="720"/>
        <w:rPr>
          <w:rFonts w:ascii="Times New Roman" w:eastAsia="Times New Roman" w:hAnsi="Times New Roman" w:cs="Times New Roman"/>
          <w:b/>
          <w:sz w:val="28"/>
          <w:szCs w:val="28"/>
          <w:lang w:eastAsia="ru-RU"/>
        </w:rPr>
      </w:pPr>
    </w:p>
    <w:p w14:paraId="468FA7D9" w14:textId="77777777"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7. В</w:t>
      </w:r>
      <w:r w:rsidRPr="00522104">
        <w:rPr>
          <w:rFonts w:ascii="Times New Roman" w:hAnsi="Times New Roman" w:cs="Times New Roman"/>
          <w:b/>
          <w:sz w:val="28"/>
          <w:szCs w:val="28"/>
        </w:rPr>
        <w:t xml:space="preserve">ерхний предел государственного внутреннего долга. </w:t>
      </w:r>
      <w:r w:rsidRPr="00522104">
        <w:rPr>
          <w:rFonts w:ascii="Times New Roman" w:eastAsia="Times New Roman" w:hAnsi="Times New Roman" w:cs="Times New Roman"/>
          <w:b/>
          <w:sz w:val="28"/>
          <w:szCs w:val="28"/>
          <w:lang w:eastAsia="ru-RU"/>
        </w:rPr>
        <w:t>Государственный долг Приморского края.</w:t>
      </w:r>
    </w:p>
    <w:p w14:paraId="102707A7"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1.</w:t>
      </w:r>
      <w:r w:rsidRPr="00522104">
        <w:rPr>
          <w:rFonts w:ascii="Times New Roman" w:eastAsia="Times New Roman" w:hAnsi="Times New Roman" w:cs="Times New Roman"/>
          <w:sz w:val="28"/>
          <w:szCs w:val="28"/>
          <w:lang w:eastAsia="ru-RU"/>
        </w:rPr>
        <w:t> Согласно части 1 статьи 1 законопроекта верхний предел государственного внутреннего долга Приморского края на 01.01.2023 прогнозируется в размере 13167,45 млн рублей, что составляет 12,00 % общего годового объема налоговых и неналоговых доходов краевого бюджета (109728,74 млн рублей). Величина верхнего предела государственного внутреннего долга Приморского края соответствует установленным условиям дополнительных соглашений, заключенным в рамках проведения в 2017 году реструктуризации обязательств Приморского края перед Российской Федерацией по бюджетным кредитам.</w:t>
      </w:r>
    </w:p>
    <w:p w14:paraId="445D40A6" w14:textId="1D27BD2E" w:rsidR="00827437" w:rsidRPr="00522104" w:rsidRDefault="00827437" w:rsidP="0082743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Частью 2 статьи 1 законопроекта планируется верхний предел государственного внутреннего долга Приморского края на 01.01.2024 в сумме 12513,61 млн рублей, или 11,00 %</w:t>
      </w:r>
      <w:r w:rsidR="0056001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объема налоговых и неналоговых доходов (113760,09 млн рублей), в том числе верхний предел долга по государственным гарантиями Приморского края – 438,43 млн рублей.</w:t>
      </w:r>
    </w:p>
    <w:p w14:paraId="4885F5DF" w14:textId="19EE640C"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01.01.2025 планируется верхний предел государственного внутреннего долга Приморского края в сумме 11830,28 млн рублей, или 10,00</w:t>
      </w:r>
      <w:r w:rsidR="00560014" w:rsidRPr="00522104">
        <w:rPr>
          <w:rFonts w:ascii="Times New Roman" w:eastAsia="Times New Roman" w:hAnsi="Times New Roman" w:cs="Times New Roman"/>
          <w:sz w:val="28"/>
          <w:szCs w:val="28"/>
          <w:lang w:eastAsia="ru-RU"/>
        </w:rPr>
        <w:t> </w:t>
      </w:r>
      <w:r w:rsidRPr="00522104">
        <w:rPr>
          <w:rFonts w:ascii="Times New Roman" w:eastAsia="Times New Roman" w:hAnsi="Times New Roman" w:cs="Times New Roman"/>
          <w:sz w:val="28"/>
          <w:szCs w:val="28"/>
          <w:lang w:eastAsia="ru-RU"/>
        </w:rPr>
        <w:t>% от объема налоговых и неналоговых доходов (118302,80 млн рублей).</w:t>
      </w:r>
    </w:p>
    <w:p w14:paraId="5636567C" w14:textId="77777777" w:rsidR="00827437" w:rsidRPr="00522104" w:rsidRDefault="00827437" w:rsidP="00827437">
      <w:pPr>
        <w:spacing w:after="0" w:line="240" w:lineRule="auto"/>
        <w:ind w:firstLine="720"/>
        <w:jc w:val="both"/>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Справочно: согласно Основным направлениям бюджетной и налоговой политики Приморского края на 2022 год и плановый период 2023 и 2024 годов Правительство Российской Федерации одобрило Приморскому краю выдачу бюджетного кредита на финансовое обеспечение реализации инфраструктурных проектов в сумме 9369,26 млн рублей.</w:t>
      </w:r>
      <w:r w:rsidRPr="00522104">
        <w:rPr>
          <w:rFonts w:ascii="Times New Roman" w:hAnsi="Times New Roman" w:cs="Times New Roman"/>
        </w:rPr>
        <w:t xml:space="preserve"> </w:t>
      </w:r>
      <w:r w:rsidRPr="00522104">
        <w:rPr>
          <w:rFonts w:ascii="Times New Roman" w:eastAsia="Times New Roman" w:hAnsi="Times New Roman" w:cs="Times New Roman"/>
          <w:i/>
          <w:sz w:val="28"/>
          <w:szCs w:val="28"/>
          <w:lang w:eastAsia="ru-RU"/>
        </w:rPr>
        <w:t>Основная часть средств будет направлена на строительство детских садов, инженерных сетей, транспортной инфраструктуры, а также складских и административных комплексов.</w:t>
      </w:r>
      <w:r w:rsidRPr="00522104">
        <w:rPr>
          <w:rFonts w:ascii="Times New Roman" w:eastAsia="Times New Roman" w:hAnsi="Times New Roman" w:cs="Times New Roman"/>
          <w:i/>
          <w:sz w:val="28"/>
          <w:szCs w:val="28"/>
          <w:vertAlign w:val="superscript"/>
          <w:lang w:eastAsia="ru-RU"/>
        </w:rPr>
        <w:footnoteReference w:id="55"/>
      </w:r>
    </w:p>
    <w:p w14:paraId="7DA0B127"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Представленные в законопроекте показатели верхнего предела государственного внутреннего долга Приморского края соответствуют нормативным положениям, установленным статьей 107 Бюджетного кодекса Российской Федерации.</w:t>
      </w:r>
    </w:p>
    <w:p w14:paraId="18B92AC5"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2.</w:t>
      </w:r>
      <w:r w:rsidRPr="00522104">
        <w:rPr>
          <w:rFonts w:ascii="Times New Roman" w:eastAsia="Times New Roman" w:hAnsi="Times New Roman" w:cs="Times New Roman"/>
          <w:sz w:val="28"/>
          <w:szCs w:val="28"/>
          <w:lang w:eastAsia="ru-RU"/>
        </w:rPr>
        <w:t> В материалах к законопроекту представлен проект Бюджетного прогноза Приморского края на 2017 – 2028 годы, который содержит прогнозируемые показатели объема государственного долга Приморского края (далее – госдолг).</w:t>
      </w:r>
    </w:p>
    <w:p w14:paraId="12AA75F3" w14:textId="77777777" w:rsidR="00827437" w:rsidRPr="00522104" w:rsidRDefault="00827437" w:rsidP="00827437">
      <w:pPr>
        <w:autoSpaceDE w:val="0"/>
        <w:autoSpaceDN w:val="0"/>
        <w:adjustRightInd w:val="0"/>
        <w:spacing w:after="0" w:line="240" w:lineRule="auto"/>
        <w:ind w:firstLine="709"/>
        <w:jc w:val="both"/>
        <w:outlineLvl w:val="2"/>
        <w:rPr>
          <w:rFonts w:ascii="Times New Roman" w:eastAsia="Times New Roman" w:hAnsi="Times New Roman" w:cs="Times New Roman"/>
          <w:i/>
          <w:sz w:val="28"/>
          <w:szCs w:val="28"/>
          <w:lang w:eastAsia="ru-RU"/>
        </w:rPr>
      </w:pPr>
      <w:r w:rsidRPr="00522104">
        <w:rPr>
          <w:rFonts w:ascii="Times New Roman" w:eastAsia="Times New Roman" w:hAnsi="Times New Roman" w:cs="Times New Roman"/>
          <w:i/>
          <w:sz w:val="28"/>
          <w:szCs w:val="28"/>
          <w:lang w:eastAsia="ru-RU"/>
        </w:rPr>
        <w:t>Справочно: по состоянию на 01.11.2021 объем государственного долга Приморского края составляет 3504,51 млн рублей, в том числе: государственные гарантии – 1168,43 млн рублей, бюджетные кредиты – 2336,08 млн рублей</w:t>
      </w:r>
      <w:r w:rsidRPr="00522104">
        <w:rPr>
          <w:rFonts w:ascii="Times New Roman" w:eastAsia="Times New Roman" w:hAnsi="Times New Roman" w:cs="Times New Roman"/>
          <w:i/>
          <w:sz w:val="28"/>
          <w:szCs w:val="28"/>
          <w:vertAlign w:val="superscript"/>
          <w:lang w:eastAsia="ru-RU"/>
        </w:rPr>
        <w:footnoteReference w:id="56"/>
      </w:r>
      <w:r w:rsidRPr="00522104">
        <w:rPr>
          <w:rFonts w:ascii="Times New Roman" w:eastAsia="Times New Roman" w:hAnsi="Times New Roman" w:cs="Times New Roman"/>
          <w:i/>
          <w:sz w:val="28"/>
          <w:szCs w:val="28"/>
          <w:lang w:eastAsia="ru-RU"/>
        </w:rPr>
        <w:t>.</w:t>
      </w:r>
    </w:p>
    <w:p w14:paraId="307BAF77" w14:textId="292DB398"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соответствии с бюджетным прогнозом Приморского края на 2017 – 2028 годы (далее – бюджетный прогноз) госдолг увеличится в 2022 году до 5785,00 млн рублей. Согласно представленным расчетам по источникам финансировани</w:t>
      </w:r>
      <w:r w:rsidR="00F4750D" w:rsidRPr="00522104">
        <w:rPr>
          <w:rFonts w:ascii="Times New Roman" w:eastAsia="Times New Roman" w:hAnsi="Times New Roman" w:cs="Times New Roman"/>
          <w:sz w:val="28"/>
          <w:szCs w:val="28"/>
          <w:lang w:eastAsia="ru-RU"/>
        </w:rPr>
        <w:t>я дефицита краевого бюджета в конце</w:t>
      </w:r>
      <w:r w:rsidRPr="00522104">
        <w:rPr>
          <w:rFonts w:ascii="Times New Roman" w:eastAsia="Times New Roman" w:hAnsi="Times New Roman" w:cs="Times New Roman"/>
          <w:sz w:val="28"/>
          <w:szCs w:val="28"/>
          <w:lang w:eastAsia="ru-RU"/>
        </w:rPr>
        <w:t xml:space="preserve"> 2022 года планируется погашение бюджетных кредитов, что повлечет за собой снижение госдолга в 2023 и 2024 годах (в 2023 году – 5730,67 млн рублей, в 2024 – 5243,80 млн рублей). Законопроектом на 2022 и 2023 годы обязательства по государственным гарантиям Приморского края не запланированы (Приложение 22, 23 к законопроекту). В 2024 году объем бюджетных ассигнований на исполнение гарантий по возможным гарантийным случаям запланирован в сумме 438,43 млн рублей.</w:t>
      </w:r>
    </w:p>
    <w:p w14:paraId="140726F3" w14:textId="77777777" w:rsidR="00827437" w:rsidRPr="00522104" w:rsidRDefault="00827437" w:rsidP="00827437">
      <w:pPr>
        <w:spacing w:after="0" w:line="240" w:lineRule="auto"/>
        <w:ind w:firstLine="720"/>
        <w:jc w:val="both"/>
        <w:rPr>
          <w:rFonts w:ascii="Times New Roman" w:eastAsia="Times New Roman" w:hAnsi="Times New Roman" w:cs="Times New Roman"/>
          <w:sz w:val="28"/>
          <w:szCs w:val="28"/>
          <w:lang w:eastAsia="ru-RU"/>
        </w:rPr>
      </w:pPr>
    </w:p>
    <w:p w14:paraId="716DED06"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Государственный долг Приморского края (прогноз)</w:t>
      </w:r>
    </w:p>
    <w:p w14:paraId="212AFA97"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(в млн рублей)</w:t>
      </w:r>
    </w:p>
    <w:p w14:paraId="08DC2CA1" w14:textId="77777777" w:rsidR="00827437" w:rsidRPr="00522104" w:rsidRDefault="00827437" w:rsidP="00827437">
      <w:pPr>
        <w:spacing w:after="0" w:line="240" w:lineRule="auto"/>
        <w:ind w:firstLine="720"/>
        <w:jc w:val="center"/>
        <w:rPr>
          <w:rFonts w:ascii="Times New Roman" w:eastAsia="Times New Roman" w:hAnsi="Times New Roman" w:cs="Times New Roman"/>
          <w:b/>
          <w:sz w:val="28"/>
          <w:szCs w:val="28"/>
          <w:lang w:eastAsia="ru-RU"/>
        </w:rPr>
      </w:pPr>
    </w:p>
    <w:p w14:paraId="01A8D1B1" w14:textId="77777777" w:rsidR="00827437" w:rsidRPr="00522104" w:rsidRDefault="00827437" w:rsidP="00827437">
      <w:pPr>
        <w:rPr>
          <w:rFonts w:ascii="Times New Roman" w:hAnsi="Times New Roman" w:cs="Times New Roman"/>
        </w:rPr>
      </w:pPr>
      <w:r w:rsidRPr="00522104">
        <w:rPr>
          <w:rFonts w:ascii="Times New Roman" w:hAnsi="Times New Roman" w:cs="Times New Roman"/>
          <w:noProof/>
          <w:lang w:eastAsia="ru-RU"/>
        </w:rPr>
        <w:drawing>
          <wp:inline distT="0" distB="0" distL="0" distR="0" wp14:anchorId="3E5C1BF4" wp14:editId="74CD2B30">
            <wp:extent cx="5900420" cy="2753832"/>
            <wp:effectExtent l="0" t="0" r="5080" b="8890"/>
            <wp:docPr id="71" name="Диаграмма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481256E" w14:textId="77777777" w:rsidR="00827437" w:rsidRPr="00522104" w:rsidRDefault="00827437" w:rsidP="00827437">
      <w:pPr>
        <w:spacing w:after="0" w:line="240" w:lineRule="auto"/>
        <w:ind w:firstLine="720"/>
        <w:jc w:val="both"/>
        <w:rPr>
          <w:rFonts w:ascii="Times New Roman" w:eastAsia="Times New Roman" w:hAnsi="Times New Roman" w:cs="Times New Roman"/>
          <w:b/>
          <w:sz w:val="28"/>
          <w:szCs w:val="28"/>
          <w:lang w:eastAsia="ru-RU"/>
        </w:rPr>
      </w:pPr>
    </w:p>
    <w:p w14:paraId="59852CCA" w14:textId="77777777" w:rsidR="00827437" w:rsidRPr="00522104" w:rsidRDefault="00827437" w:rsidP="00827437">
      <w:pPr>
        <w:spacing w:after="0" w:line="240" w:lineRule="auto"/>
        <w:ind w:firstLine="720"/>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8. Текстовые статьи проекта закона Приморского края "О краевом бюджете на 2021 год и плановый период 2022 и 2023 годов".</w:t>
      </w:r>
    </w:p>
    <w:p w14:paraId="651439F1" w14:textId="77777777" w:rsidR="00827437" w:rsidRPr="00522104" w:rsidRDefault="00827437" w:rsidP="00827437">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 xml:space="preserve">Статьей 3 законопроекта предусмотрено установление дополнительных нормативов отчислений </w:t>
      </w:r>
      <w:r w:rsidRPr="00522104">
        <w:rPr>
          <w:rFonts w:ascii="Times New Roman" w:eastAsia="Times New Roman" w:hAnsi="Times New Roman" w:cs="Times New Roman"/>
          <w:sz w:val="28"/>
          <w:szCs w:val="28"/>
          <w:lang w:eastAsia="ru-RU"/>
        </w:rPr>
        <w:t xml:space="preserve">от налога на доходы физических лиц в бюджеты муниципальных районов (муниципальных округов, городских округов) Приморского края, </w:t>
      </w:r>
      <w:r w:rsidRPr="00522104">
        <w:rPr>
          <w:rFonts w:ascii="Times New Roman" w:eastAsia="Times New Roman" w:hAnsi="Times New Roman" w:cs="Times New Roman"/>
          <w:b/>
          <w:sz w:val="28"/>
          <w:szCs w:val="28"/>
          <w:lang w:eastAsia="ru-RU"/>
        </w:rPr>
        <w:t>представительные органы которых согласовали замену части</w:t>
      </w:r>
      <w:r w:rsidRPr="00522104">
        <w:rPr>
          <w:rFonts w:ascii="Times New Roman" w:eastAsia="Times New Roman" w:hAnsi="Times New Roman" w:cs="Times New Roman"/>
          <w:sz w:val="28"/>
          <w:szCs w:val="28"/>
          <w:lang w:eastAsia="ru-RU"/>
        </w:rPr>
        <w:t xml:space="preserve"> дотации на выравнивание бюджетной обеспеченности муниципальных районов (муниципальных округов, городских округов) </w:t>
      </w:r>
      <w:r w:rsidRPr="00522104">
        <w:rPr>
          <w:rFonts w:ascii="Times New Roman" w:eastAsia="Times New Roman" w:hAnsi="Times New Roman" w:cs="Times New Roman"/>
          <w:b/>
          <w:sz w:val="28"/>
          <w:szCs w:val="28"/>
          <w:lang w:eastAsia="ru-RU"/>
        </w:rPr>
        <w:t>дополнительным нормативом</w:t>
      </w:r>
      <w:r w:rsidRPr="00522104">
        <w:rPr>
          <w:rFonts w:ascii="Times New Roman" w:eastAsia="Times New Roman" w:hAnsi="Times New Roman" w:cs="Times New Roman"/>
          <w:sz w:val="28"/>
          <w:szCs w:val="28"/>
          <w:lang w:eastAsia="ru-RU"/>
        </w:rPr>
        <w:t>, на 2022 год и плановый период 2023 и 2024 годов согласно приложению 2 к настоящему Закону.</w:t>
      </w:r>
    </w:p>
    <w:p w14:paraId="53FFB65B" w14:textId="7628590C"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Вместе с тем</w:t>
      </w:r>
      <w:r w:rsidR="0032274C" w:rsidRPr="00522104">
        <w:rPr>
          <w:rFonts w:ascii="Times New Roman" w:hAnsi="Times New Roman" w:cs="Times New Roman"/>
          <w:sz w:val="28"/>
          <w:szCs w:val="28"/>
        </w:rPr>
        <w:t>,</w:t>
      </w:r>
      <w:r w:rsidRPr="00522104">
        <w:rPr>
          <w:rFonts w:ascii="Times New Roman" w:hAnsi="Times New Roman" w:cs="Times New Roman"/>
          <w:sz w:val="28"/>
          <w:szCs w:val="28"/>
        </w:rPr>
        <w:t xml:space="preserve"> наименование приложения 2</w:t>
      </w:r>
      <w:r w:rsidRPr="00522104">
        <w:t xml:space="preserve"> </w:t>
      </w:r>
      <w:r w:rsidR="0032274C" w:rsidRPr="00522104">
        <w:rPr>
          <w:rFonts w:ascii="Times New Roman" w:hAnsi="Times New Roman" w:cs="Times New Roman"/>
          <w:sz w:val="28"/>
          <w:szCs w:val="28"/>
        </w:rPr>
        <w:t>"</w:t>
      </w:r>
      <w:r w:rsidRPr="00522104">
        <w:rPr>
          <w:rFonts w:ascii="Times New Roman" w:hAnsi="Times New Roman" w:cs="Times New Roman"/>
          <w:sz w:val="28"/>
          <w:szCs w:val="28"/>
        </w:rPr>
        <w:t>Дополнительные нормативы</w:t>
      </w:r>
      <w:r w:rsidRPr="00522104">
        <w:rPr>
          <w:sz w:val="28"/>
          <w:szCs w:val="28"/>
        </w:rPr>
        <w:t xml:space="preserve"> </w:t>
      </w:r>
      <w:r w:rsidRPr="00522104">
        <w:rPr>
          <w:rFonts w:ascii="Times New Roman" w:eastAsia="Times New Roman" w:hAnsi="Times New Roman" w:cs="Times New Roman"/>
          <w:sz w:val="28"/>
          <w:szCs w:val="28"/>
          <w:lang w:eastAsia="ru-RU"/>
        </w:rPr>
        <w:t xml:space="preserve">отчислений от налога на доходы физических лиц в бюджеты муниципальных районов (муниципальных округов, городских округов) Приморского края, </w:t>
      </w:r>
      <w:r w:rsidRPr="00522104">
        <w:rPr>
          <w:rFonts w:ascii="Times New Roman" w:eastAsia="Times New Roman" w:hAnsi="Times New Roman" w:cs="Times New Roman"/>
          <w:b/>
          <w:sz w:val="28"/>
          <w:szCs w:val="28"/>
          <w:lang w:eastAsia="ru-RU"/>
        </w:rPr>
        <w:t>заменяющие часть</w:t>
      </w:r>
      <w:r w:rsidRPr="00522104">
        <w:rPr>
          <w:rFonts w:ascii="Times New Roman" w:eastAsia="Times New Roman" w:hAnsi="Times New Roman" w:cs="Times New Roman"/>
          <w:sz w:val="28"/>
          <w:szCs w:val="28"/>
          <w:lang w:eastAsia="ru-RU"/>
        </w:rPr>
        <w:t xml:space="preserve"> дотации на выравнивание бюджетной обеспеченности муниципальных районов (муниципальных округов, городских округов),                                                                                     на 2022 год и плановый период 2023 и 2024 годов</w:t>
      </w:r>
      <w:r w:rsidR="00386F64" w:rsidRPr="00522104">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не соответствует статье 3, в связи с чем необходимо привести наименование приложения в соответствие со статьей 3 законопроекта.</w:t>
      </w:r>
    </w:p>
    <w:p w14:paraId="140398CD" w14:textId="77777777" w:rsidR="00827437" w:rsidRPr="00522104" w:rsidRDefault="00827437" w:rsidP="00827437">
      <w:pPr>
        <w:spacing w:after="0" w:line="240" w:lineRule="auto"/>
        <w:ind w:firstLine="708"/>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8"/>
          <w:lang w:eastAsia="ru-RU"/>
        </w:rPr>
        <w:t>Статьей 6 законопроекта утвержден</w:t>
      </w:r>
      <w:r w:rsidRPr="00522104">
        <w:rPr>
          <w:rFonts w:ascii="Times New Roman" w:eastAsia="Times New Roman" w:hAnsi="Times New Roman" w:cs="Times New Roman"/>
          <w:sz w:val="28"/>
          <w:szCs w:val="24"/>
          <w:lang w:eastAsia="ru-RU"/>
        </w:rPr>
        <w:t xml:space="preserve"> </w:t>
      </w:r>
      <w:r w:rsidRPr="00522104">
        <w:rPr>
          <w:rFonts w:ascii="Times New Roman" w:eastAsia="Times New Roman" w:hAnsi="Times New Roman" w:cs="Times New Roman"/>
          <w:b/>
          <w:sz w:val="28"/>
          <w:szCs w:val="24"/>
          <w:lang w:eastAsia="ru-RU"/>
        </w:rPr>
        <w:t>общий объем</w:t>
      </w:r>
      <w:r w:rsidRPr="00522104">
        <w:rPr>
          <w:rFonts w:ascii="Times New Roman" w:eastAsia="Times New Roman" w:hAnsi="Times New Roman" w:cs="Times New Roman"/>
          <w:sz w:val="28"/>
          <w:szCs w:val="24"/>
          <w:lang w:eastAsia="ru-RU"/>
        </w:rPr>
        <w:t xml:space="preserve"> бюджетных ассигнований, направляемых на государственную поддержку семьи и детей, на 2022 год и на плановый период 2023 и 2024 годов согласно </w:t>
      </w:r>
      <w:r w:rsidRPr="00522104">
        <w:rPr>
          <w:rFonts w:ascii="Times New Roman" w:eastAsia="Times New Roman" w:hAnsi="Times New Roman" w:cs="Times New Roman"/>
          <w:sz w:val="28"/>
          <w:szCs w:val="28"/>
          <w:lang w:eastAsia="ru-RU"/>
        </w:rPr>
        <w:t>приложению 11</w:t>
      </w:r>
      <w:r w:rsidRPr="00522104">
        <w:rPr>
          <w:rFonts w:ascii="Times New Roman" w:eastAsia="Times New Roman" w:hAnsi="Times New Roman" w:cs="Times New Roman"/>
          <w:sz w:val="28"/>
          <w:szCs w:val="24"/>
          <w:lang w:eastAsia="ru-RU"/>
        </w:rPr>
        <w:t xml:space="preserve"> к настоящему Закону.</w:t>
      </w:r>
    </w:p>
    <w:p w14:paraId="6909BED8" w14:textId="167F2456" w:rsidR="00827437" w:rsidRPr="00522104" w:rsidRDefault="00827437" w:rsidP="00827437">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Вместе с тем наименование приложения 11 "</w:t>
      </w:r>
      <w:r w:rsidRPr="00522104">
        <w:rPr>
          <w:rFonts w:ascii="Times New Roman" w:hAnsi="Times New Roman" w:cs="Times New Roman"/>
          <w:b/>
          <w:sz w:val="28"/>
          <w:szCs w:val="28"/>
        </w:rPr>
        <w:t>Распределение</w:t>
      </w:r>
      <w:r w:rsidRPr="00522104">
        <w:rPr>
          <w:rFonts w:ascii="Times New Roman" w:hAnsi="Times New Roman" w:cs="Times New Roman"/>
          <w:sz w:val="28"/>
          <w:szCs w:val="28"/>
        </w:rPr>
        <w:t xml:space="preserve"> </w:t>
      </w:r>
      <w:r w:rsidRPr="00522104">
        <w:rPr>
          <w:rFonts w:ascii="Times New Roman" w:eastAsia="Times New Roman" w:hAnsi="Times New Roman" w:cs="Times New Roman"/>
          <w:sz w:val="28"/>
          <w:szCs w:val="24"/>
          <w:lang w:eastAsia="ru-RU"/>
        </w:rPr>
        <w:t>бюджетных ассигнований, направляемых на государственную поддержку семьи и детей, на 2022 год и на плановый период 2023 и 2024 годов" не соответствует статье 6, а именно статьей утвержден общий объем бюджетных ассигнований, а не распределение бюджетных ассигнований,</w:t>
      </w:r>
      <w:r w:rsidRPr="00522104">
        <w:rPr>
          <w:rFonts w:ascii="Times New Roman" w:eastAsia="Times New Roman" w:hAnsi="Times New Roman" w:cs="Times New Roman"/>
          <w:sz w:val="28"/>
          <w:szCs w:val="28"/>
          <w:lang w:eastAsia="ru-RU"/>
        </w:rPr>
        <w:t xml:space="preserve"> в связ</w:t>
      </w:r>
      <w:r w:rsidR="0032274C" w:rsidRPr="00522104">
        <w:rPr>
          <w:rFonts w:ascii="Times New Roman" w:eastAsia="Times New Roman" w:hAnsi="Times New Roman" w:cs="Times New Roman"/>
          <w:sz w:val="28"/>
          <w:szCs w:val="28"/>
          <w:lang w:eastAsia="ru-RU"/>
        </w:rPr>
        <w:t>и с чем</w:t>
      </w:r>
      <w:r w:rsidRPr="00522104">
        <w:rPr>
          <w:rFonts w:ascii="Times New Roman" w:eastAsia="Times New Roman" w:hAnsi="Times New Roman" w:cs="Times New Roman"/>
          <w:sz w:val="28"/>
          <w:szCs w:val="28"/>
          <w:lang w:eastAsia="ru-RU"/>
        </w:rPr>
        <w:t xml:space="preserve"> необходимо привести наименование приложения в соответствие со статьей 6 законопроекта.</w:t>
      </w:r>
    </w:p>
    <w:p w14:paraId="35EB6486" w14:textId="77777777" w:rsidR="00827437" w:rsidRPr="00522104" w:rsidRDefault="00827437" w:rsidP="0082743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 xml:space="preserve">Согласно абзацу 2 части 10 статьи 9 проекта закона </w:t>
      </w:r>
      <w:r w:rsidRPr="00522104">
        <w:rPr>
          <w:rFonts w:ascii="Times New Roman" w:eastAsia="Times New Roman" w:hAnsi="Times New Roman" w:cs="Times New Roman"/>
          <w:sz w:val="28"/>
          <w:szCs w:val="24"/>
          <w:lang w:eastAsia="ru-RU"/>
        </w:rPr>
        <w:t xml:space="preserve">Порядок и условия предоставления </w:t>
      </w:r>
      <w:r w:rsidRPr="00522104">
        <w:rPr>
          <w:rFonts w:ascii="Times New Roman" w:eastAsia="Times New Roman" w:hAnsi="Times New Roman" w:cs="Times New Roman"/>
          <w:sz w:val="28"/>
          <w:szCs w:val="28"/>
          <w:lang w:eastAsia="ru-RU"/>
        </w:rPr>
        <w:t xml:space="preserve">межбюджетных трансфертов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w:t>
      </w:r>
      <w:r w:rsidRPr="00522104">
        <w:rPr>
          <w:rFonts w:ascii="Times New Roman" w:eastAsia="Times New Roman" w:hAnsi="Times New Roman" w:cs="Times New Roman"/>
          <w:b/>
          <w:sz w:val="28"/>
          <w:szCs w:val="24"/>
          <w:lang w:eastAsia="ru-RU"/>
        </w:rPr>
        <w:t xml:space="preserve">утверждается Правительством Приморского края, </w:t>
      </w:r>
      <w:r w:rsidRPr="00522104">
        <w:rPr>
          <w:rFonts w:ascii="Times New Roman" w:eastAsia="Times New Roman" w:hAnsi="Times New Roman" w:cs="Times New Roman"/>
          <w:sz w:val="28"/>
          <w:szCs w:val="24"/>
          <w:lang w:eastAsia="ru-RU"/>
        </w:rPr>
        <w:t>тогда как порядок уплаты платежей на дополнительное финансовое обеспечение</w:t>
      </w:r>
      <w:r w:rsidRPr="00522104">
        <w:rPr>
          <w:rFonts w:ascii="Times New Roman" w:eastAsia="Times New Roman" w:hAnsi="Times New Roman" w:cs="Times New Roman"/>
          <w:sz w:val="28"/>
          <w:szCs w:val="28"/>
          <w:lang w:eastAsia="ru-RU"/>
        </w:rPr>
        <w:t xml:space="preserve"> реализации территориальной программы обязательного медицинского страхования предусмотрен </w:t>
      </w:r>
      <w:r w:rsidRPr="00522104">
        <w:rPr>
          <w:rFonts w:ascii="Times New Roman" w:eastAsia="Times New Roman" w:hAnsi="Times New Roman" w:cs="Times New Roman"/>
          <w:sz w:val="28"/>
          <w:szCs w:val="24"/>
          <w:lang w:eastAsia="ru-RU"/>
        </w:rPr>
        <w:t>статьей 11 настоящего законопроекта</w:t>
      </w:r>
      <w:r w:rsidRPr="00522104">
        <w:rPr>
          <w:rFonts w:ascii="Times New Roman" w:eastAsia="Times New Roman" w:hAnsi="Times New Roman" w:cs="Times New Roman"/>
          <w:sz w:val="28"/>
          <w:szCs w:val="28"/>
          <w:lang w:eastAsia="ru-RU"/>
        </w:rPr>
        <w:t>.</w:t>
      </w:r>
    </w:p>
    <w:p w14:paraId="227C2C6B" w14:textId="77777777" w:rsidR="00827437" w:rsidRPr="00522104" w:rsidRDefault="00827437" w:rsidP="00827437">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Для приведения в соответствие с пунктом 1 части 1 статьи 10 законопроекта в наименовании приложения 17 после слов "…штатной основе" удалить союз "и".</w:t>
      </w:r>
    </w:p>
    <w:p w14:paraId="40BD2708" w14:textId="77777777" w:rsidR="00522104" w:rsidRPr="00522104" w:rsidRDefault="00522104" w:rsidP="00827437">
      <w:pPr>
        <w:spacing w:after="0" w:line="240" w:lineRule="auto"/>
        <w:ind w:firstLine="709"/>
        <w:jc w:val="both"/>
        <w:rPr>
          <w:rFonts w:ascii="Times New Roman" w:hAnsi="Times New Roman" w:cs="Times New Roman"/>
          <w:sz w:val="28"/>
          <w:szCs w:val="28"/>
        </w:rPr>
      </w:pPr>
    </w:p>
    <w:p w14:paraId="4D97F28E" w14:textId="6CCFF632" w:rsidR="00827437" w:rsidRPr="00522104" w:rsidRDefault="00827437" w:rsidP="00827437">
      <w:pPr>
        <w:spacing w:after="0" w:line="240" w:lineRule="auto"/>
        <w:ind w:firstLine="709"/>
        <w:contextualSpacing/>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9. Выводы и предложения</w:t>
      </w:r>
      <w:r w:rsidR="00F70978" w:rsidRPr="00522104">
        <w:rPr>
          <w:rFonts w:ascii="Times New Roman" w:eastAsia="Times New Roman" w:hAnsi="Times New Roman" w:cs="Times New Roman"/>
          <w:b/>
          <w:sz w:val="28"/>
          <w:szCs w:val="28"/>
          <w:lang w:eastAsia="ru-RU"/>
        </w:rPr>
        <w:t>.</w:t>
      </w:r>
    </w:p>
    <w:p w14:paraId="10FC81B1"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Заключение Контрольно-счетной палаты Приморского края на проект Закона Приморского края "О краевом бюджете на 2022 год и плановый период 2023 и 2024 годов" подготовлено в соответствии с Бюджетным кодексом Российской Федерации, законами Приморского края от 02.08.2005 № 271-КЗ "О бюджетном устройстве, бюджетном процессе и межбюджетных отношениях в Приморском крае" и от 04.08.2011 № 795-КЗ "О Контрольно-счетной палате Приморского края".</w:t>
      </w:r>
    </w:p>
    <w:p w14:paraId="42080E9C"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bCs/>
          <w:sz w:val="28"/>
          <w:szCs w:val="28"/>
          <w:lang w:eastAsia="ru-RU"/>
        </w:rPr>
        <w:t>1.</w:t>
      </w:r>
      <w:r w:rsidRPr="00522104">
        <w:rPr>
          <w:rFonts w:ascii="Times New Roman" w:eastAsia="Times New Roman" w:hAnsi="Times New Roman" w:cs="Times New Roman"/>
          <w:sz w:val="28"/>
          <w:szCs w:val="28"/>
          <w:lang w:eastAsia="ru-RU"/>
        </w:rPr>
        <w:t> Законопроект внесен Губернатором Приморского края на рассмотрение Законодательного Собрания Приморского края 29.10.2021 с соблюдением сроков, установленных статьей 66 Закона № 271-КЗ.</w:t>
      </w:r>
    </w:p>
    <w:p w14:paraId="4A255010"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Перечень документов и материалов, представленных одновременно с законопроектом, соответствует условиям статьи 184.2 Бюджетного кодекса Российской Федерации, статьи 66 Закона Приморского края № 271-КЗ.</w:t>
      </w:r>
    </w:p>
    <w:p w14:paraId="147D440A"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Состав основных показателей и характеристик (приложений), представляемых для рассмотрения и утверждения в законопроекте, соответствует условиям статьи 184.1 Бюджетного кодекса Российской Федерации и статьи 64 Закона Приморского края № 271-КЗ.</w:t>
      </w:r>
    </w:p>
    <w:p w14:paraId="24A7FF63" w14:textId="77777777" w:rsidR="00522104" w:rsidRPr="00522104" w:rsidRDefault="00522104" w:rsidP="00522104">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b/>
          <w:sz w:val="28"/>
          <w:szCs w:val="28"/>
        </w:rPr>
        <w:t>2.</w:t>
      </w:r>
      <w:r w:rsidRPr="00522104">
        <w:rPr>
          <w:rFonts w:ascii="Times New Roman" w:eastAsia="Calibri" w:hAnsi="Times New Roman" w:cs="Times New Roman"/>
          <w:sz w:val="28"/>
          <w:szCs w:val="28"/>
        </w:rPr>
        <w:t xml:space="preserve"> Прогноз социально-экономического развития Приморского края на 2022 год и плановый период до 2024 года разработан в двух основных вариантах развития экономики: консервативном и базовом варианте. </w:t>
      </w:r>
    </w:p>
    <w:p w14:paraId="5BFD44F1" w14:textId="77777777" w:rsidR="00522104" w:rsidRPr="00522104" w:rsidRDefault="00522104" w:rsidP="00522104">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Представленные в Прогнозе-2022 варианты разработаны с учетом итогов развития экономики Приморского края в 2020 году, январе-июне текущего года. </w:t>
      </w:r>
    </w:p>
    <w:p w14:paraId="1E4AB26F" w14:textId="77777777" w:rsidR="00522104" w:rsidRPr="00522104" w:rsidRDefault="00522104" w:rsidP="00522104">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Контрольно-счетной палатой анализировались показатели Прогноза-2022 по двум вариантам развития экономики.</w:t>
      </w:r>
    </w:p>
    <w:p w14:paraId="32AC20D8" w14:textId="77777777" w:rsidR="00522104" w:rsidRPr="00522104" w:rsidRDefault="00522104" w:rsidP="00522104">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b/>
          <w:sz w:val="28"/>
          <w:szCs w:val="28"/>
        </w:rPr>
        <w:t>2.1.</w:t>
      </w:r>
      <w:r w:rsidRPr="00522104">
        <w:rPr>
          <w:rFonts w:ascii="Times New Roman" w:eastAsia="Calibri" w:hAnsi="Times New Roman" w:cs="Times New Roman"/>
          <w:sz w:val="28"/>
          <w:szCs w:val="28"/>
        </w:rPr>
        <w:t> В Прогнозе-2022 основные макроэкономические показатели на текущий год и 2022-2024 годы запланированы выше показателей предыдущего прогноза, кроме показателя объема платных услуг что указывает на то, что восстановление объема платных услуг на докризисный уровень будет происходить более сдержанными темпами, чем планировалось Прогнозом-2021.</w:t>
      </w:r>
    </w:p>
    <w:p w14:paraId="1074D41D" w14:textId="77777777" w:rsidR="00522104" w:rsidRPr="00522104" w:rsidRDefault="00522104" w:rsidP="00522104">
      <w:pPr>
        <w:autoSpaceDE w:val="0"/>
        <w:autoSpaceDN w:val="0"/>
        <w:adjustRightInd w:val="0"/>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b/>
          <w:sz w:val="28"/>
          <w:szCs w:val="28"/>
        </w:rPr>
        <w:t>2.2. </w:t>
      </w:r>
      <w:r w:rsidRPr="00522104">
        <w:rPr>
          <w:rFonts w:ascii="Times New Roman" w:hAnsi="Times New Roman" w:cs="Times New Roman"/>
          <w:sz w:val="28"/>
          <w:szCs w:val="28"/>
        </w:rPr>
        <w:t xml:space="preserve">Согласно Прогнозу-2022 в среднесрочной перспективе восстановление экономики не будет быстрым: после резкого спада последует длительный период постепенного восстановительного роста показателей до уровня 2018-2019 годов. </w:t>
      </w:r>
      <w:r w:rsidRPr="00522104">
        <w:rPr>
          <w:rFonts w:ascii="Times New Roman" w:eastAsia="Calibri" w:hAnsi="Times New Roman" w:cs="Times New Roman"/>
          <w:sz w:val="28"/>
          <w:szCs w:val="28"/>
        </w:rPr>
        <w:t xml:space="preserve">Восстановительный рост в 2021 - 2024 годах ожидается по таким основным макроэкономическим показателям, как индекс физического объема ВРП, индекс промышленного производства, индекс физического объема инвестиций в основной капитал, оборот розничной торговли, индекс физического объема оборота розничной торговли, объем платных услуг, индекс объема платных услуг населению в двух вариантах развития экономики. </w:t>
      </w:r>
    </w:p>
    <w:p w14:paraId="6CFA279C" w14:textId="2E0A4FDA"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b/>
          <w:sz w:val="28"/>
          <w:szCs w:val="28"/>
        </w:rPr>
        <w:t>2.3.</w:t>
      </w:r>
      <w:r w:rsidRPr="00522104">
        <w:rPr>
          <w:rFonts w:ascii="Times New Roman" w:eastAsia="Calibri" w:hAnsi="Times New Roman" w:cs="Times New Roman"/>
          <w:sz w:val="28"/>
          <w:szCs w:val="28"/>
        </w:rPr>
        <w:t xml:space="preserve"> Снижение доходов населения в 2020 году</w:t>
      </w:r>
      <w:r w:rsidR="009318DF">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w:t>
      </w:r>
      <w:r w:rsidRPr="009318DF">
        <w:rPr>
          <w:rFonts w:ascii="Times New Roman" w:eastAsia="Calibri" w:hAnsi="Times New Roman" w:cs="Times New Roman"/>
          <w:sz w:val="28"/>
          <w:szCs w:val="28"/>
        </w:rPr>
        <w:t>согласно Прогнозу-2022</w:t>
      </w:r>
      <w:r w:rsidR="009318DF">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постепенно сменится ростом. Так, в 2021 году по сравнению с 2020 годом реальные располагаемые денежные доходы населения по оценке составят 97,40 %, в 2022-2024 годах прогнозируется увеличение уровня реальных располагаемых денежных доходов к предыдущему году и составят по консервативному варианту 101,90 % - 102,00 % соответственно и чуть выше по базовому варианту </w:t>
      </w:r>
      <w:r w:rsidR="009318DF">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102,50 % - 102,60 % соответственно. </w:t>
      </w:r>
    </w:p>
    <w:p w14:paraId="53CE8C06" w14:textId="77777777" w:rsidR="00522104" w:rsidRPr="00522104" w:rsidRDefault="00522104" w:rsidP="00522104">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sz w:val="28"/>
          <w:szCs w:val="28"/>
        </w:rPr>
        <w:t xml:space="preserve">По данным Прогноза-2022 в 2021 году индекс потребительских цен по оценке составит 104,8 %. В обоих вариантах среднесрочного прогноза индекс потребительских цен в 2022-2024 годах прогнозируется на уровне целевого значения 104,00 %. </w:t>
      </w:r>
    </w:p>
    <w:p w14:paraId="35DEA1DD" w14:textId="77777777" w:rsidR="00522104" w:rsidRPr="00522104" w:rsidRDefault="00522104" w:rsidP="00522104">
      <w:pPr>
        <w:spacing w:after="0" w:line="240" w:lineRule="auto"/>
        <w:ind w:firstLine="708"/>
        <w:contextualSpacing/>
        <w:jc w:val="both"/>
        <w:rPr>
          <w:rFonts w:ascii="Times New Roman" w:hAnsi="Times New Roman" w:cs="Times New Roman"/>
          <w:sz w:val="28"/>
          <w:szCs w:val="28"/>
        </w:rPr>
      </w:pPr>
      <w:r w:rsidRPr="00522104">
        <w:rPr>
          <w:rFonts w:ascii="Times New Roman" w:hAnsi="Times New Roman" w:cs="Times New Roman"/>
          <w:b/>
          <w:sz w:val="28"/>
          <w:szCs w:val="28"/>
        </w:rPr>
        <w:t>2.4.</w:t>
      </w:r>
      <w:r w:rsidRPr="00522104">
        <w:rPr>
          <w:rFonts w:ascii="Times New Roman" w:hAnsi="Times New Roman" w:cs="Times New Roman"/>
          <w:sz w:val="28"/>
          <w:szCs w:val="28"/>
        </w:rPr>
        <w:t xml:space="preserve"> Планируемое восстановление экономической ситуации в Приморском крае будет способствовать развитию рынка труда. Уровень зарегистрированной безработицы по оценке на конец 2021 года составит 1,30 %. Согласно Прогнозу-2022 в среднесрочном периоде к 2024 году ожидается снижения уровня безработицы до уровня 2019 года, что составит по базовому варианту – 1,10 %, по консервативному варианту – 1,20 %.</w:t>
      </w:r>
    </w:p>
    <w:p w14:paraId="38F47367" w14:textId="77777777" w:rsidR="00522104" w:rsidRPr="00522104" w:rsidRDefault="00522104" w:rsidP="00522104">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В соответствии с Прогнозом-2022 рост среднегодовой численности занятых в экономике, при сохранении зарегистрированной безработицы на уровне не выше 1,30 % в среднесрочном периоде и росте среднемесячной заработной платы работников организаций не менее 6,1 % ежегодно будет способствовать увеличению трудовых доходов населения.</w:t>
      </w:r>
    </w:p>
    <w:p w14:paraId="14FC0146" w14:textId="77777777" w:rsidR="00522104" w:rsidRPr="00522104" w:rsidRDefault="00522104" w:rsidP="00522104">
      <w:pPr>
        <w:spacing w:after="0" w:line="240" w:lineRule="auto"/>
        <w:ind w:firstLine="708"/>
        <w:contextualSpacing/>
        <w:jc w:val="both"/>
        <w:rPr>
          <w:rFonts w:ascii="Times New Roman" w:eastAsia="Calibri" w:hAnsi="Times New Roman" w:cs="Times New Roman"/>
          <w:sz w:val="28"/>
          <w:szCs w:val="28"/>
        </w:rPr>
      </w:pPr>
      <w:r w:rsidRPr="00522104">
        <w:rPr>
          <w:rFonts w:ascii="Times New Roman" w:hAnsi="Times New Roman" w:cs="Times New Roman"/>
          <w:b/>
          <w:sz w:val="28"/>
          <w:szCs w:val="28"/>
        </w:rPr>
        <w:t>2.5</w:t>
      </w:r>
      <w:r w:rsidRPr="00522104">
        <w:rPr>
          <w:rFonts w:ascii="Times New Roman" w:hAnsi="Times New Roman" w:cs="Times New Roman"/>
          <w:sz w:val="28"/>
          <w:szCs w:val="28"/>
        </w:rPr>
        <w:t>. Согласно сведениям Приморскстата в демографической ситуации Приморского края наблюдается тенденция к сокращению численности населения. Так, за январь-июль 2021 года численность населения Приморского края уменьшилась на 10311 человек и на 01.08.2021 составила 1867,5 тыс. человек.</w:t>
      </w:r>
    </w:p>
    <w:p w14:paraId="22C99F84" w14:textId="77777777" w:rsidR="00522104" w:rsidRPr="00522104" w:rsidRDefault="00522104" w:rsidP="00522104">
      <w:pPr>
        <w:autoSpaceDE w:val="0"/>
        <w:autoSpaceDN w:val="0"/>
        <w:adjustRightInd w:val="0"/>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b/>
          <w:sz w:val="28"/>
          <w:szCs w:val="28"/>
        </w:rPr>
        <w:t>3.</w:t>
      </w:r>
      <w:r w:rsidRPr="00522104">
        <w:rPr>
          <w:rFonts w:ascii="Times New Roman" w:eastAsia="Calibri" w:hAnsi="Times New Roman" w:cs="Times New Roman"/>
          <w:sz w:val="28"/>
          <w:szCs w:val="28"/>
        </w:rPr>
        <w:t> Динамика основных параметров краевого бюджета, предлагаемых законопроектом на 2022 год, характеризуется увеличением общего объема доходов и расходов по отношению к параметрам на тот же год, утвержденным Законом № 969-КЗ. Рост расходов обеспечен как налоговыми и неналоговыми доходами, так и безвозмездными поступлениями из федерального бюджета.</w:t>
      </w:r>
    </w:p>
    <w:p w14:paraId="2BF95090" w14:textId="77777777" w:rsidR="00522104" w:rsidRPr="00522104" w:rsidRDefault="00522104" w:rsidP="0052210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Законопроектом общий объем доходов краевого бюджета на 2022 год представлен в сумме 152445,19 млн рублей, в плановом периоде 2023 и 2024 годов общий объем доходов краевого бюджета запланирован в сумме 148224,52 млн рублей и 151001,70 млн рублей соответственно.</w:t>
      </w:r>
    </w:p>
    <w:p w14:paraId="16947457" w14:textId="77777777" w:rsidR="00522104" w:rsidRPr="00522104" w:rsidRDefault="00522104" w:rsidP="0052210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Расходы краевого бюджета на 2022 год составят 159581,61 млн рублей, на плановый период 2023 года – 148224,52 млн рублей, на 2024 год – 151001,70 млн рублей.</w:t>
      </w:r>
    </w:p>
    <w:p w14:paraId="583FE0C8" w14:textId="77777777" w:rsidR="00522104" w:rsidRPr="00522104" w:rsidRDefault="00522104" w:rsidP="0052210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Краевой бюджет на 2022 год сформирован с дефицитом бюджетных средств и составит 7136,42 млн рублей. На плановый период 2023-2024 годов краевой бюджет запланирован бездефицитным.</w:t>
      </w:r>
    </w:p>
    <w:p w14:paraId="259F34D2" w14:textId="40BCA75F" w:rsidR="00522104" w:rsidRPr="00522104" w:rsidRDefault="00522104" w:rsidP="0052210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b/>
          <w:sz w:val="28"/>
          <w:szCs w:val="28"/>
        </w:rPr>
        <w:t>4.</w:t>
      </w:r>
      <w:r w:rsidRPr="00522104">
        <w:rPr>
          <w:rFonts w:ascii="Times New Roman" w:eastAsia="Calibri" w:hAnsi="Times New Roman" w:cs="Times New Roman"/>
          <w:sz w:val="28"/>
          <w:szCs w:val="28"/>
        </w:rPr>
        <w:t xml:space="preserve">  В законопроекте общий объем доходов краевого бюджета на 2022 год </w:t>
      </w:r>
      <w:r w:rsidRPr="00522104">
        <w:rPr>
          <w:rFonts w:ascii="Times New Roman" w:eastAsia="Times New Roman" w:hAnsi="Times New Roman" w:cs="Times New Roman"/>
          <w:sz w:val="28"/>
          <w:szCs w:val="28"/>
          <w:lang w:eastAsia="ru-RU"/>
        </w:rPr>
        <w:t xml:space="preserve">на 17537,50 млн рублей, или на 13,00 % выше утвержденных Законом № 969-КЗ плановых назначений и ниже плановых назначений на 2021 год на 5525,66 млн рублей, или на 3,50 %. </w:t>
      </w:r>
    </w:p>
    <w:p w14:paraId="67BA1FCC" w14:textId="6B22BEAA" w:rsidR="00522104" w:rsidRPr="00522104" w:rsidRDefault="00522104" w:rsidP="0052210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4.1.</w:t>
      </w:r>
      <w:r w:rsidRPr="00522104">
        <w:rPr>
          <w:rFonts w:ascii="Times New Roman" w:eastAsia="Times New Roman" w:hAnsi="Times New Roman" w:cs="Times New Roman"/>
          <w:sz w:val="28"/>
          <w:szCs w:val="28"/>
          <w:lang w:eastAsia="ru-RU"/>
        </w:rPr>
        <w:t> На 2022 год по налоговым и неналоговым доходам планируется увеличение на 8455,71 млн рублей, или на 8,35 %</w:t>
      </w:r>
      <w:r w:rsidR="009318DF">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по сравнению с плановыми назначениями (101273,03 млн рублей) и на 3226,20 млн рублей, или на 3,03 %</w:t>
      </w:r>
      <w:r w:rsidR="009318DF">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по сравнению с утвержденными назначениями на 2021 год (106502,54 млн рублей), и составят 109728,74 млн рублей. </w:t>
      </w:r>
    </w:p>
    <w:p w14:paraId="6A62C832" w14:textId="75DB07A5" w:rsidR="00522104" w:rsidRPr="00522104" w:rsidRDefault="00522104" w:rsidP="0052210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В структуре налоговых и неналоговых доходов на 2022 год по сравнению с </w:t>
      </w:r>
      <w:r w:rsidRPr="006139B1">
        <w:rPr>
          <w:rFonts w:ascii="Times New Roman" w:eastAsia="Calibri" w:hAnsi="Times New Roman" w:cs="Times New Roman"/>
          <w:sz w:val="28"/>
          <w:szCs w:val="28"/>
        </w:rPr>
        <w:t>утвержденными назначениям</w:t>
      </w:r>
      <w:r w:rsidR="006139B1">
        <w:rPr>
          <w:rFonts w:ascii="Times New Roman" w:eastAsia="Calibri" w:hAnsi="Times New Roman" w:cs="Times New Roman"/>
          <w:sz w:val="28"/>
          <w:szCs w:val="28"/>
        </w:rPr>
        <w:t>и</w:t>
      </w:r>
      <w:r w:rsidRPr="00522104">
        <w:rPr>
          <w:rFonts w:ascii="Times New Roman" w:eastAsia="Calibri" w:hAnsi="Times New Roman" w:cs="Times New Roman"/>
          <w:sz w:val="28"/>
          <w:szCs w:val="28"/>
        </w:rPr>
        <w:t xml:space="preserve"> Законом № 969-КЗ </w:t>
      </w:r>
      <w:r w:rsidRPr="009318DF">
        <w:rPr>
          <w:rFonts w:ascii="Times New Roman" w:eastAsia="Calibri" w:hAnsi="Times New Roman" w:cs="Times New Roman"/>
          <w:sz w:val="28"/>
          <w:szCs w:val="28"/>
        </w:rPr>
        <w:t>основная сумма</w:t>
      </w:r>
      <w:r w:rsidRPr="00522104">
        <w:rPr>
          <w:rFonts w:ascii="Times New Roman" w:eastAsia="Calibri" w:hAnsi="Times New Roman" w:cs="Times New Roman"/>
          <w:sz w:val="28"/>
          <w:szCs w:val="28"/>
        </w:rPr>
        <w:t xml:space="preserve"> увеличения приходится по налогам на прибыль организаций (на 8150,29 млн рублей), налогу на доходы физических лиц (на 2651,43 млн рублей). Снижение налоговых и неналоговых доходов в 2022 </w:t>
      </w:r>
      <w:r w:rsidR="006139B1">
        <w:rPr>
          <w:rFonts w:ascii="Times New Roman" w:eastAsia="Calibri" w:hAnsi="Times New Roman" w:cs="Times New Roman"/>
          <w:sz w:val="28"/>
          <w:szCs w:val="28"/>
        </w:rPr>
        <w:t xml:space="preserve">году </w:t>
      </w:r>
      <w:r w:rsidRPr="00522104">
        <w:rPr>
          <w:rFonts w:ascii="Times New Roman" w:eastAsia="Calibri" w:hAnsi="Times New Roman" w:cs="Times New Roman"/>
          <w:sz w:val="28"/>
          <w:szCs w:val="28"/>
        </w:rPr>
        <w:t xml:space="preserve">ожидается (по сравнению с утвержденными на 2022 год по акцизам по подакцизным товарам (продукции), производимым на территории Российской Федерации (на 1191,52 млн рублей), налогу, взимаемому в связи с применением упрощенной системы налогообложения (1095,01 млн рублей), налогу на имущество организаций (на 223,87 млн рублей). </w:t>
      </w:r>
    </w:p>
    <w:p w14:paraId="6AA7265D" w14:textId="77777777" w:rsidR="00522104" w:rsidRPr="00522104" w:rsidRDefault="00522104" w:rsidP="0052210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2022 год </w:t>
      </w:r>
      <w:r w:rsidRPr="006139B1">
        <w:rPr>
          <w:rFonts w:ascii="Times New Roman" w:eastAsia="Times New Roman" w:hAnsi="Times New Roman" w:cs="Times New Roman"/>
          <w:sz w:val="28"/>
          <w:szCs w:val="28"/>
          <w:lang w:eastAsia="ru-RU"/>
        </w:rPr>
        <w:t>основную долю</w:t>
      </w:r>
      <w:r w:rsidRPr="00522104">
        <w:rPr>
          <w:rFonts w:ascii="Times New Roman" w:eastAsia="Times New Roman" w:hAnsi="Times New Roman" w:cs="Times New Roman"/>
          <w:sz w:val="28"/>
          <w:szCs w:val="28"/>
          <w:lang w:eastAsia="ru-RU"/>
        </w:rPr>
        <w:t xml:space="preserve"> в налоговых и неналоговых доходах (95,61 % в их общем объеме) составят налог на доходы физических лиц – 40,15 %, налог на прибыль организаций – 26,57 %, налог на имущество организаций – 11,46 %, акцизы – 10,70 %, налог, взимаемый в связи с применением упрощенной системы налогообложения – 6,73 %.</w:t>
      </w:r>
    </w:p>
    <w:p w14:paraId="2977B5D2" w14:textId="77777777" w:rsidR="00522104" w:rsidRPr="00522104" w:rsidRDefault="00522104" w:rsidP="0052210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В плановом периоде 2023 и 2024 годов налоговые и неналоговые доходы составят 113760,09 млн рублей и 118302,80 млн рублей соответственно. </w:t>
      </w:r>
    </w:p>
    <w:p w14:paraId="708712AD" w14:textId="77777777" w:rsidR="00522104" w:rsidRPr="00522104" w:rsidRDefault="00522104" w:rsidP="0052210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Times New Roman" w:hAnsi="Times New Roman" w:cs="Times New Roman"/>
          <w:b/>
          <w:sz w:val="28"/>
          <w:szCs w:val="28"/>
          <w:lang w:eastAsia="ru-RU"/>
        </w:rPr>
        <w:t>4.2.</w:t>
      </w:r>
      <w:r w:rsidRPr="00522104">
        <w:rPr>
          <w:rFonts w:ascii="Times New Roman" w:eastAsia="Times New Roman" w:hAnsi="Times New Roman" w:cs="Times New Roman"/>
          <w:sz w:val="28"/>
          <w:szCs w:val="28"/>
          <w:lang w:eastAsia="ru-RU"/>
        </w:rPr>
        <w:t xml:space="preserve"> </w:t>
      </w:r>
      <w:r w:rsidRPr="00522104">
        <w:rPr>
          <w:rFonts w:ascii="Times New Roman" w:eastAsia="Calibri" w:hAnsi="Times New Roman" w:cs="Times New Roman"/>
          <w:sz w:val="28"/>
          <w:szCs w:val="28"/>
        </w:rPr>
        <w:t xml:space="preserve">Объем безвозмездных поступлений в законопроекте на 2022 год отражен в соответствии с проектом Федерального закона № 1258295-7 "О федеральном бюджете на 2022 год и на плановый период 2023 и 2024 годов" и составит 42716,45 млн рублей, и в дальнейшем в ходе исполнения краевого бюджета объем финансовой помощи Приморскому краю будет уточняться. </w:t>
      </w:r>
    </w:p>
    <w:p w14:paraId="08E46B71" w14:textId="109A17EB"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sz w:val="28"/>
          <w:szCs w:val="28"/>
        </w:rPr>
        <w:t>Согласно законопроекту в составе безвозмездных поступлений основную долю 94,53 % (40380,22 млн рублей) занимают безвозмездные поступления из федерального бюджета.</w:t>
      </w:r>
      <w:r w:rsidRPr="00522104">
        <w:rPr>
          <w:rFonts w:ascii="Calibri" w:eastAsia="Calibri" w:hAnsi="Calibri" w:cs="Times New Roman"/>
        </w:rPr>
        <w:t xml:space="preserve"> </w:t>
      </w:r>
      <w:r w:rsidRPr="00522104">
        <w:rPr>
          <w:rFonts w:ascii="Times New Roman" w:eastAsia="Calibri" w:hAnsi="Times New Roman" w:cs="Times New Roman"/>
          <w:sz w:val="28"/>
          <w:szCs w:val="28"/>
        </w:rPr>
        <w:t xml:space="preserve">В общей сумме безвозмездных поступлений из федерального бюджета в 2022 году дотации составят 23,06 % (9313,27 млн рублей), субсидии – 54,65 % (22066,95 млн рублей), субвенции – 16,08 % (6492,66 млн рублей), иные межбюджетные трансферты – 6,21 % (2507,34 млн рублей). </w:t>
      </w:r>
      <w:r w:rsidRPr="00522104">
        <w:rPr>
          <w:rFonts w:ascii="Times New Roman" w:eastAsia="Times New Roman" w:hAnsi="Times New Roman" w:cs="Times New Roman"/>
          <w:sz w:val="28"/>
          <w:szCs w:val="28"/>
          <w:lang w:eastAsia="ru-RU"/>
        </w:rPr>
        <w:t xml:space="preserve">Безвозмездные поступления от государственных организаций (государственной корпорации – Фонд содействия реформированию жилищно-коммунального хозяйства) составят 2336,23 млн рублей. </w:t>
      </w:r>
    </w:p>
    <w:p w14:paraId="3DFA7371" w14:textId="77777777" w:rsidR="00522104" w:rsidRPr="00522104" w:rsidRDefault="00522104" w:rsidP="0052210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На плановый период 2023-2024 годов безвозмездные поступления планируются в объеме 34464,43 млн рублей и 32698,90 млн рублей соответственно.</w:t>
      </w:r>
    </w:p>
    <w:p w14:paraId="4C2B8207"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5. </w:t>
      </w:r>
      <w:r w:rsidRPr="00522104">
        <w:rPr>
          <w:rFonts w:ascii="Times New Roman" w:eastAsia="Times New Roman" w:hAnsi="Times New Roman" w:cs="Times New Roman"/>
          <w:sz w:val="28"/>
          <w:szCs w:val="28"/>
          <w:lang w:eastAsia="ru-RU"/>
        </w:rPr>
        <w:t>Законопроектом на 2022 год корректируется законодательно утвержденный объем расходов с ростом на 22322,14 млн рублей, или 16,26 % (с 137259,47 млн рублей до 159581,61 млн рублей).</w:t>
      </w:r>
    </w:p>
    <w:p w14:paraId="3C28276D"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сравнении суммового значения объема расходов 2022 года к уровню 2021 года в первоначальной редакции Закона № 969-КЗ имеется рост в 2022 году, который составит 15545,09 млн рублей, или 10,79 %, а к утвержденным назначениям на 2021 год в действующей редакции закона о краевом бюджете расходы меньше на 6725,77 млн рублей, или на 4,04 %.</w:t>
      </w:r>
    </w:p>
    <w:p w14:paraId="6B7D551D" w14:textId="62B54BE0"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плановый период 2023 года планируется снижение расходов к предыдущему году на 7,12 %, что составит 148224,52 млн рублей. На 2024 год рост составит 1,87 % до 151001,70 млн рублей.</w:t>
      </w:r>
    </w:p>
    <w:p w14:paraId="4237358B"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b/>
          <w:sz w:val="28"/>
          <w:szCs w:val="28"/>
        </w:rPr>
        <w:t>5.1.</w:t>
      </w:r>
      <w:r w:rsidRPr="00522104">
        <w:rPr>
          <w:rFonts w:ascii="Times New Roman" w:eastAsia="Calibri" w:hAnsi="Times New Roman" w:cs="Times New Roman"/>
          <w:sz w:val="28"/>
          <w:szCs w:val="28"/>
        </w:rPr>
        <w:t> </w:t>
      </w:r>
      <w:r w:rsidRPr="00522104">
        <w:rPr>
          <w:rFonts w:ascii="Times New Roman" w:eastAsia="Times New Roman" w:hAnsi="Times New Roman" w:cs="Times New Roman"/>
          <w:sz w:val="28"/>
          <w:szCs w:val="28"/>
          <w:lang w:eastAsia="ru-RU"/>
        </w:rPr>
        <w:t>Законопроектом на 2022 год по сравнению с утвержденными назначениями из 14 разделов производятся корректировки по 13 разделам (увеличение по 12 разделам, уменьшение по 1).</w:t>
      </w:r>
    </w:p>
    <w:p w14:paraId="5B0DE0A6"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Краевой бюджет остается социально-ориентированным, на 2022 год доля расходов, планируемых на социально-культурную сферу, составит 61,75 % от общей суммы расходов.</w:t>
      </w:r>
    </w:p>
    <w:p w14:paraId="3E702143"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b/>
          <w:bCs/>
          <w:sz w:val="28"/>
          <w:szCs w:val="28"/>
        </w:rPr>
        <w:t>5.2.</w:t>
      </w:r>
      <w:r w:rsidRPr="00522104">
        <w:rPr>
          <w:rFonts w:ascii="Times New Roman" w:eastAsia="Calibri" w:hAnsi="Times New Roman" w:cs="Times New Roman"/>
          <w:sz w:val="28"/>
          <w:szCs w:val="28"/>
        </w:rPr>
        <w:t xml:space="preserve"> В ведомственной классификации расходы, как и в предыдущем году, на 2022 год распределены по 44 главным распорядителям бюджетных средств.</w:t>
      </w:r>
    </w:p>
    <w:p w14:paraId="6EB8E2D3"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Основной планируемый в 2022 году объем расходов краевого бюджета (64,30 %) приходится на четыре ГРБС: </w:t>
      </w:r>
    </w:p>
    <w:p w14:paraId="45E2B08A"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министерство образования Приморского края (18,90 %); </w:t>
      </w:r>
    </w:p>
    <w:p w14:paraId="249B6996"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министерство труда и социальной политики Приморского края (17,99 %);</w:t>
      </w:r>
    </w:p>
    <w:p w14:paraId="792E75F5"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министерство здравоохранения Приморского края (16,52 %);</w:t>
      </w:r>
    </w:p>
    <w:p w14:paraId="06702960"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министерство транспорта и дорожного хозяйства Приморского края (10,89 %). </w:t>
      </w:r>
    </w:p>
    <w:p w14:paraId="17EFF49C"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По сравнению с утвержденными на 2022 год назначениями увеличение планируется по 43 ГРБС, кроме Законодательного Собрания Приморского края, по которому производится сокращение бюджетных расходов. </w:t>
      </w:r>
    </w:p>
    <w:p w14:paraId="6B87C901"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Наиболее значительное увеличение представлено по министерству транспорта и дорожного хозяйства Приморского края – на 3386,77 млн рублей (утвержденные назначения на 2022 год – 13988,74 млн рублей, законопроект на 2022 год – 17375,52 млн рублей), министерству строительства Приморского края – 4143,68 млн рублей (утвержденные назначения на 2022 год – 6731,53 млн рублей, законопроект на 2022 год – 10875,21 млн рублей).</w:t>
      </w:r>
    </w:p>
    <w:p w14:paraId="53371E61"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b/>
          <w:sz w:val="28"/>
          <w:szCs w:val="28"/>
        </w:rPr>
        <w:t>5.3.</w:t>
      </w:r>
      <w:r w:rsidRPr="00522104">
        <w:rPr>
          <w:rFonts w:ascii="Times New Roman" w:eastAsia="Calibri" w:hAnsi="Times New Roman" w:cs="Times New Roman"/>
          <w:sz w:val="28"/>
          <w:szCs w:val="28"/>
        </w:rPr>
        <w:t> Законопроектом на очередной финансовый год планируется финансирование мероприятий 12 национальных проектов, реализуемых через 35 федеральных проектов, встроенных в структуру 16 государственных программ Приморского края на общую сумму 22218,62 млн рублей, что больше на 2316,64 млн рублей утвержденных назначений (19901,98 млн рублей).</w:t>
      </w:r>
    </w:p>
    <w:p w14:paraId="04954230"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На плановый период 2023 года прогнозируется реализация мероприятий 11 НП через 34 ФП в рамках 14 программ на общую сумму 18676,90 млн рублей, на 2024 год – 11 НП через 33 ФП в 14 программах на сумму 17773,96 млн рублей.  </w:t>
      </w:r>
    </w:p>
    <w:p w14:paraId="6D18E1D5"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b/>
          <w:bCs/>
          <w:sz w:val="28"/>
          <w:szCs w:val="28"/>
        </w:rPr>
        <w:t>5.3.1. </w:t>
      </w:r>
      <w:r w:rsidRPr="00522104">
        <w:rPr>
          <w:rFonts w:ascii="Times New Roman" w:eastAsia="Calibri" w:hAnsi="Times New Roman" w:cs="Times New Roman"/>
          <w:bCs/>
          <w:sz w:val="28"/>
          <w:szCs w:val="28"/>
        </w:rPr>
        <w:t>Контрольно-счетная палата по результатам анализа действующих на день внесения законопроекта на рассмотрение Законодательного Собрания Приморского края (29.10.2021) редакций региональных проектов Приморского края рекомендует органам исполнительной власти обратить внимание на следующее.</w:t>
      </w:r>
    </w:p>
    <w:p w14:paraId="6E9CA3A2"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
          <w:sz w:val="28"/>
          <w:szCs w:val="28"/>
        </w:rPr>
        <w:t>5.3.1.1.</w:t>
      </w:r>
      <w:r w:rsidRPr="00522104">
        <w:rPr>
          <w:rFonts w:ascii="Times New Roman" w:hAnsi="Times New Roman" w:cs="Times New Roman"/>
          <w:sz w:val="28"/>
          <w:szCs w:val="28"/>
        </w:rPr>
        <w:t> В настоящее время региональный проект, обеспечивающий достижение целей, показателей и результатов НП "Туризм и индустрия гостеприимства", не утвержден.</w:t>
      </w:r>
    </w:p>
    <w:p w14:paraId="0A3E766A" w14:textId="206DC852"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b/>
          <w:sz w:val="28"/>
          <w:szCs w:val="28"/>
        </w:rPr>
        <w:t>5.3.1.2. </w:t>
      </w:r>
      <w:r w:rsidRPr="00522104">
        <w:rPr>
          <w:rFonts w:ascii="Times New Roman" w:hAnsi="Times New Roman" w:cs="Times New Roman"/>
          <w:sz w:val="28"/>
          <w:szCs w:val="28"/>
        </w:rPr>
        <w:t>По итогам проведения оценки соответствия финансового обеспечения реализации РП в паспортах в действующей редакции и предложенного законопроектом на 2022-2024 годы отмечаем, что:</w:t>
      </w:r>
    </w:p>
    <w:p w14:paraId="19517E07" w14:textId="191D52A8"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финансовое обеспечение по годам, указанное в 33 паспортах</w:t>
      </w:r>
      <w:r w:rsidR="00A9018A">
        <w:rPr>
          <w:rFonts w:ascii="Times New Roman" w:hAnsi="Times New Roman" w:cs="Times New Roman"/>
          <w:sz w:val="28"/>
          <w:szCs w:val="28"/>
        </w:rPr>
        <w:t>,</w:t>
      </w:r>
      <w:r w:rsidRPr="00522104">
        <w:rPr>
          <w:rFonts w:ascii="Times New Roman" w:hAnsi="Times New Roman" w:cs="Times New Roman"/>
          <w:sz w:val="28"/>
          <w:szCs w:val="28"/>
        </w:rPr>
        <w:t xml:space="preserve"> полностью соответствует на 2022-2024 годы только по двум РП: "Чистая вода", "Цифровая культура", на 2022-2023 годы – по трем РП: "Цифровая образовательная среда", "Поддержка самозанятых" и "Адресная поддержка повышения производительности труда на предприятиях";</w:t>
      </w:r>
    </w:p>
    <w:p w14:paraId="665C8AE3"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объем финансового обеспечения на 2024 год отсутствует (имеет нулевые значения) по 25 РП.</w:t>
      </w:r>
    </w:p>
    <w:p w14:paraId="07491716"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Кроме того, в 13 паспортах РП национальных проектов "Здравоохранение", "Образование", "Безопасные качественные автомобильные дороги", "Жилье и городская среда" и "Цифровая экономика" установлено несоответствие раздела "Финансовое обеспечение" методическим указаниям по подготовке НП, ФП и ведомственных проектов (разработку паспортов РП рекомендуется осуществлять по форме, аналогичной форме, применяемой для ФП). </w:t>
      </w:r>
    </w:p>
    <w:p w14:paraId="1A075AB2" w14:textId="174A2B98"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На основании изложенного выше Контрольно-счетная палата рекомендует </w:t>
      </w:r>
      <w:r w:rsidR="00923B9B">
        <w:rPr>
          <w:rFonts w:ascii="Times New Roman" w:hAnsi="Times New Roman" w:cs="Times New Roman"/>
          <w:sz w:val="28"/>
          <w:szCs w:val="28"/>
        </w:rPr>
        <w:t xml:space="preserve">органам исполнительной власти Приморского края </w:t>
      </w:r>
      <w:r w:rsidRPr="00522104">
        <w:rPr>
          <w:rFonts w:ascii="Times New Roman" w:hAnsi="Times New Roman" w:cs="Times New Roman"/>
          <w:sz w:val="28"/>
          <w:szCs w:val="28"/>
        </w:rPr>
        <w:t xml:space="preserve">привести в соответствие финансовое обеспечение РП, а также паспорта РП согласно методическим указаниям и устранить ошибки, возникшие при формировании паспортов 6 региональных проектов национальных проектов "Здравоохранение" и "Демография".   </w:t>
      </w:r>
    </w:p>
    <w:p w14:paraId="272F1EE1"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5.4. </w:t>
      </w:r>
      <w:r w:rsidRPr="00522104">
        <w:rPr>
          <w:rFonts w:ascii="Times New Roman" w:eastAsia="Times New Roman" w:hAnsi="Times New Roman" w:cs="Times New Roman"/>
          <w:sz w:val="28"/>
          <w:szCs w:val="28"/>
          <w:lang w:eastAsia="ru-RU"/>
        </w:rPr>
        <w:t>Доля расходов краевого бюджета, запланированных в законопроекте на реализацию программных мероприятий в 2022 году, составила 97,88 %, непрограммных направлений деятельности органов государственной власти – 2,12 %. На плановый период (без учета условно распределенных расходов) 2023 года – соответственно 97,42 % и 2,58 %, 2024 года – 97,33 % и 2,67 %.</w:t>
      </w:r>
    </w:p>
    <w:p w14:paraId="55C06AC3"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5.4.1.</w:t>
      </w:r>
      <w:r w:rsidRPr="00522104">
        <w:rPr>
          <w:rFonts w:ascii="Times New Roman" w:eastAsia="Times New Roman" w:hAnsi="Times New Roman" w:cs="Times New Roman"/>
          <w:sz w:val="28"/>
          <w:szCs w:val="28"/>
          <w:lang w:eastAsia="ru-RU"/>
        </w:rPr>
        <w:t> В программной структуре краевой бюджет сформирован на основе 20 государственных программ Приморского края.</w:t>
      </w:r>
    </w:p>
    <w:p w14:paraId="51CCB08D"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Планируемые на 2022 год расходы на реализацию ГП (156201,03 млн рублей) по сравнению с утвержденными назначениями:</w:t>
      </w:r>
    </w:p>
    <w:p w14:paraId="349DF8C6"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2022 год (131151,31 млн рублей) увеличены на 25049,72 млн рублей. </w:t>
      </w:r>
    </w:p>
    <w:p w14:paraId="2B5D9ED2"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2021 год (161977,80 млн рублей) снижены на 5776,78 млн рублей (в основном связано с сокращением межбюджетных трансфертов субъектам Российской Федерации из федерального бюджета).</w:t>
      </w:r>
    </w:p>
    <w:p w14:paraId="41A29E6E" w14:textId="0F07F8FE" w:rsidR="00522104" w:rsidRPr="00522104" w:rsidRDefault="00522104" w:rsidP="0052210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heme="minorEastAsia" w:hAnsi="Times New Roman" w:cs="Times New Roman"/>
          <w:sz w:val="28"/>
          <w:szCs w:val="28"/>
          <w:lang w:eastAsia="ru-RU"/>
        </w:rPr>
        <w:t>На плановый период  2023 года</w:t>
      </w:r>
      <w:r w:rsidR="00AB440A" w:rsidRPr="00AB440A">
        <w:t xml:space="preserve"> </w:t>
      </w:r>
      <w:r w:rsidR="00AB440A" w:rsidRPr="00AB440A">
        <w:rPr>
          <w:rFonts w:ascii="Times New Roman" w:eastAsiaTheme="minorEastAsia" w:hAnsi="Times New Roman" w:cs="Times New Roman"/>
          <w:sz w:val="28"/>
          <w:szCs w:val="28"/>
          <w:lang w:eastAsia="ru-RU"/>
        </w:rPr>
        <w:t>расходы на реализацию ГП</w:t>
      </w:r>
      <w:r w:rsidR="00AB440A">
        <w:rPr>
          <w:rFonts w:ascii="Times New Roman" w:eastAsiaTheme="minorEastAsia" w:hAnsi="Times New Roman" w:cs="Times New Roman"/>
          <w:sz w:val="28"/>
          <w:szCs w:val="28"/>
          <w:lang w:eastAsia="ru-RU"/>
        </w:rPr>
        <w:t xml:space="preserve"> составят</w:t>
      </w:r>
      <w:r w:rsidRPr="00522104">
        <w:rPr>
          <w:rFonts w:ascii="Times New Roman" w:eastAsiaTheme="minorEastAsia" w:hAnsi="Times New Roman" w:cs="Times New Roman"/>
          <w:sz w:val="28"/>
          <w:szCs w:val="28"/>
          <w:lang w:eastAsia="ru-RU"/>
        </w:rPr>
        <w:t xml:space="preserve"> 141555,72 млн рублей, 2024 года – 141200,26 млн рублей</w:t>
      </w:r>
      <w:r w:rsidRPr="00522104">
        <w:rPr>
          <w:rFonts w:ascii="Times New Roman" w:eastAsia="Times New Roman" w:hAnsi="Times New Roman" w:cs="Times New Roman"/>
          <w:sz w:val="28"/>
          <w:szCs w:val="28"/>
          <w:lang w:eastAsia="ru-RU"/>
        </w:rPr>
        <w:t xml:space="preserve"> </w:t>
      </w:r>
      <w:r w:rsidR="00272907" w:rsidRPr="00522104">
        <w:rPr>
          <w:rFonts w:ascii="Times New Roman" w:eastAsiaTheme="minorEastAsia" w:hAnsi="Times New Roman" w:cs="Times New Roman"/>
          <w:sz w:val="28"/>
          <w:szCs w:val="28"/>
          <w:lang w:eastAsia="ru-RU"/>
        </w:rPr>
        <w:t>(без учета условно распределенных расходов)</w:t>
      </w:r>
      <w:r w:rsidR="00272907">
        <w:rPr>
          <w:rFonts w:ascii="Times New Roman" w:eastAsiaTheme="minorEastAsia" w:hAnsi="Times New Roman" w:cs="Times New Roman"/>
          <w:sz w:val="28"/>
          <w:szCs w:val="28"/>
          <w:lang w:eastAsia="ru-RU"/>
        </w:rPr>
        <w:t>.</w:t>
      </w:r>
    </w:p>
    <w:p w14:paraId="16A4A806" w14:textId="21AE2B90" w:rsidR="00522104" w:rsidRPr="00522104" w:rsidRDefault="00522104" w:rsidP="00522104">
      <w:pPr>
        <w:widowControl w:val="0"/>
        <w:tabs>
          <w:tab w:val="left" w:pos="1809"/>
        </w:tabs>
        <w:spacing w:after="0" w:line="240" w:lineRule="auto"/>
        <w:ind w:firstLine="709"/>
        <w:jc w:val="both"/>
        <w:rPr>
          <w:rFonts w:ascii="Times New Roman" w:eastAsia="Times New Roman" w:hAnsi="Times New Roman" w:cs="Times New Roman"/>
          <w:bCs/>
          <w:color w:val="000000"/>
          <w:sz w:val="28"/>
          <w:szCs w:val="28"/>
          <w:shd w:val="clear" w:color="auto" w:fill="FFFFFF"/>
          <w:lang w:eastAsia="ru-RU" w:bidi="ru-RU"/>
        </w:rPr>
      </w:pPr>
      <w:r w:rsidRPr="00522104">
        <w:rPr>
          <w:rFonts w:ascii="Times New Roman" w:eastAsia="Times New Roman" w:hAnsi="Times New Roman" w:cs="Times New Roman"/>
          <w:b/>
          <w:color w:val="000000"/>
          <w:sz w:val="28"/>
          <w:szCs w:val="28"/>
          <w:shd w:val="clear" w:color="auto" w:fill="FFFFFF"/>
          <w:lang w:eastAsia="ru-RU" w:bidi="ru-RU"/>
        </w:rPr>
        <w:t>5.4.1.1.</w:t>
      </w:r>
      <w:r w:rsidRPr="00522104">
        <w:rPr>
          <w:rFonts w:ascii="Times New Roman" w:eastAsia="Times New Roman" w:hAnsi="Times New Roman" w:cs="Times New Roman"/>
          <w:bCs/>
          <w:color w:val="000000"/>
          <w:sz w:val="28"/>
          <w:szCs w:val="28"/>
          <w:shd w:val="clear" w:color="auto" w:fill="FFFFFF"/>
          <w:lang w:eastAsia="ru-RU" w:bidi="ru-RU"/>
        </w:rPr>
        <w:t xml:space="preserve"> Предоставленные к законопроекту проекты паспортов содержат обобщенную информацию об ответственных исполнителях, соисполнителях, подпрограммах, целях, задачах, показателях, объемах бюджетных ассигнований, ожидаемых результатах реализации по госпрограммам. Отсутствие информации о ресурсном обеспечении мероприятий ГП и целевых показателях в разрезе подпрограмм и мероприятий не позволяет проанализировать их соотношение в динамике 2022 - 2024 годов. </w:t>
      </w:r>
    </w:p>
    <w:p w14:paraId="45CE9B49" w14:textId="77777777" w:rsidR="00522104" w:rsidRPr="00522104" w:rsidRDefault="00522104" w:rsidP="00522104">
      <w:pPr>
        <w:widowControl w:val="0"/>
        <w:tabs>
          <w:tab w:val="left" w:pos="1809"/>
        </w:tabs>
        <w:spacing w:after="0" w:line="240" w:lineRule="auto"/>
        <w:ind w:firstLine="709"/>
        <w:jc w:val="both"/>
        <w:rPr>
          <w:rFonts w:ascii="Times New Roman" w:eastAsia="Times New Roman" w:hAnsi="Times New Roman" w:cs="Times New Roman"/>
          <w:sz w:val="28"/>
          <w:szCs w:val="28"/>
        </w:rPr>
      </w:pPr>
      <w:r w:rsidRPr="00522104">
        <w:rPr>
          <w:rFonts w:ascii="Times New Roman" w:eastAsia="Times New Roman" w:hAnsi="Times New Roman" w:cs="Times New Roman"/>
          <w:bCs/>
          <w:color w:val="000000"/>
          <w:sz w:val="28"/>
          <w:szCs w:val="28"/>
          <w:shd w:val="clear" w:color="auto" w:fill="FFFFFF"/>
          <w:lang w:eastAsia="ru-RU" w:bidi="ru-RU"/>
        </w:rPr>
        <w:t>Законопроект, а также материалы и документы, представленные одновременно с ним, не дают взаимоувязанную оценку достижения целей ГП, целесообразность и результативность использования финансовых ресурсов на 2022 год и плановый период 2023 и 2024 годов.</w:t>
      </w:r>
      <w:r w:rsidRPr="00522104">
        <w:rPr>
          <w:rFonts w:ascii="Times New Roman" w:eastAsia="Times New Roman" w:hAnsi="Times New Roman" w:cs="Times New Roman"/>
          <w:sz w:val="28"/>
          <w:szCs w:val="28"/>
        </w:rPr>
        <w:t xml:space="preserve"> </w:t>
      </w:r>
    </w:p>
    <w:p w14:paraId="222826B3"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5.4.1.2.</w:t>
      </w:r>
      <w:r w:rsidRPr="00522104">
        <w:t> </w:t>
      </w:r>
      <w:r w:rsidRPr="00522104">
        <w:rPr>
          <w:rFonts w:ascii="Times New Roman" w:eastAsia="Times New Roman" w:hAnsi="Times New Roman" w:cs="Times New Roman"/>
          <w:sz w:val="28"/>
          <w:szCs w:val="28"/>
          <w:lang w:eastAsia="ru-RU"/>
        </w:rPr>
        <w:t>По ряду государственных программ отмечается недостаточность предлагаемых показателей для оценки степени достижения целей и решения их задач, а также отсутствие целевых показателей, что существенно затрудняет оценку и проверку достижения целей и решения задач, поставленных в программах. Так, не установлены целевые показатели в:</w:t>
      </w:r>
    </w:p>
    <w:p w14:paraId="79615912" w14:textId="77777777" w:rsidR="00522104" w:rsidRPr="00522104" w:rsidRDefault="00522104" w:rsidP="00522104">
      <w:pPr>
        <w:spacing w:after="0" w:line="240" w:lineRule="auto"/>
        <w:ind w:firstLine="709"/>
        <w:contextualSpacing/>
        <w:jc w:val="both"/>
        <w:rPr>
          <w:rFonts w:ascii="Times New Roman" w:eastAsia="Calibri" w:hAnsi="Times New Roman" w:cs="Times New Roman"/>
          <w:sz w:val="28"/>
          <w:szCs w:val="28"/>
        </w:rPr>
      </w:pPr>
      <w:r w:rsidRPr="00522104">
        <w:rPr>
          <w:rFonts w:ascii="Times New Roman" w:eastAsia="Times New Roman" w:hAnsi="Times New Roman" w:cs="Times New Roman"/>
          <w:sz w:val="28"/>
          <w:szCs w:val="28"/>
          <w:lang w:eastAsia="ru-RU"/>
        </w:rPr>
        <w:t xml:space="preserve">ГП </w:t>
      </w:r>
      <w:r w:rsidRPr="00522104">
        <w:rPr>
          <w:rFonts w:ascii="Times New Roman" w:hAnsi="Times New Roman" w:cs="Times New Roman"/>
          <w:sz w:val="28"/>
          <w:szCs w:val="28"/>
        </w:rPr>
        <w:t xml:space="preserve">"Развитие образования Приморского края" по </w:t>
      </w:r>
      <w:r w:rsidRPr="00522104">
        <w:rPr>
          <w:rFonts w:ascii="Times New Roman" w:eastAsia="Times New Roman" w:hAnsi="Times New Roman" w:cs="Times New Roman"/>
          <w:sz w:val="28"/>
          <w:szCs w:val="28"/>
          <w:lang w:eastAsia="ru-RU"/>
        </w:rPr>
        <w:t xml:space="preserve">ФП (РП) "Молодые профессионалы (повышение конкурентоспособности и профессионального образования)" НП "Образование" – на </w:t>
      </w:r>
      <w:r w:rsidRPr="00522104">
        <w:rPr>
          <w:rFonts w:ascii="Times New Roman" w:eastAsia="Calibri" w:hAnsi="Times New Roman" w:cs="Times New Roman"/>
          <w:sz w:val="28"/>
          <w:szCs w:val="28"/>
        </w:rPr>
        <w:t>организацию,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 (26,52 млн рублей); организацию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(22,67 млн рублей);</w:t>
      </w:r>
    </w:p>
    <w:p w14:paraId="26A302A6"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ГП "Развитие транспортного комплекса" по ФП (РП) "Дорожная сеть" НП "Безопасные и качественные автомобильные дороги"</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 на реализацию программ дорожной деятельности (региональных проектов) в отношении автомобильных дорог общего пользования, объектов улично-дорожной сети в целях доведения в 2024 году во Владивостокской агломерации доли автомобильных дорог, находящихся в нормативном состоянии, в их общей протяженности до 85 %.</w:t>
      </w:r>
    </w:p>
    <w:p w14:paraId="56A95E90" w14:textId="42AFE948"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Контрольным мероприятием, проведенным в 2021 году Контрольно-счетной палатой Приморского края совместно с тремя контрольно-счетными органами муниципальных образований Приморского края, установлено, что на 31.12.2018 </w:t>
      </w:r>
      <w:r w:rsidR="00C433F7">
        <w:rPr>
          <w:rFonts w:ascii="Times New Roman" w:eastAsia="Calibri" w:hAnsi="Times New Roman" w:cs="Times New Roman"/>
          <w:sz w:val="28"/>
          <w:szCs w:val="28"/>
        </w:rPr>
        <w:t>по</w:t>
      </w:r>
      <w:r w:rsidRPr="00522104">
        <w:rPr>
          <w:rFonts w:ascii="Times New Roman" w:eastAsia="Calibri" w:hAnsi="Times New Roman" w:cs="Times New Roman"/>
          <w:sz w:val="28"/>
          <w:szCs w:val="28"/>
        </w:rPr>
        <w:t xml:space="preserve"> 1428,7 км автомобильных дорог, входящих во Владивостокскую агломерацию, </w:t>
      </w:r>
      <w:r w:rsidR="00C433F7">
        <w:rPr>
          <w:rFonts w:ascii="Times New Roman" w:eastAsia="Calibri" w:hAnsi="Times New Roman" w:cs="Times New Roman"/>
          <w:sz w:val="28"/>
          <w:szCs w:val="28"/>
        </w:rPr>
        <w:t>из</w:t>
      </w:r>
      <w:r w:rsidRPr="00522104">
        <w:rPr>
          <w:rFonts w:ascii="Times New Roman" w:eastAsia="Calibri" w:hAnsi="Times New Roman" w:cs="Times New Roman"/>
          <w:sz w:val="28"/>
          <w:szCs w:val="28"/>
        </w:rPr>
        <w:t xml:space="preserve"> 590,85 км автомобильных дорог регионального и межмуниципального значения в нормативном состоянии находятся 193,81 км дорог, или 32,8 %, из 792,80 км автомобильных дорог (улиц) местного значения в нормативном состоянии находятся 370,46 км, или 46,7 %;</w:t>
      </w:r>
    </w:p>
    <w:p w14:paraId="3A9DA65C" w14:textId="7B257BC5"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Times New Roman" w:hAnsi="Times New Roman" w:cs="Times New Roman"/>
          <w:iCs/>
          <w:sz w:val="28"/>
          <w:szCs w:val="28"/>
          <w:lang w:eastAsia="ru-RU"/>
        </w:rPr>
        <w:t>ГП "Обеспечение доступным жильем и качественными услугами жилищно-коммунального хозяйст</w:t>
      </w:r>
      <w:r w:rsidR="00A86211">
        <w:rPr>
          <w:rFonts w:ascii="Times New Roman" w:eastAsia="Times New Roman" w:hAnsi="Times New Roman" w:cs="Times New Roman"/>
          <w:iCs/>
          <w:sz w:val="28"/>
          <w:szCs w:val="28"/>
          <w:lang w:eastAsia="ru-RU"/>
        </w:rPr>
        <w:t>ва населения Приморского края" –</w:t>
      </w:r>
      <w:r w:rsidRPr="00522104">
        <w:rPr>
          <w:rFonts w:ascii="Times New Roman" w:eastAsia="Times New Roman" w:hAnsi="Times New Roman" w:cs="Times New Roman"/>
          <w:iCs/>
          <w:sz w:val="28"/>
          <w:szCs w:val="28"/>
          <w:lang w:eastAsia="ru-RU"/>
        </w:rPr>
        <w:t xml:space="preserve"> </w:t>
      </w:r>
      <w:r w:rsidRPr="00522104">
        <w:rPr>
          <w:rFonts w:ascii="Times New Roman" w:eastAsia="Calibri" w:hAnsi="Times New Roman" w:cs="Times New Roman"/>
          <w:sz w:val="28"/>
          <w:szCs w:val="28"/>
        </w:rPr>
        <w:t xml:space="preserve">целевой показатель, характеризующий темпы реализации программы "Арендное жилье" (планируемые мощности, тыс. арендных квартир). </w:t>
      </w:r>
    </w:p>
    <w:p w14:paraId="4D03EE6A" w14:textId="680A2050" w:rsidR="00522104" w:rsidRPr="00522104" w:rsidRDefault="00522104" w:rsidP="00522104">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Кроме того, по подпрограмме "Обеспечение жильем молодых семей Приморского края"</w:t>
      </w:r>
      <w:r w:rsidRPr="00522104">
        <w:rPr>
          <w:rFonts w:ascii="Times New Roman" w:eastAsia="Times New Roman" w:hAnsi="Times New Roman" w:cs="Times New Roman"/>
          <w:sz w:val="28"/>
          <w:szCs w:val="28"/>
        </w:rPr>
        <w:t xml:space="preserve"> </w:t>
      </w:r>
      <w:r w:rsidRPr="00522104">
        <w:rPr>
          <w:rFonts w:ascii="Times New Roman" w:hAnsi="Times New Roman" w:cs="Times New Roman"/>
          <w:sz w:val="28"/>
          <w:szCs w:val="28"/>
        </w:rPr>
        <w:t xml:space="preserve">Контрольно-счетная палата в заключениях неоднократно отмечала, что существующие проблемы в оценке эффективности программы, не дают полной и объективной оценки результатов государственной поддержки. В частности, при использовании целевых индикаторов используются критерии, которые </w:t>
      </w:r>
      <w:r w:rsidRPr="00522104">
        <w:rPr>
          <w:rFonts w:ascii="Times New Roman" w:eastAsia="Times New Roman" w:hAnsi="Times New Roman" w:cs="Times New Roman"/>
          <w:sz w:val="28"/>
          <w:szCs w:val="28"/>
          <w:lang w:eastAsia="ru-RU"/>
        </w:rPr>
        <w:t>не показывают, насколько улучшилась ситуация с жильем у молодых семей, целевые показатели регулярно корректируются под фактически достигнутые</w:t>
      </w:r>
      <w:r w:rsidRPr="00522104">
        <w:rPr>
          <w:rFonts w:ascii="Times New Roman" w:hAnsi="Times New Roman" w:cs="Times New Roman"/>
          <w:sz w:val="28"/>
          <w:szCs w:val="28"/>
        </w:rPr>
        <w:t xml:space="preserve">. </w:t>
      </w:r>
    </w:p>
    <w:p w14:paraId="2ADE2DED" w14:textId="77777777" w:rsidR="00522104" w:rsidRPr="00522104" w:rsidRDefault="00522104" w:rsidP="00522104">
      <w:pPr>
        <w:widowControl w:val="0"/>
        <w:shd w:val="clear" w:color="auto" w:fill="FFFFFF"/>
        <w:autoSpaceDE w:val="0"/>
        <w:autoSpaceDN w:val="0"/>
        <w:adjustRightInd w:val="0"/>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b/>
          <w:sz w:val="28"/>
          <w:szCs w:val="28"/>
        </w:rPr>
        <w:t xml:space="preserve">5.4.1.3. </w:t>
      </w:r>
      <w:r w:rsidRPr="00522104">
        <w:rPr>
          <w:rFonts w:ascii="Times New Roman" w:eastAsia="Calibri" w:hAnsi="Times New Roman" w:cs="Times New Roman"/>
          <w:sz w:val="28"/>
          <w:szCs w:val="28"/>
        </w:rPr>
        <w:t>Контрольно-счетной палатой проанализирована реализация отдельных мероприятий, направленных на обеспечение социальной сферы, в том числе на исполнение майских Указов Президента Российской Федерации.</w:t>
      </w:r>
    </w:p>
    <w:p w14:paraId="2894B9A3" w14:textId="77777777" w:rsidR="00522104" w:rsidRPr="00522104" w:rsidRDefault="00522104" w:rsidP="00522104">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eastAsia="Calibri" w:hAnsi="Times New Roman" w:cs="Times New Roman"/>
          <w:sz w:val="28"/>
          <w:szCs w:val="28"/>
        </w:rPr>
        <w:t xml:space="preserve">Так, в рамках ГП "Развитие культуры Приморского края" министерством культуры и архивного дела Приморского края за 9 месяцев 2021 года не выдержаны параметры, </w:t>
      </w:r>
      <w:r w:rsidRPr="00522104">
        <w:rPr>
          <w:rFonts w:ascii="Times New Roman" w:hAnsi="Times New Roman" w:cs="Times New Roman"/>
          <w:sz w:val="28"/>
          <w:szCs w:val="28"/>
        </w:rPr>
        <w:t xml:space="preserve">установленные в приложениях к Плану мероприятий ("дорожной карте") по доведению средней заработной платы по категориям работников учреждений культуры к прогнозу среднемесячного дохода от трудовой деятельности на 2021 год – 45759,80 рублей (за 9 месяцев 2021 года – 44557,20 рубля, или 97,37 %). </w:t>
      </w:r>
    </w:p>
    <w:p w14:paraId="6CA26234" w14:textId="77777777" w:rsidR="00522104" w:rsidRPr="00522104" w:rsidRDefault="00522104" w:rsidP="00522104">
      <w:pPr>
        <w:spacing w:after="0" w:line="240" w:lineRule="auto"/>
        <w:ind w:firstLine="720"/>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По ГП "Развитие образования </w:t>
      </w:r>
      <w:r w:rsidRPr="00522104">
        <w:rPr>
          <w:rFonts w:ascii="Times New Roman" w:eastAsia="Calibri" w:hAnsi="Times New Roman" w:cs="Times New Roman"/>
          <w:sz w:val="28"/>
          <w:szCs w:val="28"/>
        </w:rPr>
        <w:t>Приморского края" м</w:t>
      </w:r>
      <w:r w:rsidRPr="00522104">
        <w:rPr>
          <w:rFonts w:ascii="Times New Roman" w:hAnsi="Times New Roman" w:cs="Times New Roman"/>
          <w:sz w:val="28"/>
          <w:szCs w:val="28"/>
        </w:rPr>
        <w:t>инистерством образования Приморского края за 9 месяцев 2021 года не выдержаны параметры, установленные в приложениях к Плану мероприятий ("дорожной карте") по доведению средней заработной платы по категориям работников учреждений:</w:t>
      </w:r>
    </w:p>
    <w:p w14:paraId="2C9E4360"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дошкольного образования к прогнозу на 2021 год – 42896,20 рублей (за 9 месяцев 2021 года – 41876,30 рублей, или 97,62 %);</w:t>
      </w:r>
    </w:p>
    <w:p w14:paraId="4E8B95A9"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для детей сирот и детей, оставшихся без попечения родителей</w:t>
      </w:r>
      <w:r w:rsidRPr="00522104">
        <w:rPr>
          <w:rFonts w:ascii="Times New Roman" w:hAnsi="Times New Roman" w:cs="Times New Roman"/>
          <w:sz w:val="28"/>
          <w:szCs w:val="28"/>
        </w:rPr>
        <w:t xml:space="preserve"> к прогнозу на 2021 год – 45759,80 рублей (за 9 месяцев 2021 года – 44205,60 рублей, или 96,60 %);</w:t>
      </w:r>
    </w:p>
    <w:p w14:paraId="5BF961CA"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дополнительного образования к прогнозу на 2021 год – 45759,80 рублей (за 9 месяцев 2021 года – 44203,10 рублей, или 96,60 %).</w:t>
      </w:r>
    </w:p>
    <w:p w14:paraId="092963B8" w14:textId="1ED8539A" w:rsidR="00522104" w:rsidRPr="00522104" w:rsidRDefault="00522104" w:rsidP="00522104">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Контрольно-счетная палата рекомендует министерствам проконтролировать достижение целевых показателей по доведению уровня оплаты труда (средней заработной платы) работников учреждений до  уровня плановых значений на 2021 год </w:t>
      </w:r>
      <w:r w:rsidR="0067611A">
        <w:rPr>
          <w:rFonts w:ascii="Times New Roman" w:hAnsi="Times New Roman" w:cs="Times New Roman"/>
          <w:sz w:val="28"/>
          <w:szCs w:val="28"/>
        </w:rPr>
        <w:t xml:space="preserve">и в последующие годы </w:t>
      </w:r>
      <w:r w:rsidRPr="00522104">
        <w:rPr>
          <w:rFonts w:ascii="Times New Roman" w:hAnsi="Times New Roman" w:cs="Times New Roman"/>
          <w:sz w:val="28"/>
          <w:szCs w:val="28"/>
        </w:rPr>
        <w:t xml:space="preserve">в соответствии с </w:t>
      </w:r>
      <w:hyperlink r:id="rId52" w:history="1">
        <w:r w:rsidRPr="00522104">
          <w:rPr>
            <w:rFonts w:ascii="Times New Roman" w:hAnsi="Times New Roman" w:cs="Times New Roman"/>
            <w:sz w:val="28"/>
            <w:szCs w:val="28"/>
          </w:rPr>
          <w:t>Указом</w:t>
        </w:r>
      </w:hyperlink>
      <w:r w:rsidRPr="00522104">
        <w:rPr>
          <w:rFonts w:ascii="Times New Roman" w:hAnsi="Times New Roman" w:cs="Times New Roman"/>
          <w:sz w:val="28"/>
          <w:szCs w:val="28"/>
        </w:rPr>
        <w:t xml:space="preserve"> Президента Российской Федерации от 07.05.2012 № 597 "О мероприятиях по реализации государственной социальной политики". </w:t>
      </w:r>
    </w:p>
    <w:p w14:paraId="13E33B73" w14:textId="77777777" w:rsidR="00522104" w:rsidRPr="00522104" w:rsidRDefault="00522104" w:rsidP="00522104">
      <w:pPr>
        <w:spacing w:after="0" w:line="240" w:lineRule="auto"/>
        <w:ind w:firstLine="709"/>
        <w:jc w:val="both"/>
        <w:rPr>
          <w:rFonts w:ascii="Times New Roman" w:hAnsi="Times New Roman"/>
          <w:sz w:val="28"/>
          <w:szCs w:val="28"/>
        </w:rPr>
      </w:pPr>
      <w:r w:rsidRPr="00522104">
        <w:rPr>
          <w:rFonts w:ascii="Times New Roman" w:hAnsi="Times New Roman"/>
          <w:b/>
          <w:sz w:val="28"/>
          <w:szCs w:val="28"/>
        </w:rPr>
        <w:t>5.4.1.4.</w:t>
      </w:r>
      <w:r w:rsidRPr="00522104">
        <w:rPr>
          <w:rFonts w:ascii="Times New Roman" w:hAnsi="Times New Roman"/>
          <w:sz w:val="28"/>
          <w:szCs w:val="28"/>
        </w:rPr>
        <w:t> В результате проведенного анализа Контрольно-счетной палатой установлено, что ресурсное обеспечение за счет средств краевого бюджета и прогнозной оценки привлекаемых средств из федерального бюджета проектов изменений в паспорта ГП, представленных одновременно с законопроектом, соответствует законопроекту по 19 ГП из 20. По ГП "Развитие рыбохозяйственного комплекса в Приморском крае" на 2020-2027 годы" в связи с отсутствием в проекте паспорта разбивки по годам прогнозной оценки привлекаемых средств из федерального бюджета сделать вывод о соответствии не представляется возможным.</w:t>
      </w:r>
    </w:p>
    <w:p w14:paraId="0F6C67B3" w14:textId="67867EB1" w:rsidR="00522104" w:rsidRPr="00522104" w:rsidRDefault="00522104" w:rsidP="00522104">
      <w:pPr>
        <w:spacing w:after="0" w:line="240" w:lineRule="auto"/>
        <w:ind w:firstLine="709"/>
        <w:jc w:val="both"/>
        <w:rPr>
          <w:rFonts w:ascii="Times New Roman" w:hAnsi="Times New Roman"/>
          <w:sz w:val="28"/>
          <w:szCs w:val="20"/>
        </w:rPr>
      </w:pPr>
      <w:r w:rsidRPr="00522104">
        <w:rPr>
          <w:rFonts w:ascii="Times New Roman" w:hAnsi="Times New Roman"/>
          <w:sz w:val="28"/>
          <w:szCs w:val="28"/>
        </w:rPr>
        <w:t xml:space="preserve">При этом ресурсное обеспечение, отраженное в паспортах ГП в действующей редакции, не соответствует проектам изменений в паспортах по всем 20 ГП. </w:t>
      </w:r>
      <w:r w:rsidRPr="00522104">
        <w:rPr>
          <w:rFonts w:ascii="Times New Roman" w:hAnsi="Times New Roman"/>
          <w:sz w:val="28"/>
          <w:szCs w:val="20"/>
        </w:rPr>
        <w:t xml:space="preserve">В Перечне законодательных актов и иных нормативных правовых актов Приморского края, </w:t>
      </w:r>
      <w:r w:rsidRPr="001768A8">
        <w:rPr>
          <w:rFonts w:ascii="Times New Roman" w:hAnsi="Times New Roman"/>
          <w:sz w:val="28"/>
          <w:szCs w:val="20"/>
        </w:rPr>
        <w:t>подлежащих признанию утратившими силу,</w:t>
      </w:r>
      <w:r w:rsidRPr="00522104">
        <w:rPr>
          <w:rFonts w:ascii="Times New Roman" w:hAnsi="Times New Roman"/>
          <w:sz w:val="28"/>
          <w:szCs w:val="20"/>
        </w:rPr>
        <w:t xml:space="preserve"> изменению, приостановлению или принятию в связи с принятием проекта закона Приморского края "О внесении изменений в Закон Приморского края "О краевом бюджете на 2022 год и плановый период 2023 и 2024 годов" отражены только 6 ГП, утвержденных соответствующими постановлениями Администрации Приморского края, для внесения в них изменений. </w:t>
      </w:r>
    </w:p>
    <w:p w14:paraId="4CD2E4FD" w14:textId="77777777" w:rsidR="00522104" w:rsidRPr="00522104" w:rsidRDefault="00522104" w:rsidP="00522104">
      <w:pPr>
        <w:spacing w:after="0" w:line="240" w:lineRule="auto"/>
        <w:ind w:firstLine="709"/>
        <w:jc w:val="both"/>
        <w:rPr>
          <w:rFonts w:ascii="Times New Roman" w:hAnsi="Times New Roman"/>
          <w:sz w:val="28"/>
          <w:szCs w:val="20"/>
        </w:rPr>
      </w:pPr>
      <w:r w:rsidRPr="00522104">
        <w:rPr>
          <w:rFonts w:ascii="Times New Roman" w:hAnsi="Times New Roman"/>
          <w:sz w:val="28"/>
          <w:szCs w:val="20"/>
        </w:rPr>
        <w:t xml:space="preserve">В связи с чем Контрольно-счетная палата предлагает дополнить Перечень постановлениями Администрации Приморского края, утверждающими остальные 14 ГП. </w:t>
      </w:r>
    </w:p>
    <w:p w14:paraId="51A7A922" w14:textId="77777777" w:rsidR="00522104" w:rsidRPr="00522104" w:rsidRDefault="00522104" w:rsidP="00522104">
      <w:pPr>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Кроме того, по результатам проведенного анализа обеспеченности и достаточности нормативной базы для осуществления расходов в 2022 году Контрольно-счетная палата рекомендует дополнить вышеуказанный Перечень необходимыми нормативными актами по таким расходам, как:</w:t>
      </w:r>
    </w:p>
    <w:p w14:paraId="2810546C"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субсидии некоммерческим организациям на осуществление издательской деятельности (ГП "Развитие культуры Приморского края");</w:t>
      </w:r>
    </w:p>
    <w:p w14:paraId="15836943"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субсидии некоммерческим организациям на реализацию креативных проектов (ГП "Развитие культуры Приморского края");</w:t>
      </w:r>
    </w:p>
    <w:p w14:paraId="6D69E164"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премия молодым авторам и исполнителям (ГП "Развитие культуры Приморского края");  </w:t>
      </w:r>
    </w:p>
    <w:p w14:paraId="11F8A00F"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модернизация муниципальных библиотек (в рамках краевого проекта "Библиотеки Приморья. Перезагрузка") (ГП "Развитие культуры Приморского края"); </w:t>
      </w:r>
    </w:p>
    <w:p w14:paraId="0A211421"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sz w:val="28"/>
          <w:szCs w:val="28"/>
        </w:rPr>
        <w:t xml:space="preserve">реализация всероссийских и международных творческих проектов (ФП (РП) "Творческие люди", </w:t>
      </w:r>
      <w:r w:rsidRPr="00522104">
        <w:rPr>
          <w:rFonts w:ascii="Times New Roman" w:hAnsi="Times New Roman" w:cs="Times New Roman"/>
          <w:sz w:val="28"/>
          <w:szCs w:val="28"/>
        </w:rPr>
        <w:t xml:space="preserve">"Развитие культуры Приморского края"); </w:t>
      </w:r>
    </w:p>
    <w:p w14:paraId="320DDDB4"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sz w:val="28"/>
          <w:szCs w:val="28"/>
        </w:rPr>
        <w:t xml:space="preserve">реализация совместных музейных проектов (ФП (РП) "Творческие люди", ГП </w:t>
      </w:r>
      <w:r w:rsidRPr="00522104">
        <w:rPr>
          <w:rFonts w:ascii="Times New Roman" w:hAnsi="Times New Roman" w:cs="Times New Roman"/>
          <w:sz w:val="28"/>
          <w:szCs w:val="28"/>
        </w:rPr>
        <w:t xml:space="preserve">"Развитие культуры Приморского края"); </w:t>
      </w:r>
    </w:p>
    <w:p w14:paraId="58FF0035" w14:textId="77777777" w:rsidR="00522104" w:rsidRPr="00522104" w:rsidRDefault="00522104" w:rsidP="00522104">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предоставление субвенций из краевого бюджета бюджетам муниципальных образований Приморского края на обеспечение жильем граждан, уволенных с военной службы и приравненных к ним лиц (</w:t>
      </w:r>
      <w:r w:rsidRPr="00522104">
        <w:rPr>
          <w:rFonts w:ascii="Times New Roman" w:eastAsia="Times New Roman" w:hAnsi="Times New Roman" w:cs="Times New Roman"/>
          <w:sz w:val="28"/>
          <w:szCs w:val="28"/>
          <w:lang w:eastAsia="ru-RU"/>
        </w:rPr>
        <w:t>ГП "Обеспечение доступным жильем и качественными услугами жилищно-коммунального хозяйства населения Приморского края");</w:t>
      </w:r>
    </w:p>
    <w:p w14:paraId="49B7C579" w14:textId="77777777" w:rsidR="00522104" w:rsidRPr="00522104" w:rsidRDefault="00522104" w:rsidP="00522104">
      <w:pPr>
        <w:spacing w:after="0" w:line="240" w:lineRule="auto"/>
        <w:ind w:firstLine="708"/>
        <w:jc w:val="both"/>
        <w:rPr>
          <w:rFonts w:ascii="Times New Roman" w:hAnsi="Times New Roman" w:cs="Times New Roman"/>
          <w:sz w:val="28"/>
          <w:szCs w:val="28"/>
        </w:rPr>
      </w:pPr>
      <w:r w:rsidRPr="001768A8">
        <w:rPr>
          <w:rFonts w:ascii="Times New Roman" w:hAnsi="Times New Roman" w:cs="Times New Roman"/>
          <w:sz w:val="28"/>
          <w:szCs w:val="28"/>
        </w:rPr>
        <w:t>предоставление б</w:t>
      </w:r>
      <w:r w:rsidRPr="00522104">
        <w:rPr>
          <w:rFonts w:ascii="Times New Roman" w:hAnsi="Times New Roman" w:cs="Times New Roman"/>
          <w:sz w:val="28"/>
          <w:szCs w:val="28"/>
        </w:rPr>
        <w:t xml:space="preserve">юджетных инвестиций </w:t>
      </w:r>
      <w:r w:rsidRPr="00522104">
        <w:rPr>
          <w:rFonts w:ascii="Times New Roman" w:eastAsia="Calibri" w:hAnsi="Times New Roman" w:cs="Times New Roman"/>
          <w:sz w:val="28"/>
          <w:szCs w:val="28"/>
        </w:rPr>
        <w:t xml:space="preserve">акционерному обществу "Корпорация развития жилищного строительства" для формирования рынка доступного жилья </w:t>
      </w:r>
      <w:r w:rsidRPr="00522104">
        <w:rPr>
          <w:rFonts w:ascii="Times New Roman" w:hAnsi="Times New Roman" w:cs="Times New Roman"/>
          <w:sz w:val="28"/>
          <w:szCs w:val="28"/>
        </w:rPr>
        <w:t>(ГП</w:t>
      </w:r>
      <w:r w:rsidRPr="00522104">
        <w:rPr>
          <w:rFonts w:ascii="Times New Roman" w:eastAsia="Times New Roman" w:hAnsi="Times New Roman" w:cs="Times New Roman"/>
          <w:sz w:val="28"/>
          <w:szCs w:val="28"/>
          <w:lang w:eastAsia="ru-RU"/>
        </w:rPr>
        <w:t xml:space="preserve"> "Обеспечение доступным жильем и качественными услугами жилищно-коммунального хозяйства населения Приморского края</w:t>
      </w:r>
      <w:r w:rsidRPr="00522104">
        <w:rPr>
          <w:rFonts w:ascii="Times New Roman" w:hAnsi="Times New Roman" w:cs="Times New Roman"/>
          <w:sz w:val="28"/>
          <w:szCs w:val="28"/>
        </w:rPr>
        <w:t>).</w:t>
      </w:r>
    </w:p>
    <w:p w14:paraId="2A1F9317" w14:textId="52EEFA25" w:rsidR="00522104" w:rsidRPr="00522104" w:rsidRDefault="00522104" w:rsidP="00522104">
      <w:pPr>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На момент подготовки заключения на уровне субъекта Российской Федерации не утверждены нормативные документы, устанавливающие: проведение ценового и технологического аудита обоснования инвестиций, объемы финансовых средств (инвестиции) и сроки строительства/введения в эксплуатацию в отношении объектов пожарной охраны на два выезда в с. Береговое и с. Глубинное (</w:t>
      </w:r>
      <w:r w:rsidRPr="00522104">
        <w:rPr>
          <w:rFonts w:ascii="Times New Roman" w:eastAsia="Times New Roman" w:hAnsi="Times New Roman" w:cs="Times New Roman"/>
          <w:sz w:val="28"/>
          <w:szCs w:val="28"/>
          <w:lang w:eastAsia="ru-RU"/>
        </w:rPr>
        <w:t>ГП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r w:rsidR="00572679">
        <w:rPr>
          <w:rFonts w:ascii="Times New Roman" w:eastAsia="Times New Roman" w:hAnsi="Times New Roman" w:cs="Times New Roman"/>
          <w:sz w:val="28"/>
          <w:szCs w:val="28"/>
          <w:lang w:eastAsia="ru-RU"/>
        </w:rPr>
        <w:t>"</w:t>
      </w:r>
      <w:r w:rsidRPr="00522104">
        <w:rPr>
          <w:rFonts w:ascii="Times New Roman" w:hAnsi="Times New Roman" w:cs="Times New Roman"/>
          <w:sz w:val="28"/>
          <w:szCs w:val="28"/>
        </w:rPr>
        <w:t xml:space="preserve">). </w:t>
      </w:r>
    </w:p>
    <w:p w14:paraId="185AB4EC"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8"/>
          <w:lang w:eastAsia="ru-RU"/>
        </w:rPr>
        <w:t>5.4.2.</w:t>
      </w:r>
      <w:r w:rsidRPr="00522104">
        <w:rPr>
          <w:rFonts w:ascii="Times New Roman" w:eastAsia="Times New Roman" w:hAnsi="Times New Roman" w:cs="Times New Roman"/>
          <w:sz w:val="28"/>
          <w:szCs w:val="28"/>
          <w:lang w:eastAsia="ru-RU"/>
        </w:rPr>
        <w:t xml:space="preserve"> Как и в предыдущие годы, в общем объеме расходов бюджета в 2022 году наибольший удельный вес (78,44 %) занимают расходы на ГП: </w:t>
      </w:r>
    </w:p>
    <w:p w14:paraId="6ADB73DC"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"Развитие образования Приморского края" – 19,95 % (31829,56 млн рублей); </w:t>
      </w:r>
    </w:p>
    <w:p w14:paraId="7FF8AC9D"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"Социальная поддержка населения Приморского края" – 19,15 % (30552,28 млн рублей); </w:t>
      </w:r>
    </w:p>
    <w:p w14:paraId="0203003F"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"Развитие здравоохранения Приморского края" – 17,27 % (27562,14 млн рублей); </w:t>
      </w:r>
    </w:p>
    <w:p w14:paraId="482D1214"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"Обеспечение доступным жильем и качественными услугами жилищно-коммунального хозяйства населения Приморского края" – 11,26 % (17968,79 млн рублей);</w:t>
      </w:r>
    </w:p>
    <w:p w14:paraId="041B7505"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"Развитие транспортного комплекса Приморского края" – 10,81 % (17253,99 млн рублей).</w:t>
      </w:r>
    </w:p>
    <w:p w14:paraId="2C64EC93"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b/>
          <w:sz w:val="28"/>
          <w:szCs w:val="28"/>
        </w:rPr>
        <w:t>5.4.2.1.</w:t>
      </w:r>
      <w:r w:rsidRPr="00522104">
        <w:rPr>
          <w:rFonts w:ascii="Times New Roman" w:eastAsia="Calibri" w:hAnsi="Times New Roman" w:cs="Times New Roman"/>
          <w:sz w:val="28"/>
          <w:szCs w:val="28"/>
        </w:rPr>
        <w:t> </w:t>
      </w:r>
      <w:r w:rsidRPr="00522104">
        <w:rPr>
          <w:rFonts w:ascii="Times New Roman" w:eastAsia="Times New Roman" w:hAnsi="Times New Roman" w:cs="Times New Roman"/>
          <w:sz w:val="28"/>
          <w:szCs w:val="28"/>
          <w:lang w:eastAsia="ru-RU"/>
        </w:rPr>
        <w:t>На 2022 год увеличение расходов по отношению к утвержденным назначениям планируется из 20 ГП по 18, из которых наибольшее увеличение планируется по следующим программам:</w:t>
      </w:r>
    </w:p>
    <w:p w14:paraId="36D4A03D" w14:textId="3898D651"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ГП "Обеспечение доступным жильем и качественными услугами жилищно-коммунального хозяйства населения Приморского края" – на 5416,26 млн рублей, или на 4</w:t>
      </w:r>
      <w:r w:rsidR="001768A8">
        <w:rPr>
          <w:rFonts w:ascii="Times New Roman" w:eastAsia="Times New Roman" w:hAnsi="Times New Roman" w:cs="Times New Roman"/>
          <w:sz w:val="28"/>
          <w:szCs w:val="28"/>
          <w:lang w:eastAsia="ru-RU"/>
        </w:rPr>
        <w:t xml:space="preserve">3,15 % (утверждено на 2022 год </w:t>
      </w:r>
      <w:r w:rsidRPr="00522104">
        <w:rPr>
          <w:rFonts w:ascii="Times New Roman" w:eastAsia="Times New Roman" w:hAnsi="Times New Roman" w:cs="Times New Roman"/>
          <w:sz w:val="28"/>
          <w:szCs w:val="28"/>
          <w:lang w:eastAsia="ru-RU"/>
        </w:rPr>
        <w:t xml:space="preserve">12552,53 млн рублей, в законопроекте – 17968,79 млн рублей). Основной причиной увеличения является </w:t>
      </w:r>
      <w:r w:rsidRPr="00522104">
        <w:rPr>
          <w:rFonts w:ascii="Times New Roman" w:eastAsia="Calibri" w:hAnsi="Times New Roman" w:cs="Times New Roman"/>
          <w:sz w:val="28"/>
          <w:szCs w:val="28"/>
        </w:rPr>
        <w:t>включение расходов</w:t>
      </w:r>
      <w:r w:rsidRPr="00522104">
        <w:rPr>
          <w:rFonts w:ascii="Times New Roman" w:hAnsi="Times New Roman" w:cs="Times New Roman"/>
          <w:sz w:val="28"/>
          <w:szCs w:val="28"/>
        </w:rPr>
        <w:t xml:space="preserve"> на п</w:t>
      </w:r>
      <w:r w:rsidRPr="00522104">
        <w:rPr>
          <w:rFonts w:ascii="Times New Roman" w:eastAsia="Calibri" w:hAnsi="Times New Roman" w:cs="Times New Roman"/>
          <w:sz w:val="28"/>
          <w:szCs w:val="28"/>
        </w:rPr>
        <w:t xml:space="preserve">редоставление бюджетных инвестиций акционерному обществу "Корпорация развития жилищного строительства" для формирования рынка доступного жилья (3000,00 млн рублей); </w:t>
      </w:r>
      <w:r w:rsidRPr="00522104">
        <w:rPr>
          <w:rFonts w:ascii="Times New Roman" w:hAnsi="Times New Roman" w:cs="Times New Roman"/>
          <w:sz w:val="28"/>
          <w:szCs w:val="28"/>
        </w:rPr>
        <w:t xml:space="preserve">увеличение финансовой поддержки теплоснабжающим организациям на финансовое обеспечение затрат, связанных с приобретением топлива (на 2471,23 млн рублей); </w:t>
      </w:r>
    </w:p>
    <w:p w14:paraId="16142006" w14:textId="53BBEF09"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ГП "Экономическое развитие и инновационная экономика Приморского края" – на 3411,16 млн рублей, или на 79,41 % (с 4295,38 млн рублей до 7706,54 млн рублей), из них </w:t>
      </w:r>
      <w:r w:rsidRPr="00522104">
        <w:rPr>
          <w:rFonts w:ascii="Times New Roman" w:hAnsi="Times New Roman" w:cs="Times New Roman"/>
          <w:sz w:val="28"/>
          <w:szCs w:val="28"/>
        </w:rPr>
        <w:t>увеличение объема дотаций на поддержку мер по обеспечению сбалансированности бюджетов муниципальных образований, на выравнивание бюджетной обеспеченности муниципальных районов (муниципальных округов, городских округов). Кроме того, планируется дополнительная финансовая поддержка местных бюджетов в целях поощрения муниципальных образований и для финансового обеспечения осуществления городом Владивостоком функций административного центра Приморского края</w:t>
      </w:r>
      <w:r w:rsidR="001768A8">
        <w:rPr>
          <w:rFonts w:ascii="Times New Roman" w:hAnsi="Times New Roman" w:cs="Times New Roman"/>
          <w:sz w:val="28"/>
          <w:szCs w:val="28"/>
        </w:rPr>
        <w:t>;</w:t>
      </w:r>
      <w:r w:rsidRPr="00522104">
        <w:rPr>
          <w:rFonts w:ascii="Times New Roman" w:hAnsi="Times New Roman" w:cs="Times New Roman"/>
          <w:sz w:val="28"/>
          <w:szCs w:val="28"/>
        </w:rPr>
        <w:t xml:space="preserve"> </w:t>
      </w:r>
    </w:p>
    <w:p w14:paraId="1D1D542F"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D76D38">
        <w:rPr>
          <w:rFonts w:ascii="Times New Roman" w:eastAsia="Times New Roman" w:hAnsi="Times New Roman" w:cs="Times New Roman"/>
          <w:sz w:val="28"/>
          <w:szCs w:val="28"/>
          <w:lang w:eastAsia="ru-RU"/>
        </w:rPr>
        <w:t>ГП "Развитие</w:t>
      </w:r>
      <w:r w:rsidRPr="00522104">
        <w:rPr>
          <w:rFonts w:ascii="Times New Roman" w:eastAsia="Times New Roman" w:hAnsi="Times New Roman" w:cs="Times New Roman"/>
          <w:sz w:val="28"/>
          <w:szCs w:val="28"/>
          <w:lang w:eastAsia="ru-RU"/>
        </w:rPr>
        <w:t xml:space="preserve"> транспортного комплекса Приморского края" на 3386,77 млн рублей, или на 24,42 % (с 13867,22 млн рублей до 17253,99 млн рублей) в основном по расходам на р</w:t>
      </w:r>
      <w:r w:rsidRPr="00522104">
        <w:rPr>
          <w:rFonts w:ascii="Times New Roman" w:hAnsi="Times New Roman" w:cs="Times New Roman"/>
          <w:sz w:val="28"/>
          <w:szCs w:val="28"/>
        </w:rPr>
        <w:t xml:space="preserve">емонт автомобильных дорог регионального или межмуниципального значения на территории Приморского края (на 1626,04 млн рублей); капитальный ремонт и ремонт автомобильных дорог общего пользования населенных пунктов за счет дорожного фонда Приморского края (1520,00 млн рублей); проектирование, строительство (реконструкция) автомобильных дорог общего пользования населенных пунктов за счет дорожного фонда Приморского края (на 810,88 млн рублей). </w:t>
      </w:r>
    </w:p>
    <w:p w14:paraId="093345ED"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2022 году сокращение расходов к утвержденным назначениям отражено по двум программам:</w:t>
      </w:r>
    </w:p>
    <w:p w14:paraId="0F0E4714" w14:textId="7B9F7B14" w:rsidR="00522104" w:rsidRPr="00522104" w:rsidRDefault="00522104" w:rsidP="00522104">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ГП "Формирование современной городской среды муниципальных образований Приморского края" – на 432,13 млн рублей, или на 24,75 % (с 1745,68 млн рублей до 1313,55 млн рублей), в основном за счет сокращения расходов на поддержку муниципальных программ по благоустройству территорий муниципальных образований</w:t>
      </w:r>
      <w:r w:rsidRPr="00522104">
        <w:rPr>
          <w:rFonts w:ascii="Times New Roman" w:eastAsia="Times New Roman" w:hAnsi="Times New Roman" w:cs="Times New Roman"/>
          <w:b/>
          <w:sz w:val="28"/>
          <w:szCs w:val="28"/>
          <w:lang w:eastAsia="ru-RU"/>
        </w:rPr>
        <w:t xml:space="preserve"> </w:t>
      </w:r>
      <w:r w:rsidRPr="00522104">
        <w:rPr>
          <w:rFonts w:ascii="Times New Roman" w:eastAsia="Times New Roman" w:hAnsi="Times New Roman" w:cs="Times New Roman"/>
          <w:sz w:val="28"/>
          <w:szCs w:val="28"/>
          <w:lang w:eastAsia="ru-RU"/>
        </w:rPr>
        <w:t>в сумме 500,00 млн рублей</w:t>
      </w:r>
      <w:r w:rsidRPr="00522104">
        <w:rPr>
          <w:rFonts w:ascii="Times New Roman" w:hAnsi="Times New Roman" w:cs="Times New Roman"/>
          <w:sz w:val="28"/>
          <w:szCs w:val="28"/>
          <w:lang w:eastAsia="x-none"/>
        </w:rPr>
        <w:t xml:space="preserve"> с учетом прогнозируемой потребности </w:t>
      </w:r>
      <w:r w:rsidRPr="00522104">
        <w:rPr>
          <w:rFonts w:ascii="Times New Roman" w:eastAsia="Calibri" w:hAnsi="Times New Roman" w:cs="Times New Roman"/>
          <w:sz w:val="28"/>
          <w:szCs w:val="28"/>
        </w:rPr>
        <w:t>бюджетам муниципальных образований Приморского края</w:t>
      </w:r>
      <w:r w:rsidR="00BC4F2B">
        <w:rPr>
          <w:rFonts w:ascii="Times New Roman" w:eastAsia="Calibri" w:hAnsi="Times New Roman" w:cs="Times New Roman"/>
          <w:sz w:val="28"/>
          <w:szCs w:val="28"/>
        </w:rPr>
        <w:t>;</w:t>
      </w:r>
    </w:p>
    <w:p w14:paraId="31C983A9"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sz w:val="28"/>
          <w:szCs w:val="28"/>
          <w:lang w:eastAsia="ru-RU"/>
        </w:rPr>
        <w:t xml:space="preserve">ГП "Содействие занятости населения Приморского края" – на 90,82 млн рублей, или на 5,31 % (с 1711,86 млн рублей до 1621,04 млн рублей), </w:t>
      </w:r>
      <w:r w:rsidRPr="00522104">
        <w:rPr>
          <w:rFonts w:ascii="Times New Roman" w:hAnsi="Times New Roman" w:cs="Times New Roman"/>
          <w:sz w:val="28"/>
          <w:szCs w:val="28"/>
        </w:rPr>
        <w:t>в том числе за счет уменьшения ассигнований на активную политику занятости населения и социальную поддержку безработных граждан (за счет средств федерального бюджета) (91,49 млн рублей) и расходов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 (1,58 млн рублей).</w:t>
      </w:r>
    </w:p>
    <w:p w14:paraId="1ACCC97B"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4"/>
        </w:rPr>
        <w:t xml:space="preserve">5.4.2.2. </w:t>
      </w:r>
      <w:r w:rsidRPr="00522104">
        <w:rPr>
          <w:rFonts w:ascii="Times New Roman" w:eastAsia="Times New Roman" w:hAnsi="Times New Roman" w:cs="Times New Roman"/>
          <w:sz w:val="28"/>
          <w:szCs w:val="28"/>
          <w:lang w:eastAsia="ru-RU"/>
        </w:rPr>
        <w:t xml:space="preserve">В соответствии со статьей 17 законопроекта устанавливается коэффициент индексации расходных обязательств Приморского края в сфере социального обеспечения населения с 01.01.2022 – 1,04, с 01.01.2023 – 1,04, с 01.01.2024 – 1,04. </w:t>
      </w:r>
    </w:p>
    <w:p w14:paraId="3D5A3A6B" w14:textId="1F49BF87" w:rsidR="00522104" w:rsidRPr="00522104" w:rsidRDefault="00522104" w:rsidP="00522104">
      <w:pPr>
        <w:spacing w:after="0" w:line="240" w:lineRule="auto"/>
        <w:ind w:firstLine="708"/>
        <w:jc w:val="both"/>
        <w:rPr>
          <w:rFonts w:ascii="Times New Roman" w:eastAsia="Times New Roman" w:hAnsi="Times New Roman" w:cs="Times New Roman"/>
          <w:b/>
          <w:sz w:val="28"/>
          <w:szCs w:val="24"/>
        </w:rPr>
      </w:pPr>
      <w:r w:rsidRPr="00522104">
        <w:rPr>
          <w:rFonts w:ascii="Times New Roman" w:eastAsia="Times New Roman" w:hAnsi="Times New Roman" w:cs="Times New Roman"/>
          <w:sz w:val="28"/>
          <w:szCs w:val="28"/>
          <w:lang w:eastAsia="ru-RU"/>
        </w:rPr>
        <w:t>В рамках ГП "Социальная поддержка населения Приморского края"</w:t>
      </w:r>
      <w:r w:rsidR="00BC4F2B">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к примеру, будут проиндексированы региональный материнский (семейный) капитал; ежемесячная денежная выплата льготным категориям граждан и лицам, имеющим особые заслуги перед Отечеством и Приморским краем; другие расходные обязательства.</w:t>
      </w:r>
    </w:p>
    <w:p w14:paraId="497FE054" w14:textId="77777777" w:rsidR="00522104" w:rsidRPr="00522104" w:rsidRDefault="00522104" w:rsidP="00522104">
      <w:pPr>
        <w:spacing w:after="0" w:line="240" w:lineRule="auto"/>
        <w:ind w:firstLine="709"/>
        <w:jc w:val="both"/>
        <w:rPr>
          <w:rFonts w:ascii="Times New Roman" w:eastAsia="Times New Roman" w:hAnsi="Times New Roman" w:cs="Times New Roman"/>
          <w:bCs/>
          <w:sz w:val="28"/>
          <w:szCs w:val="24"/>
        </w:rPr>
      </w:pPr>
      <w:r w:rsidRPr="00522104">
        <w:rPr>
          <w:rFonts w:ascii="Times New Roman" w:eastAsia="Times New Roman" w:hAnsi="Times New Roman" w:cs="Times New Roman"/>
          <w:bCs/>
          <w:sz w:val="28"/>
          <w:szCs w:val="24"/>
        </w:rPr>
        <w:t>Кроме того, законопроектом на реализацию мероприятий подпрограммы "Доступная среда" ГП "Социальная поддержка населения Приморского края" в законопроекте на 2022 год объем средств увеличивается на 31,86 млн рублей до 81,24 млн рублей по сравнению с утвержденными на 2022 год (49,38 млн рублей). Наибольшее увеличение (на 26,01 млн рублей) по субсидиям краевым государственным бюджетным и автономным учреждениям на иные цели (обеспечение беспрепятственного доступа инвалидов к объектам инфраструктуры и информации в социальной сфере, социально-бытовым услугам, поддержку учреждений спортивной направленности по адаптивной физической культуре и спорту, внедрение и поддержка систем для обеспечения дистанционного обучения детей с ограниченными возможностями здоровья).</w:t>
      </w:r>
    </w:p>
    <w:p w14:paraId="49CDDEF7" w14:textId="77777777" w:rsidR="00522104" w:rsidRPr="00522104" w:rsidRDefault="00522104" w:rsidP="00522104">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b/>
          <w:sz w:val="28"/>
          <w:szCs w:val="24"/>
          <w:lang w:eastAsia="ru-RU"/>
        </w:rPr>
        <w:t>5.4.2.3.</w:t>
      </w:r>
      <w:r w:rsidRPr="00522104">
        <w:rPr>
          <w:rFonts w:ascii="Times New Roman" w:eastAsia="Times New Roman" w:hAnsi="Times New Roman" w:cs="Times New Roman"/>
          <w:sz w:val="28"/>
          <w:szCs w:val="24"/>
          <w:lang w:eastAsia="ru-RU"/>
        </w:rPr>
        <w:t xml:space="preserve"> Контрольно-счетная палата отмечает, что при планировании расходов по ГП "Социальная поддержка населения Приморского края" расчетное число получателей отдельных мер социальной поддержки на 2022 год гораздо ниже, чем в 2021 году, что потребует дополнительного финансирования расходных обязательств в ходе исполнения краевого бюджета. </w:t>
      </w:r>
    </w:p>
    <w:p w14:paraId="79EF8B82" w14:textId="1F94C058" w:rsidR="00522104" w:rsidRPr="00522104" w:rsidRDefault="00522104" w:rsidP="00522104">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Так</w:t>
      </w:r>
      <w:r w:rsidR="00BC4F2B">
        <w:rPr>
          <w:rFonts w:ascii="Times New Roman" w:eastAsia="Times New Roman" w:hAnsi="Times New Roman" w:cs="Times New Roman"/>
          <w:sz w:val="28"/>
          <w:szCs w:val="24"/>
          <w:lang w:eastAsia="ru-RU"/>
        </w:rPr>
        <w:t>,</w:t>
      </w:r>
      <w:r w:rsidRPr="00522104">
        <w:rPr>
          <w:rFonts w:ascii="Times New Roman" w:eastAsia="Times New Roman" w:hAnsi="Times New Roman" w:cs="Times New Roman"/>
          <w:sz w:val="28"/>
          <w:szCs w:val="24"/>
          <w:lang w:eastAsia="ru-RU"/>
        </w:rPr>
        <w:t xml:space="preserve"> по основному мероприятию "Предоставление мер социальной поддержки по оплате жилищно-коммунальных услуг" в текущем году общее количество получателей 362244 человека, а в законопроекте 246752 человека, то есть меньше на 79492 человека. Вместе с тем, согласно информации, предоставленной министерством труда и социальной политики Приморского края, по отдельным мероприятиям за 9 месяцев 2021 года количество фактических получателей выше плановых. Например, по:</w:t>
      </w:r>
    </w:p>
    <w:p w14:paraId="75C7FC00" w14:textId="77777777" w:rsidR="00522104" w:rsidRPr="00522104" w:rsidRDefault="00522104" w:rsidP="00522104">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предоставлению гражданам субсидий на оплату жилого помещения и коммунальных услуг. Мера социальной поддержки за 9 месяцев 2021 года предоставлена 35488 получателям (план на 2021 год – 30403). Расчетное число получателей в 2022 году – 26584 человека;</w:t>
      </w:r>
    </w:p>
    <w:p w14:paraId="141B7CEC" w14:textId="77777777" w:rsidR="00522104" w:rsidRPr="00522104" w:rsidRDefault="00522104" w:rsidP="00522104">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компенсации расходов по оплате жилищно-коммунальных услуг в соответствии со статьей 14 Закона Приморского края от 29.12.2004 № 206-КЗ "О социальной поддержке льготных категорий граждан, проживающих на территории Приморского края". Мера социальной поддержки за 9 месяцев 2021 года предоставлена 20259 получателям (план на 2021 год – 19500). Расчетное число получателей в 2022 году – 8066 человек.</w:t>
      </w:r>
    </w:p>
    <w:p w14:paraId="7D941304" w14:textId="2BF8477D" w:rsidR="00522104" w:rsidRPr="00522104" w:rsidRDefault="00522104" w:rsidP="00522104">
      <w:pPr>
        <w:spacing w:after="0" w:line="240" w:lineRule="auto"/>
        <w:ind w:firstLine="709"/>
        <w:contextualSpacing/>
        <w:jc w:val="both"/>
        <w:rPr>
          <w:rFonts w:ascii="Times New Roman" w:eastAsia="Times New Roman" w:hAnsi="Times New Roman" w:cs="Times New Roman"/>
          <w:sz w:val="28"/>
          <w:szCs w:val="24"/>
          <w:lang w:eastAsia="ru-RU"/>
        </w:rPr>
      </w:pPr>
      <w:r w:rsidRPr="00522104">
        <w:rPr>
          <w:rFonts w:ascii="Times New Roman" w:eastAsia="Times New Roman" w:hAnsi="Times New Roman" w:cs="Times New Roman"/>
          <w:sz w:val="28"/>
          <w:szCs w:val="24"/>
          <w:lang w:eastAsia="ru-RU"/>
        </w:rPr>
        <w:t>Также значительно снижено число получателей единовременной социальной выплаты лицам, получающим пенсию в Приморском крае. Расчетное количество лиц, получающих выплату, на 2022 год составило 295860 человек, при этом в 2021 год</w:t>
      </w:r>
      <w:r w:rsidR="00BC4F2B">
        <w:rPr>
          <w:rFonts w:ascii="Times New Roman" w:eastAsia="Times New Roman" w:hAnsi="Times New Roman" w:cs="Times New Roman"/>
          <w:sz w:val="28"/>
          <w:szCs w:val="24"/>
          <w:lang w:eastAsia="ru-RU"/>
        </w:rPr>
        <w:t>у</w:t>
      </w:r>
      <w:r w:rsidRPr="00522104">
        <w:rPr>
          <w:rFonts w:ascii="Times New Roman" w:eastAsia="Times New Roman" w:hAnsi="Times New Roman" w:cs="Times New Roman"/>
          <w:sz w:val="28"/>
          <w:szCs w:val="24"/>
          <w:lang w:eastAsia="ru-RU"/>
        </w:rPr>
        <w:t xml:space="preserve"> данная мера социальной поддержки оказывалась 570000 человек. </w:t>
      </w:r>
    </w:p>
    <w:p w14:paraId="34AA83E1" w14:textId="4397297A" w:rsidR="00522104" w:rsidRPr="00522104" w:rsidRDefault="00522104" w:rsidP="00522104">
      <w:pPr>
        <w:spacing w:after="0" w:line="240" w:lineRule="auto"/>
        <w:ind w:firstLine="708"/>
        <w:jc w:val="both"/>
        <w:rPr>
          <w:rFonts w:ascii="Times New Roman" w:eastAsia="Calibri" w:hAnsi="Times New Roman" w:cs="Times New Roman"/>
          <w:sz w:val="28"/>
          <w:szCs w:val="28"/>
          <w:lang w:eastAsia="ru-RU"/>
        </w:rPr>
      </w:pPr>
      <w:r w:rsidRPr="00522104">
        <w:rPr>
          <w:rFonts w:ascii="Times New Roman" w:eastAsia="Times New Roman" w:hAnsi="Times New Roman" w:cs="Times New Roman"/>
          <w:b/>
          <w:sz w:val="28"/>
          <w:szCs w:val="24"/>
          <w:lang w:eastAsia="ru-RU"/>
        </w:rPr>
        <w:t>5.4.2.4.</w:t>
      </w:r>
      <w:r w:rsidRPr="00522104">
        <w:rPr>
          <w:rFonts w:ascii="Times New Roman" w:eastAsia="Calibri" w:hAnsi="Times New Roman" w:cs="Times New Roman"/>
          <w:sz w:val="28"/>
          <w:szCs w:val="28"/>
        </w:rPr>
        <w:t xml:space="preserve"> Законопроектом на 2022 год расходы на осуществление капитальных вложений планируются </w:t>
      </w:r>
      <w:r w:rsidRPr="00DB0D43">
        <w:rPr>
          <w:rFonts w:ascii="Times New Roman" w:eastAsia="Calibri" w:hAnsi="Times New Roman" w:cs="Times New Roman"/>
          <w:sz w:val="28"/>
          <w:szCs w:val="28"/>
        </w:rPr>
        <w:t>без наличия проектно-сметной документации,</w:t>
      </w:r>
      <w:r w:rsidRPr="00522104">
        <w:rPr>
          <w:rFonts w:ascii="Times New Roman" w:eastAsia="Calibri" w:hAnsi="Times New Roman" w:cs="Times New Roman"/>
          <w:sz w:val="28"/>
          <w:szCs w:val="28"/>
        </w:rPr>
        <w:t xml:space="preserve"> в результате с</w:t>
      </w:r>
      <w:r w:rsidRPr="00522104">
        <w:rPr>
          <w:rFonts w:ascii="Times New Roman" w:eastAsia="Calibri" w:hAnsi="Times New Roman" w:cs="Times New Roman"/>
          <w:sz w:val="28"/>
          <w:szCs w:val="28"/>
          <w:lang w:eastAsia="ru-RU"/>
        </w:rPr>
        <w:t>уществуют риски незавершения работ, а также в связи с длительностью проведения работ по корректировке ПСД и получения заключения государственной экспертизы возникнет необходимость дополнительного финансирования из-за удорожания стоимости работ:</w:t>
      </w:r>
    </w:p>
    <w:p w14:paraId="0C92194C" w14:textId="77777777" w:rsidR="00522104" w:rsidRPr="00522104" w:rsidRDefault="00522104" w:rsidP="00522104">
      <w:pPr>
        <w:spacing w:after="0" w:line="240" w:lineRule="auto"/>
        <w:ind w:firstLine="708"/>
        <w:jc w:val="both"/>
        <w:rPr>
          <w:rFonts w:ascii="Times New Roman" w:eastAsia="Calibri" w:hAnsi="Times New Roman" w:cs="Times New Roman"/>
          <w:sz w:val="28"/>
          <w:szCs w:val="28"/>
        </w:rPr>
      </w:pPr>
      <w:r w:rsidRPr="00522104">
        <w:rPr>
          <w:rFonts w:ascii="Times New Roman" w:hAnsi="Times New Roman" w:cs="Times New Roman"/>
          <w:sz w:val="28"/>
          <w:szCs w:val="28"/>
        </w:rPr>
        <w:t>по ГП "Развитие образования Приморского края" п</w:t>
      </w:r>
      <w:r w:rsidRPr="00522104">
        <w:rPr>
          <w:rFonts w:ascii="Times New Roman" w:eastAsia="Calibri" w:hAnsi="Times New Roman" w:cs="Times New Roman"/>
          <w:sz w:val="28"/>
          <w:szCs w:val="28"/>
        </w:rPr>
        <w:t xml:space="preserve">о ФП (РП) "Современная школа" </w:t>
      </w:r>
      <w:r w:rsidRPr="00522104">
        <w:rPr>
          <w:rFonts w:ascii="Times New Roman" w:hAnsi="Times New Roman" w:cs="Times New Roman"/>
          <w:sz w:val="28"/>
          <w:szCs w:val="28"/>
        </w:rPr>
        <w:t xml:space="preserve">в рамках НП "Образование" </w:t>
      </w:r>
      <w:r w:rsidRPr="00522104">
        <w:rPr>
          <w:rFonts w:ascii="Times New Roman" w:eastAsia="Calibri" w:hAnsi="Times New Roman" w:cs="Times New Roman"/>
          <w:sz w:val="28"/>
          <w:szCs w:val="28"/>
        </w:rPr>
        <w:t xml:space="preserve">по министерству строительства Приморского края на создание новых мест в общеобразовательных организациях: </w:t>
      </w:r>
    </w:p>
    <w:p w14:paraId="5BE121D2" w14:textId="77777777" w:rsidR="00522104" w:rsidRPr="00522104" w:rsidRDefault="00522104" w:rsidP="00522104">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средняя образовательная школа № 1 имени А.А. Курбаева с. Вольно-Надеждинское Надеждинского района;</w:t>
      </w:r>
    </w:p>
    <w:p w14:paraId="66DB4B61" w14:textId="545D18D8" w:rsidR="00522104" w:rsidRPr="00522104" w:rsidRDefault="00522104" w:rsidP="00522104">
      <w:pPr>
        <w:spacing w:after="0" w:line="240" w:lineRule="auto"/>
        <w:ind w:firstLine="709"/>
        <w:contextualSpacing/>
        <w:jc w:val="both"/>
        <w:rPr>
          <w:rFonts w:ascii="Times New Roman" w:eastAsia="Times New Roman" w:hAnsi="Times New Roman" w:cs="Times New Roman"/>
          <w:sz w:val="28"/>
        </w:rPr>
      </w:pPr>
      <w:r w:rsidRPr="00522104">
        <w:rPr>
          <w:rFonts w:ascii="Times New Roman" w:eastAsia="Calibri" w:hAnsi="Times New Roman" w:cs="Times New Roman"/>
          <w:sz w:val="28"/>
          <w:szCs w:val="28"/>
        </w:rPr>
        <w:t>строительство школы № 1 на 1275 мест в жилом районе "Патрокл в г.</w:t>
      </w:r>
      <w:r w:rsidR="00DB0D43">
        <w:rPr>
          <w:rFonts w:ascii="Times New Roman" w:eastAsia="Calibri" w:hAnsi="Times New Roman" w:cs="Times New Roman"/>
          <w:sz w:val="28"/>
          <w:szCs w:val="28"/>
        </w:rPr>
        <w:t> </w:t>
      </w:r>
      <w:r w:rsidRPr="00522104">
        <w:rPr>
          <w:rFonts w:ascii="Times New Roman" w:eastAsia="Calibri" w:hAnsi="Times New Roman" w:cs="Times New Roman"/>
          <w:sz w:val="28"/>
          <w:szCs w:val="28"/>
        </w:rPr>
        <w:t>Владивостоке"</w:t>
      </w:r>
      <w:r w:rsidRPr="00522104">
        <w:rPr>
          <w:rFonts w:ascii="Times New Roman" w:eastAsia="Times New Roman" w:hAnsi="Times New Roman" w:cs="Times New Roman"/>
          <w:sz w:val="28"/>
        </w:rPr>
        <w:t>;</w:t>
      </w:r>
    </w:p>
    <w:p w14:paraId="05E7BD21"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по ГП "Развитие культуры Приморского края" по министерству строительства Приморского края –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 (реконструкция здания дворца культуры "Горняк" г. Дальнегорск, проспект 50 лет Октября, 106).</w:t>
      </w:r>
    </w:p>
    <w:p w14:paraId="264F5C41" w14:textId="6E36BF53"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b/>
          <w:sz w:val="28"/>
          <w:szCs w:val="28"/>
        </w:rPr>
        <w:t>5.4.2.5.</w:t>
      </w:r>
      <w:r w:rsidRPr="00522104">
        <w:rPr>
          <w:rFonts w:ascii="Times New Roman" w:eastAsia="Calibri" w:hAnsi="Times New Roman" w:cs="Times New Roman"/>
          <w:sz w:val="28"/>
          <w:szCs w:val="28"/>
        </w:rPr>
        <w:t xml:space="preserve"> </w:t>
      </w:r>
      <w:r w:rsidRPr="00522104">
        <w:rPr>
          <w:rFonts w:ascii="Times New Roman" w:eastAsia="Times New Roman" w:hAnsi="Times New Roman" w:cs="Times New Roman"/>
          <w:sz w:val="28"/>
          <w:szCs w:val="28"/>
          <w:lang w:eastAsia="ru-RU"/>
        </w:rPr>
        <w:t xml:space="preserve">В законопроекте на 2022 год не </w:t>
      </w:r>
      <w:r w:rsidRPr="00B02033">
        <w:rPr>
          <w:rFonts w:ascii="Times New Roman" w:eastAsia="Times New Roman" w:hAnsi="Times New Roman" w:cs="Times New Roman"/>
          <w:sz w:val="28"/>
          <w:szCs w:val="28"/>
          <w:lang w:eastAsia="ru-RU"/>
        </w:rPr>
        <w:t>планируются</w:t>
      </w:r>
      <w:r w:rsidRPr="00522104">
        <w:rPr>
          <w:rFonts w:ascii="Times New Roman" w:eastAsia="Times New Roman" w:hAnsi="Times New Roman" w:cs="Times New Roman"/>
          <w:sz w:val="28"/>
          <w:szCs w:val="28"/>
          <w:lang w:eastAsia="ru-RU"/>
        </w:rPr>
        <w:t xml:space="preserve"> расходы в связи с завершением в предыдущем году, при этом за 9 месяцев 2021 года исполнены на низком уровне по следующим программам:</w:t>
      </w:r>
    </w:p>
    <w:p w14:paraId="4D92E51B" w14:textId="77777777" w:rsidR="00522104" w:rsidRPr="00522104" w:rsidRDefault="00522104" w:rsidP="00522104">
      <w:pPr>
        <w:spacing w:after="0" w:line="240" w:lineRule="auto"/>
        <w:ind w:firstLine="720"/>
        <w:jc w:val="both"/>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ГП "Развитие культуры Приморского края":</w:t>
      </w:r>
    </w:p>
    <w:p w14:paraId="176C1F31" w14:textId="3AA17415"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осуществление капитальных вложений в объекты государственной собственности Приморского края в социальной сфере: </w:t>
      </w:r>
      <w:r w:rsidRPr="00522104">
        <w:rPr>
          <w:rFonts w:ascii="Times New Roman" w:hAnsi="Times New Roman" w:cs="Times New Roman"/>
          <w:sz w:val="28"/>
          <w:szCs w:val="28"/>
        </w:rPr>
        <w:t>на повышение категории надежности электроустановок объекта "Приморский филиал федерального государственного бюджетного учреждения культуры "Мариинский театр"; демонтаж трех объектов здания магнитно-резонансной томографии, гаражи, центр вакцинации по адресу: г. Владивосток, ул.</w:t>
      </w:r>
      <w:r w:rsidR="00D9472E">
        <w:rPr>
          <w:rFonts w:ascii="Times New Roman" w:hAnsi="Times New Roman" w:cs="Times New Roman"/>
          <w:sz w:val="28"/>
          <w:szCs w:val="28"/>
        </w:rPr>
        <w:t> </w:t>
      </w:r>
      <w:r w:rsidRPr="00522104">
        <w:rPr>
          <w:rFonts w:ascii="Times New Roman" w:hAnsi="Times New Roman" w:cs="Times New Roman"/>
          <w:sz w:val="28"/>
          <w:szCs w:val="28"/>
        </w:rPr>
        <w:t>Светланская 38/40; мероприятия по консервации объекта строительства "Инновационный культурный центр". З</w:t>
      </w:r>
      <w:r w:rsidRPr="00522104">
        <w:rPr>
          <w:rFonts w:ascii="Times New Roman" w:eastAsia="Times New Roman" w:hAnsi="Times New Roman" w:cs="Times New Roman"/>
          <w:sz w:val="28"/>
          <w:szCs w:val="28"/>
          <w:lang w:eastAsia="ru-RU"/>
        </w:rPr>
        <w:t>а 9 месяцев 2021 года</w:t>
      </w:r>
      <w:r w:rsidR="00FB404B">
        <w:rPr>
          <w:rFonts w:ascii="Times New Roman" w:eastAsia="Times New Roman" w:hAnsi="Times New Roman" w:cs="Times New Roman"/>
          <w:sz w:val="28"/>
          <w:szCs w:val="28"/>
          <w:lang w:eastAsia="ru-RU"/>
        </w:rPr>
        <w:t xml:space="preserve"> расходы</w:t>
      </w:r>
      <w:r w:rsidRPr="00522104">
        <w:rPr>
          <w:rFonts w:ascii="Times New Roman" w:eastAsia="Times New Roman" w:hAnsi="Times New Roman" w:cs="Times New Roman"/>
          <w:sz w:val="28"/>
          <w:szCs w:val="28"/>
          <w:lang w:eastAsia="ru-RU"/>
        </w:rPr>
        <w:t xml:space="preserve"> исполнены на 16,16 %;</w:t>
      </w:r>
    </w:p>
    <w:p w14:paraId="29F5613C"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 За 9 месяцев 2021 года расходы не освоены;</w:t>
      </w:r>
    </w:p>
    <w:p w14:paraId="45A00ABF" w14:textId="77777777" w:rsidR="00522104" w:rsidRPr="00522104" w:rsidRDefault="00522104" w:rsidP="00522104">
      <w:pPr>
        <w:spacing w:after="0" w:line="240" w:lineRule="auto"/>
        <w:ind w:firstLine="720"/>
        <w:rPr>
          <w:rFonts w:ascii="Times New Roman" w:eastAsia="Times New Roman" w:hAnsi="Times New Roman" w:cs="Times New Roman"/>
          <w:b/>
          <w:sz w:val="28"/>
          <w:szCs w:val="28"/>
          <w:lang w:eastAsia="ru-RU"/>
        </w:rPr>
      </w:pPr>
      <w:r w:rsidRPr="00522104">
        <w:rPr>
          <w:rFonts w:ascii="Times New Roman" w:eastAsia="Times New Roman" w:hAnsi="Times New Roman" w:cs="Times New Roman"/>
          <w:b/>
          <w:sz w:val="28"/>
          <w:szCs w:val="28"/>
          <w:lang w:eastAsia="ru-RU"/>
        </w:rPr>
        <w:t>ГП "Развитие физической культуры и спорта Приморского края":</w:t>
      </w:r>
    </w:p>
    <w:p w14:paraId="27C913F6" w14:textId="6325C565" w:rsidR="00522104" w:rsidRPr="00522104" w:rsidRDefault="00522104" w:rsidP="00522104">
      <w:pPr>
        <w:spacing w:after="0" w:line="240" w:lineRule="auto"/>
        <w:ind w:firstLine="709"/>
        <w:jc w:val="both"/>
        <w:rPr>
          <w:rFonts w:ascii="Times New Roman" w:hAnsi="Times New Roman" w:cs="Times New Roman"/>
          <w:color w:val="000000"/>
          <w:sz w:val="28"/>
          <w:szCs w:val="28"/>
        </w:rPr>
      </w:pPr>
      <w:r w:rsidRPr="00522104">
        <w:rPr>
          <w:rFonts w:ascii="Times New Roman" w:eastAsia="Times New Roman" w:hAnsi="Times New Roman" w:cs="Times New Roman"/>
          <w:sz w:val="28"/>
          <w:szCs w:val="28"/>
          <w:lang w:eastAsia="ru-RU"/>
        </w:rPr>
        <w:t xml:space="preserve">предоставление субсидии бюджетам муниципальных образований Приморского края </w:t>
      </w:r>
      <w:r w:rsidRPr="00522104">
        <w:rPr>
          <w:rFonts w:ascii="Times New Roman" w:hAnsi="Times New Roman" w:cs="Times New Roman"/>
          <w:color w:val="000000"/>
          <w:sz w:val="28"/>
          <w:szCs w:val="28"/>
        </w:rPr>
        <w:t xml:space="preserve">на строительство, реконструкцию объектов спортивной инфраструктуры муниципальной собственности и оснащение объектов спортивной инфраструктуры муниципальной собственности спортивно-технологическим оборудованием согласно плану социального развития центров экономического роста Приморского края. За 9 месяцев исполнение </w:t>
      </w:r>
      <w:r w:rsidR="00D9472E">
        <w:rPr>
          <w:rFonts w:ascii="Times New Roman" w:hAnsi="Times New Roman" w:cs="Times New Roman"/>
          <w:color w:val="000000"/>
          <w:sz w:val="28"/>
          <w:szCs w:val="28"/>
        </w:rPr>
        <w:t xml:space="preserve">составило </w:t>
      </w:r>
      <w:r w:rsidRPr="00522104">
        <w:rPr>
          <w:rFonts w:ascii="Times New Roman" w:hAnsi="Times New Roman" w:cs="Times New Roman"/>
          <w:color w:val="000000"/>
          <w:sz w:val="28"/>
          <w:szCs w:val="28"/>
        </w:rPr>
        <w:t>8,27 %;</w:t>
      </w:r>
    </w:p>
    <w:p w14:paraId="680F7E49" w14:textId="77777777" w:rsidR="00522104" w:rsidRPr="00522104" w:rsidRDefault="00522104" w:rsidP="00522104">
      <w:pPr>
        <w:spacing w:after="0" w:line="240" w:lineRule="auto"/>
        <w:ind w:firstLine="709"/>
        <w:jc w:val="both"/>
        <w:rPr>
          <w:rFonts w:ascii="Times New Roman" w:eastAsia="Calibri" w:hAnsi="Times New Roman" w:cs="Times New Roman"/>
          <w:b/>
          <w:sz w:val="28"/>
          <w:szCs w:val="28"/>
        </w:rPr>
      </w:pPr>
      <w:r w:rsidRPr="00522104">
        <w:rPr>
          <w:rFonts w:ascii="Times New Roman" w:eastAsia="Calibri" w:hAnsi="Times New Roman" w:cs="Times New Roman"/>
          <w:b/>
          <w:sz w:val="28"/>
          <w:szCs w:val="28"/>
        </w:rPr>
        <w:t xml:space="preserve">ГП "Развитие образования Приморского края": </w:t>
      </w:r>
    </w:p>
    <w:p w14:paraId="356CA005" w14:textId="77777777" w:rsidR="00522104" w:rsidRPr="00522104" w:rsidRDefault="00522104" w:rsidP="00522104">
      <w:pPr>
        <w:spacing w:after="0" w:line="240" w:lineRule="auto"/>
        <w:ind w:firstLine="709"/>
        <w:contextualSpacing/>
        <w:jc w:val="both"/>
        <w:rPr>
          <w:rFonts w:ascii="Times New Roman" w:eastAsia="Calibri" w:hAnsi="Times New Roman" w:cs="Times New Roman"/>
          <w:spacing w:val="-6"/>
          <w:sz w:val="28"/>
          <w:szCs w:val="28"/>
        </w:rPr>
      </w:pPr>
      <w:r w:rsidRPr="00522104">
        <w:rPr>
          <w:rFonts w:ascii="Times New Roman" w:eastAsia="Calibri" w:hAnsi="Times New Roman" w:cs="Times New Roman"/>
          <w:spacing w:val="-6"/>
          <w:sz w:val="28"/>
          <w:szCs w:val="28"/>
        </w:rPr>
        <w:t>предоставление субсидий:</w:t>
      </w:r>
    </w:p>
    <w:p w14:paraId="2343B011" w14:textId="4646630B" w:rsidR="00522104" w:rsidRPr="00522104" w:rsidRDefault="00522104" w:rsidP="00522104">
      <w:pPr>
        <w:spacing w:after="0" w:line="240" w:lineRule="auto"/>
        <w:ind w:firstLine="709"/>
        <w:contextualSpacing/>
        <w:jc w:val="both"/>
        <w:rPr>
          <w:rFonts w:ascii="Times New Roman" w:eastAsia="Times New Roman" w:hAnsi="Times New Roman" w:cs="Times New Roman"/>
          <w:sz w:val="28"/>
          <w:szCs w:val="28"/>
        </w:rPr>
      </w:pPr>
      <w:r w:rsidRPr="00522104">
        <w:rPr>
          <w:rFonts w:ascii="Times New Roman" w:eastAsia="Calibri" w:hAnsi="Times New Roman" w:cs="Times New Roman"/>
          <w:spacing w:val="-6"/>
          <w:sz w:val="28"/>
          <w:szCs w:val="28"/>
        </w:rPr>
        <w:t xml:space="preserve">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9 месяцев 2021 года исполнено 18,51 %. Кроме того, следует предусмотреть </w:t>
      </w:r>
      <w:r w:rsidRPr="00522104">
        <w:rPr>
          <w:rFonts w:ascii="Times New Roman" w:eastAsia="Calibri" w:hAnsi="Times New Roman" w:cs="Times New Roman"/>
          <w:sz w:val="28"/>
          <w:szCs w:val="28"/>
          <w:lang w:eastAsia="ru-RU"/>
        </w:rPr>
        <w:t>дополнительное финансирование</w:t>
      </w:r>
      <w:r w:rsidRPr="00522104">
        <w:rPr>
          <w:rFonts w:ascii="Times New Roman" w:eastAsia="Calibri" w:hAnsi="Times New Roman" w:cs="Times New Roman"/>
          <w:spacing w:val="-6"/>
          <w:sz w:val="28"/>
          <w:szCs w:val="28"/>
        </w:rPr>
        <w:t xml:space="preserve"> </w:t>
      </w:r>
      <w:r w:rsidRPr="00522104">
        <w:rPr>
          <w:rFonts w:ascii="Times New Roman" w:eastAsia="Calibri" w:hAnsi="Times New Roman" w:cs="Times New Roman"/>
          <w:sz w:val="28"/>
          <w:szCs w:val="28"/>
        </w:rPr>
        <w:t xml:space="preserve">по следующим объектам: </w:t>
      </w:r>
      <w:r w:rsidRPr="00522104">
        <w:rPr>
          <w:rFonts w:ascii="Times New Roman" w:eastAsia="Times New Roman" w:hAnsi="Times New Roman" w:cs="Times New Roman"/>
          <w:sz w:val="28"/>
          <w:szCs w:val="28"/>
        </w:rPr>
        <w:t>детский сад на 230 мест ул. Кирова</w:t>
      </w:r>
      <w:r w:rsidR="00D9472E">
        <w:rPr>
          <w:rFonts w:ascii="Times New Roman" w:eastAsia="Times New Roman" w:hAnsi="Times New Roman" w:cs="Times New Roman"/>
          <w:sz w:val="28"/>
          <w:szCs w:val="28"/>
        </w:rPr>
        <w:t>,</w:t>
      </w:r>
      <w:r w:rsidRPr="00522104">
        <w:rPr>
          <w:rFonts w:ascii="Times New Roman" w:eastAsia="Times New Roman" w:hAnsi="Times New Roman" w:cs="Times New Roman"/>
          <w:sz w:val="28"/>
          <w:szCs w:val="28"/>
        </w:rPr>
        <w:t xml:space="preserve"> 99; детский сад на 120 мест по адресу</w:t>
      </w:r>
      <w:r w:rsidR="00E86AFD">
        <w:rPr>
          <w:rFonts w:ascii="Times New Roman" w:eastAsia="Times New Roman" w:hAnsi="Times New Roman" w:cs="Times New Roman"/>
          <w:sz w:val="28"/>
          <w:szCs w:val="28"/>
        </w:rPr>
        <w:t>:</w:t>
      </w:r>
      <w:r w:rsidRPr="00522104">
        <w:rPr>
          <w:rFonts w:ascii="Times New Roman" w:eastAsia="Times New Roman" w:hAnsi="Times New Roman" w:cs="Times New Roman"/>
          <w:sz w:val="28"/>
          <w:szCs w:val="28"/>
        </w:rPr>
        <w:t xml:space="preserve"> с. Чугуевка, ул. Школьная; здание детского сада на 150 мест в п. Новонежино Шкотовского муниципального района, а также на выкуп помещений в г. Владивостоке для создания ДОУ не менее 150 мест (ориентировочно мкр</w:t>
      </w:r>
      <w:r w:rsidR="00D9472E">
        <w:rPr>
          <w:rFonts w:ascii="Times New Roman" w:eastAsia="Times New Roman" w:hAnsi="Times New Roman" w:cs="Times New Roman"/>
          <w:sz w:val="28"/>
          <w:szCs w:val="28"/>
        </w:rPr>
        <w:t>-н</w:t>
      </w:r>
      <w:r w:rsidRPr="00522104">
        <w:rPr>
          <w:rFonts w:ascii="Times New Roman" w:eastAsia="Times New Roman" w:hAnsi="Times New Roman" w:cs="Times New Roman"/>
          <w:sz w:val="28"/>
          <w:szCs w:val="28"/>
        </w:rPr>
        <w:t xml:space="preserve"> Зеленый </w:t>
      </w:r>
      <w:r w:rsidR="001B6940">
        <w:rPr>
          <w:rFonts w:ascii="Times New Roman" w:eastAsia="Times New Roman" w:hAnsi="Times New Roman" w:cs="Times New Roman"/>
          <w:sz w:val="28"/>
          <w:szCs w:val="28"/>
        </w:rPr>
        <w:t>у</w:t>
      </w:r>
      <w:r w:rsidRPr="00522104">
        <w:rPr>
          <w:rFonts w:ascii="Times New Roman" w:eastAsia="Times New Roman" w:hAnsi="Times New Roman" w:cs="Times New Roman"/>
          <w:sz w:val="28"/>
          <w:szCs w:val="28"/>
        </w:rPr>
        <w:t>гол);</w:t>
      </w:r>
    </w:p>
    <w:p w14:paraId="76C64441" w14:textId="0944A2B7" w:rsidR="00522104" w:rsidRPr="00522104" w:rsidRDefault="00522104" w:rsidP="00522104">
      <w:pPr>
        <w:spacing w:after="0" w:line="240" w:lineRule="auto"/>
        <w:ind w:firstLine="680"/>
        <w:contextualSpacing/>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За 9 месяцев 2021 года </w:t>
      </w:r>
      <w:r w:rsidR="00FB404B" w:rsidRPr="00522104">
        <w:rPr>
          <w:rFonts w:ascii="Times New Roman" w:eastAsia="Calibri" w:hAnsi="Times New Roman" w:cs="Times New Roman"/>
          <w:sz w:val="28"/>
          <w:szCs w:val="28"/>
        </w:rPr>
        <w:t xml:space="preserve">исполнение </w:t>
      </w:r>
      <w:r w:rsidRPr="00522104">
        <w:rPr>
          <w:rFonts w:ascii="Times New Roman" w:eastAsia="Calibri" w:hAnsi="Times New Roman" w:cs="Times New Roman"/>
          <w:sz w:val="28"/>
          <w:szCs w:val="28"/>
        </w:rPr>
        <w:t>по объекту капитального строительства "Детский сад на 120 мест по ул. Крыгина</w:t>
      </w:r>
      <w:r w:rsidR="001B6940">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д. 84" составило 6,32 %; </w:t>
      </w:r>
    </w:p>
    <w:p w14:paraId="2F3567C7"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w:t>
      </w:r>
      <w:r w:rsidRPr="00522104">
        <w:rPr>
          <w:rFonts w:ascii="Times New Roman" w:hAnsi="Times New Roman" w:cs="Times New Roman"/>
          <w:i/>
          <w:sz w:val="28"/>
          <w:szCs w:val="28"/>
        </w:rPr>
        <w:t xml:space="preserve"> </w:t>
      </w:r>
      <w:r w:rsidRPr="00522104">
        <w:rPr>
          <w:rFonts w:ascii="Times New Roman" w:hAnsi="Times New Roman" w:cs="Times New Roman"/>
          <w:sz w:val="28"/>
          <w:szCs w:val="28"/>
        </w:rPr>
        <w:t>За 9 месяцев 2021 года по объекту "Детский сад № 5 на 240 мест в жилом комплексе "В" жилого района Снеговая Падь" исполнение 18,81 %.</w:t>
      </w:r>
    </w:p>
    <w:p w14:paraId="2EDB0201" w14:textId="5EEEDD01" w:rsidR="00522104" w:rsidRPr="00522104" w:rsidRDefault="00522104" w:rsidP="00522104">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eastAsia="Times New Roman" w:hAnsi="Times New Roman" w:cs="Times New Roman"/>
          <w:b/>
          <w:iCs/>
          <w:sz w:val="28"/>
          <w:szCs w:val="28"/>
          <w:lang w:eastAsia="ru-RU"/>
        </w:rPr>
        <w:t>5.4.2.6. В рамках ГП "Обеспечение доступным жильем и качественными услугами жилищно-коммунального хозяйства населения Приморского края" п</w:t>
      </w:r>
      <w:r w:rsidRPr="00FB404B">
        <w:rPr>
          <w:rFonts w:ascii="Times New Roman" w:eastAsia="Times New Roman" w:hAnsi="Times New Roman" w:cs="Times New Roman"/>
          <w:b/>
          <w:sz w:val="28"/>
          <w:szCs w:val="28"/>
          <w:lang w:eastAsia="ru-RU"/>
        </w:rPr>
        <w:t>о</w:t>
      </w:r>
      <w:r w:rsidRPr="00522104">
        <w:rPr>
          <w:rFonts w:ascii="Times New Roman" w:eastAsia="Times New Roman" w:hAnsi="Times New Roman" w:cs="Times New Roman"/>
          <w:b/>
          <w:i/>
          <w:sz w:val="28"/>
          <w:szCs w:val="28"/>
          <w:lang w:eastAsia="ru-RU"/>
        </w:rPr>
        <w:t xml:space="preserve"> подпрограмме "Предоставление детям-сиротам и детям, оставшимся без попечения родителей, лицам из их числа жилых помещений"</w:t>
      </w:r>
      <w:r w:rsidR="00681CC1">
        <w:rPr>
          <w:rFonts w:ascii="Times New Roman" w:eastAsia="Times New Roman" w:hAnsi="Times New Roman" w:cs="Times New Roman"/>
          <w:b/>
          <w:i/>
          <w:sz w:val="28"/>
          <w:szCs w:val="28"/>
          <w:lang w:eastAsia="ru-RU"/>
        </w:rPr>
        <w:t>,</w:t>
      </w:r>
      <w:r w:rsidRPr="00522104">
        <w:rPr>
          <w:rFonts w:ascii="Times New Roman" w:eastAsia="Times New Roman" w:hAnsi="Times New Roman" w:cs="Times New Roman"/>
          <w:b/>
          <w:sz w:val="28"/>
          <w:szCs w:val="28"/>
          <w:lang w:eastAsia="ru-RU"/>
        </w:rPr>
        <w:t xml:space="preserve"> </w:t>
      </w:r>
      <w:r w:rsidR="00681CC1" w:rsidRPr="00522104">
        <w:rPr>
          <w:rFonts w:ascii="Times New Roman" w:hAnsi="Times New Roman" w:cs="Times New Roman"/>
          <w:sz w:val="28"/>
          <w:szCs w:val="28"/>
        </w:rPr>
        <w:t xml:space="preserve">как и на 2023 - 2024 годы, </w:t>
      </w:r>
      <w:r w:rsidRPr="00522104">
        <w:rPr>
          <w:rFonts w:ascii="Times New Roman" w:eastAsia="Times New Roman" w:hAnsi="Times New Roman" w:cs="Times New Roman"/>
          <w:sz w:val="28"/>
          <w:szCs w:val="28"/>
          <w:lang w:eastAsia="ru-RU"/>
        </w:rPr>
        <w:t>з</w:t>
      </w:r>
      <w:r w:rsidRPr="00522104">
        <w:rPr>
          <w:rFonts w:ascii="Times New Roman" w:hAnsi="Times New Roman" w:cs="Times New Roman"/>
          <w:sz w:val="28"/>
          <w:szCs w:val="28"/>
        </w:rPr>
        <w:t xml:space="preserve">аконопроектом на 2022 год запланированы расходы в общей сумме 1467,76 млн рублей, что на 143,28 млн рублей, или на 10,82 %, больше утвержденных назначений (1324,48 млн рублей), но меньше на 869,37 млн рублей уровня 2021 года (2337,13 млн рублей). </w:t>
      </w:r>
    </w:p>
    <w:p w14:paraId="22E8A97F" w14:textId="77777777" w:rsidR="00522104" w:rsidRPr="00522104" w:rsidRDefault="00522104" w:rsidP="00522104">
      <w:pPr>
        <w:suppressAutoHyphens/>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 xml:space="preserve">В список детей-сирот, детей, оставшихся без попечения родителей, и лиц из их числа на 01.01.2021 включено 7397 лиц указанной категории (на 01.09.2021 – 7369 человек). </w:t>
      </w:r>
    </w:p>
    <w:p w14:paraId="52BB2B67" w14:textId="77777777" w:rsidR="00522104" w:rsidRPr="00522104" w:rsidRDefault="00522104" w:rsidP="00522104">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 xml:space="preserve">По состоянию на 01.10.2021: </w:t>
      </w:r>
    </w:p>
    <w:p w14:paraId="717CE615" w14:textId="77777777" w:rsidR="00522104" w:rsidRPr="00522104" w:rsidRDefault="00522104" w:rsidP="00522104">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право на получение жилого помещения наступило, но не реализовано у 4989 детей-сирот, из них: 2287 – от 18 до 23 лет, 2702 – более 23 лет;</w:t>
      </w:r>
    </w:p>
    <w:p w14:paraId="5F93A166" w14:textId="15527B69" w:rsidR="00522104" w:rsidRPr="00522104" w:rsidRDefault="00522104" w:rsidP="00522104">
      <w:pPr>
        <w:tabs>
          <w:tab w:val="left" w:pos="1650"/>
        </w:tabs>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 xml:space="preserve">общая площадь приобретенных (построенных) жилых помещений </w:t>
      </w:r>
      <w:r w:rsidR="001B6940">
        <w:rPr>
          <w:rFonts w:ascii="Times New Roman" w:eastAsia="Times New Roman" w:hAnsi="Times New Roman" w:cs="Times New Roman"/>
          <w:bCs/>
          <w:sz w:val="28"/>
          <w:szCs w:val="28"/>
          <w:lang w:eastAsia="ru-RU"/>
        </w:rPr>
        <w:t>–</w:t>
      </w:r>
      <w:r w:rsidRPr="00522104">
        <w:rPr>
          <w:rFonts w:ascii="Times New Roman" w:eastAsia="Times New Roman" w:hAnsi="Times New Roman" w:cs="Times New Roman"/>
          <w:bCs/>
          <w:sz w:val="28"/>
          <w:szCs w:val="28"/>
          <w:lang w:eastAsia="ru-RU"/>
        </w:rPr>
        <w:t xml:space="preserve"> 19,59 тыс. кв. м, или 49,15 % от плана на 2021 год (39,86 тыс. кв. м), на 2022 год установлен в размере 35,90 тыс. кв. м; </w:t>
      </w:r>
    </w:p>
    <w:p w14:paraId="3DA3A3F1" w14:textId="61BE5D66" w:rsidR="00522104" w:rsidRPr="00522104" w:rsidRDefault="00522104" w:rsidP="00522104">
      <w:pPr>
        <w:tabs>
          <w:tab w:val="left" w:pos="1650"/>
        </w:tabs>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неисполненные судебные решения (в Правительстве Приморского края)</w:t>
      </w:r>
      <w:r w:rsidR="001B6940">
        <w:rPr>
          <w:rFonts w:ascii="Times New Roman" w:eastAsia="Times New Roman" w:hAnsi="Times New Roman" w:cs="Times New Roman"/>
          <w:bCs/>
          <w:sz w:val="28"/>
          <w:szCs w:val="28"/>
          <w:lang w:eastAsia="ru-RU"/>
        </w:rPr>
        <w:t> </w:t>
      </w:r>
      <w:r w:rsidRPr="00522104">
        <w:rPr>
          <w:rFonts w:ascii="Times New Roman" w:eastAsia="Times New Roman" w:hAnsi="Times New Roman" w:cs="Times New Roman"/>
          <w:bCs/>
          <w:sz w:val="28"/>
          <w:szCs w:val="28"/>
          <w:lang w:eastAsia="ru-RU"/>
        </w:rPr>
        <w:t>– 2564;</w:t>
      </w:r>
    </w:p>
    <w:p w14:paraId="49D51EE1" w14:textId="6575AFAE" w:rsidR="00522104" w:rsidRPr="00522104" w:rsidRDefault="00522104" w:rsidP="00522104">
      <w:pPr>
        <w:tabs>
          <w:tab w:val="left" w:pos="1650"/>
        </w:tabs>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522104">
        <w:rPr>
          <w:rFonts w:ascii="Times New Roman" w:eastAsia="Times New Roman" w:hAnsi="Times New Roman" w:cs="Times New Roman"/>
          <w:bCs/>
          <w:sz w:val="28"/>
          <w:szCs w:val="28"/>
          <w:lang w:eastAsia="ru-RU"/>
        </w:rPr>
        <w:t xml:space="preserve">обеспечено жилыми помещениями </w:t>
      </w:r>
      <w:r w:rsidR="001B6940">
        <w:rPr>
          <w:rFonts w:ascii="Times New Roman" w:eastAsia="Times New Roman" w:hAnsi="Times New Roman" w:cs="Times New Roman"/>
          <w:bCs/>
          <w:sz w:val="28"/>
          <w:szCs w:val="28"/>
          <w:lang w:eastAsia="ru-RU"/>
        </w:rPr>
        <w:t>–</w:t>
      </w:r>
      <w:r w:rsidRPr="00522104">
        <w:rPr>
          <w:rFonts w:ascii="Times New Roman" w:eastAsia="Times New Roman" w:hAnsi="Times New Roman" w:cs="Times New Roman"/>
          <w:bCs/>
          <w:sz w:val="28"/>
          <w:szCs w:val="28"/>
          <w:lang w:eastAsia="ru-RU"/>
        </w:rPr>
        <w:t xml:space="preserve"> 708 детей-сирот (из 1000 планируемых), из них 206 путем оплаты сертификата на приобретение жилого помещения в собственность и 503 по договорам найма специализированного жилого фонда</w:t>
      </w:r>
      <w:r w:rsidRPr="00522104">
        <w:rPr>
          <w:rFonts w:ascii="Times New Roman" w:hAnsi="Times New Roman" w:cs="Times New Roman"/>
          <w:sz w:val="28"/>
          <w:szCs w:val="28"/>
        </w:rPr>
        <w:t xml:space="preserve">. </w:t>
      </w:r>
    </w:p>
    <w:p w14:paraId="100E7EC6" w14:textId="6DBACC1C" w:rsidR="00522104" w:rsidRPr="00522104" w:rsidRDefault="00522104" w:rsidP="00522104">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522104">
        <w:rPr>
          <w:rFonts w:ascii="Times New Roman" w:hAnsi="Times New Roman" w:cs="Times New Roman"/>
          <w:sz w:val="28"/>
          <w:szCs w:val="28"/>
        </w:rPr>
        <w:t>Контрольно-счетной палатой отмечается, что п</w:t>
      </w:r>
      <w:r w:rsidRPr="00522104">
        <w:rPr>
          <w:rFonts w:ascii="Times New Roman" w:eastAsia="Times New Roman" w:hAnsi="Times New Roman" w:cs="Times New Roman"/>
          <w:sz w:val="28"/>
          <w:szCs w:val="28"/>
          <w:lang w:eastAsia="ru-RU"/>
        </w:rPr>
        <w:t>о министерству строительства Приморского края на 2022 год</w:t>
      </w:r>
      <w:r w:rsidRPr="00522104">
        <w:rPr>
          <w:rFonts w:ascii="Times New Roman" w:eastAsia="Times New Roman" w:hAnsi="Times New Roman" w:cs="Times New Roman"/>
          <w:b/>
          <w:i/>
          <w:sz w:val="28"/>
          <w:szCs w:val="28"/>
          <w:lang w:eastAsia="ru-RU"/>
        </w:rPr>
        <w:t xml:space="preserve"> </w:t>
      </w:r>
      <w:r w:rsidRPr="00522104">
        <w:rPr>
          <w:rFonts w:ascii="Times New Roman" w:eastAsia="Times New Roman" w:hAnsi="Times New Roman" w:cs="Times New Roman"/>
          <w:sz w:val="28"/>
          <w:szCs w:val="28"/>
          <w:lang w:eastAsia="ru-RU"/>
        </w:rPr>
        <w:t>не планируются расходы</w:t>
      </w:r>
      <w:r w:rsidRPr="00522104">
        <w:rPr>
          <w:rFonts w:ascii="Times New Roman" w:eastAsia="Times New Roman" w:hAnsi="Times New Roman" w:cs="Times New Roman"/>
          <w:i/>
          <w:sz w:val="28"/>
          <w:szCs w:val="28"/>
          <w:lang w:eastAsia="ru-RU"/>
        </w:rPr>
        <w:t xml:space="preserve"> </w:t>
      </w:r>
      <w:r w:rsidRPr="00522104">
        <w:rPr>
          <w:rFonts w:ascii="Times New Roman" w:eastAsia="Times New Roman" w:hAnsi="Times New Roman" w:cs="Times New Roman"/>
          <w:sz w:val="28"/>
          <w:szCs w:val="28"/>
          <w:lang w:eastAsia="ru-RU"/>
        </w:rPr>
        <w:t>на ремонт жилых помещений, предназначенных для детей-сирот, детей, оставшихся без попечения родителей, лиц из числа детей-сирот и детей, оставшихся без попечения род</w:t>
      </w:r>
      <w:r w:rsidR="001B6940">
        <w:rPr>
          <w:rFonts w:ascii="Times New Roman" w:eastAsia="Times New Roman" w:hAnsi="Times New Roman" w:cs="Times New Roman"/>
          <w:sz w:val="28"/>
          <w:szCs w:val="28"/>
          <w:lang w:eastAsia="ru-RU"/>
        </w:rPr>
        <w:t xml:space="preserve">ителей (утверждены на 2021 год </w:t>
      </w:r>
      <w:r w:rsidRPr="00522104">
        <w:rPr>
          <w:rFonts w:ascii="Times New Roman" w:eastAsia="Times New Roman" w:hAnsi="Times New Roman" w:cs="Times New Roman"/>
          <w:sz w:val="28"/>
          <w:szCs w:val="28"/>
          <w:lang w:eastAsia="ru-RU"/>
        </w:rPr>
        <w:t>13,06 млн рублей, за 9 месяцев расходы составили 17,65 %)</w:t>
      </w:r>
      <w:r w:rsidRPr="00522104">
        <w:rPr>
          <w:rFonts w:ascii="Times New Roman" w:hAnsi="Times New Roman" w:cs="Times New Roman"/>
          <w:sz w:val="28"/>
          <w:szCs w:val="28"/>
        </w:rPr>
        <w:t>.</w:t>
      </w:r>
    </w:p>
    <w:p w14:paraId="17222E06" w14:textId="77777777" w:rsidR="00522104" w:rsidRPr="00522104" w:rsidRDefault="00522104" w:rsidP="0052210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hAnsi="Times New Roman" w:cs="Times New Roman"/>
          <w:sz w:val="28"/>
          <w:szCs w:val="28"/>
        </w:rPr>
        <w:t>Учитывая вышеизложенное, считаем целесообразным предусмотреть на 2022 год средства краевого бюджета на ремонт жилых домов для детей-сирот.</w:t>
      </w:r>
    </w:p>
    <w:p w14:paraId="154C6995" w14:textId="7FE5A802" w:rsidR="00522104" w:rsidRPr="00522104" w:rsidRDefault="00522104" w:rsidP="0052210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Стоит отметить, что Порядок взаимодействия органов исполнительной власти Приморского края с органами местного самоуправления муниципальных районов, городских округов Приморского края по осуществлению ими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утвержденный постановлением Администрации Приморского края от 06.03.2019 № 149-па, не предусматривает взаимодействие </w:t>
      </w:r>
      <w:r w:rsidR="00222944">
        <w:rPr>
          <w:rFonts w:ascii="Times New Roman" w:hAnsi="Times New Roman" w:cs="Times New Roman"/>
          <w:sz w:val="28"/>
          <w:szCs w:val="28"/>
        </w:rPr>
        <w:t>органов исполнительной власти</w:t>
      </w:r>
      <w:r w:rsidRPr="00522104">
        <w:rPr>
          <w:rFonts w:ascii="Times New Roman" w:hAnsi="Times New Roman" w:cs="Times New Roman"/>
          <w:sz w:val="28"/>
          <w:szCs w:val="28"/>
        </w:rPr>
        <w:t xml:space="preserve"> с органами местного самоуправления по проведению ремонта жилых помещений для детей-сирот.</w:t>
      </w:r>
    </w:p>
    <w:p w14:paraId="2F7B44F5" w14:textId="51E253AA" w:rsidR="00522104" w:rsidRPr="00522104" w:rsidRDefault="00522104" w:rsidP="0052210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Кроме того, в рамках ГП "Развитие образования Приморского края" на 2022 год предусмотрены расходы на социальное обеспечение и иные выплаты </w:t>
      </w:r>
      <w:r w:rsidR="004D1A64">
        <w:rPr>
          <w:rFonts w:ascii="Times New Roman" w:hAnsi="Times New Roman" w:cs="Times New Roman"/>
          <w:sz w:val="28"/>
          <w:szCs w:val="28"/>
        </w:rPr>
        <w:t>детям-сиротам</w:t>
      </w:r>
      <w:r w:rsidRPr="00522104">
        <w:rPr>
          <w:rFonts w:ascii="Times New Roman" w:hAnsi="Times New Roman" w:cs="Times New Roman"/>
          <w:sz w:val="28"/>
          <w:szCs w:val="28"/>
        </w:rPr>
        <w:t xml:space="preserve"> больше на 4,08 тыс. рублей, или в 2,8 раз</w:t>
      </w:r>
      <w:r w:rsidR="001B6940">
        <w:rPr>
          <w:rFonts w:ascii="Times New Roman" w:hAnsi="Times New Roman" w:cs="Times New Roman"/>
          <w:sz w:val="28"/>
          <w:szCs w:val="28"/>
        </w:rPr>
        <w:t>а</w:t>
      </w:r>
      <w:r w:rsidRPr="00522104">
        <w:rPr>
          <w:rFonts w:ascii="Times New Roman" w:hAnsi="Times New Roman" w:cs="Times New Roman"/>
          <w:sz w:val="28"/>
          <w:szCs w:val="28"/>
        </w:rPr>
        <w:t xml:space="preserve"> (предусмотрено законом на 2022 год 2,33 млн рублей</w:t>
      </w:r>
      <w:r w:rsidR="001B6940">
        <w:rPr>
          <w:rFonts w:ascii="Times New Roman" w:hAnsi="Times New Roman" w:cs="Times New Roman"/>
          <w:sz w:val="28"/>
          <w:szCs w:val="28"/>
        </w:rPr>
        <w:t>,</w:t>
      </w:r>
      <w:r w:rsidRPr="00522104">
        <w:rPr>
          <w:rFonts w:ascii="Times New Roman" w:hAnsi="Times New Roman" w:cs="Times New Roman"/>
          <w:sz w:val="28"/>
          <w:szCs w:val="28"/>
        </w:rPr>
        <w:t xml:space="preserve"> законопроектом – 6,41 млн рублей), в связи с увеличением норм согласно постановлению Правительства Приморского края от 05.08.2021 № 506-пп "О внесении изменений в постановление Администрации Приморского края от 31.07.2017 № 310-па "Об обеспечении бесплатным питанием, бесплатным комплектом одежды, обуви, мягким инвентарем, оборудованием и единовременным денежным пособием отдельных категорий лиц" .</w:t>
      </w:r>
    </w:p>
    <w:p w14:paraId="27113DF4" w14:textId="33F00144" w:rsidR="00522104" w:rsidRPr="00522104" w:rsidRDefault="00522104" w:rsidP="0052210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22104">
        <w:rPr>
          <w:rFonts w:ascii="Times New Roman" w:hAnsi="Times New Roman" w:cs="Times New Roman"/>
          <w:sz w:val="28"/>
          <w:szCs w:val="28"/>
        </w:rPr>
        <w:t xml:space="preserve">Учитывая, что нормы денежной компенсации взамен одежды, обуви, мягкого инвентаря, оборудования и размер единовременного денежного пособия, утвержденные в июле 2017 года, не пересматривались и не индексировались </w:t>
      </w:r>
      <w:r w:rsidR="00A125FC">
        <w:rPr>
          <w:rFonts w:ascii="Times New Roman" w:hAnsi="Times New Roman" w:cs="Times New Roman"/>
          <w:sz w:val="28"/>
          <w:szCs w:val="28"/>
        </w:rPr>
        <w:t>4 года (</w:t>
      </w:r>
      <w:r w:rsidRPr="00522104">
        <w:rPr>
          <w:rFonts w:ascii="Times New Roman" w:hAnsi="Times New Roman" w:cs="Times New Roman"/>
          <w:sz w:val="28"/>
          <w:szCs w:val="28"/>
        </w:rPr>
        <w:t>с 01.01.2018 до 01.01.2022</w:t>
      </w:r>
      <w:r w:rsidR="00A125FC">
        <w:rPr>
          <w:rFonts w:ascii="Times New Roman" w:hAnsi="Times New Roman" w:cs="Times New Roman"/>
          <w:sz w:val="28"/>
          <w:szCs w:val="28"/>
        </w:rPr>
        <w:t>)</w:t>
      </w:r>
      <w:r w:rsidRPr="00522104">
        <w:rPr>
          <w:rFonts w:ascii="Times New Roman" w:hAnsi="Times New Roman" w:cs="Times New Roman"/>
          <w:sz w:val="28"/>
          <w:szCs w:val="28"/>
        </w:rPr>
        <w:t>, а нормы денежного обеспечения питанием на время пребывания в организациях, при временной передаче в семьи граждан (в день на одного человека) не индексировались</w:t>
      </w:r>
      <w:r w:rsidR="00A125FC">
        <w:rPr>
          <w:rFonts w:ascii="Times New Roman" w:hAnsi="Times New Roman" w:cs="Times New Roman"/>
          <w:sz w:val="28"/>
          <w:szCs w:val="28"/>
        </w:rPr>
        <w:t xml:space="preserve"> 3</w:t>
      </w:r>
      <w:r w:rsidR="004C3BA5">
        <w:rPr>
          <w:rFonts w:ascii="Times New Roman" w:hAnsi="Times New Roman" w:cs="Times New Roman"/>
          <w:sz w:val="28"/>
          <w:szCs w:val="28"/>
        </w:rPr>
        <w:t> </w:t>
      </w:r>
      <w:r w:rsidR="00A125FC">
        <w:rPr>
          <w:rFonts w:ascii="Times New Roman" w:hAnsi="Times New Roman" w:cs="Times New Roman"/>
          <w:sz w:val="28"/>
          <w:szCs w:val="28"/>
        </w:rPr>
        <w:t>года</w:t>
      </w:r>
      <w:r w:rsidRPr="00522104">
        <w:rPr>
          <w:rFonts w:ascii="Times New Roman" w:hAnsi="Times New Roman" w:cs="Times New Roman"/>
          <w:sz w:val="28"/>
          <w:szCs w:val="28"/>
        </w:rPr>
        <w:t xml:space="preserve"> </w:t>
      </w:r>
      <w:r w:rsidR="00A125FC">
        <w:rPr>
          <w:rFonts w:ascii="Times New Roman" w:hAnsi="Times New Roman" w:cs="Times New Roman"/>
          <w:sz w:val="28"/>
          <w:szCs w:val="28"/>
        </w:rPr>
        <w:t>(</w:t>
      </w:r>
      <w:r w:rsidRPr="00522104">
        <w:rPr>
          <w:rFonts w:ascii="Times New Roman" w:hAnsi="Times New Roman" w:cs="Times New Roman"/>
          <w:sz w:val="28"/>
          <w:szCs w:val="28"/>
        </w:rPr>
        <w:t>с 01.01.2019</w:t>
      </w:r>
      <w:r w:rsidR="00A125FC">
        <w:rPr>
          <w:rFonts w:ascii="Times New Roman" w:hAnsi="Times New Roman" w:cs="Times New Roman"/>
          <w:sz w:val="28"/>
          <w:szCs w:val="28"/>
        </w:rPr>
        <w:t>)</w:t>
      </w:r>
      <w:r w:rsidRPr="00522104">
        <w:rPr>
          <w:rFonts w:ascii="Times New Roman" w:hAnsi="Times New Roman" w:cs="Times New Roman"/>
          <w:sz w:val="28"/>
          <w:szCs w:val="28"/>
        </w:rPr>
        <w:t xml:space="preserve">, </w:t>
      </w:r>
      <w:r w:rsidR="004C3BA5">
        <w:rPr>
          <w:rFonts w:ascii="Times New Roman" w:hAnsi="Times New Roman" w:cs="Times New Roman"/>
          <w:sz w:val="28"/>
          <w:szCs w:val="28"/>
        </w:rPr>
        <w:t xml:space="preserve">то </w:t>
      </w:r>
      <w:r w:rsidRPr="00522104">
        <w:rPr>
          <w:rFonts w:ascii="Times New Roman" w:hAnsi="Times New Roman" w:cs="Times New Roman"/>
          <w:sz w:val="28"/>
          <w:szCs w:val="28"/>
        </w:rPr>
        <w:t>увеличение денежных норм от 4,3 % до 4,0 %, предусмотренное законопроектом на 2022 год, является недостаточным, так как не учитывает удорожание вышеуказанных материальных ценностей за период с 01.01.2018 года.</w:t>
      </w:r>
    </w:p>
    <w:p w14:paraId="5B82700A" w14:textId="0E44B004"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sz w:val="28"/>
          <w:szCs w:val="24"/>
        </w:rPr>
        <w:t>6. </w:t>
      </w:r>
      <w:r w:rsidRPr="00522104">
        <w:rPr>
          <w:rFonts w:ascii="Times New Roman" w:eastAsia="Times New Roman" w:hAnsi="Times New Roman" w:cs="Times New Roman"/>
          <w:sz w:val="28"/>
          <w:szCs w:val="28"/>
          <w:lang w:eastAsia="ru-RU"/>
        </w:rPr>
        <w:t>Общий объем финансовой помощи из краевого бюджета в муниципальные бюджеты, расчет которой произведен согласно приложениям 1 и 3 Закона Приморского края № 271-КЗ на 2022 год</w:t>
      </w:r>
      <w:r w:rsidR="008A6389">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составит 1798,89 млн рублей, что больше утвержденных назначений на 273,14 млн рублей и уровня 2021 года на 73,55 млн рублей (утверждено на 2021 год 1725,34 млн рублей, 2022 год – 1525,75 млн рублей). На 2023 год прогнозируется 1574,20 млн рублей, на 2024 год – 1553,20 млн рублей.</w:t>
      </w:r>
    </w:p>
    <w:p w14:paraId="36110487" w14:textId="77777777" w:rsidR="00522104" w:rsidRPr="00522104" w:rsidRDefault="00522104" w:rsidP="00522104">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Дотации на выравнивание бюджетной обеспеченности муниципальных районов (муниципальных округов, городских округов) запланированы на 2022 год на 1553,31 млн рублей, что выше утвержденных назначений на 2022 и 2021 годы (утверждено на 2021 год 1477,84 млн рублей, на 2022 год – 1278,23 млн рублей). </w:t>
      </w:r>
    </w:p>
    <w:p w14:paraId="45E7812A" w14:textId="77777777"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Общий объем дотации с учетом заменяемой дополнительными нормативами отчислений от НДФЛ на 2022 год составит 12778,85 млн рублей, что отвечает условиям, установленным бюджетным законодательством (не менее 9440,70 млн рублей). Объем дотации к предыдущему году увеличен на 1340,59 млн рублей, или 11,72 % (11438,26 млн рублей). </w:t>
      </w:r>
    </w:p>
    <w:p w14:paraId="5D530518" w14:textId="0CA84E27" w:rsidR="00522104" w:rsidRPr="00522104" w:rsidRDefault="00522104" w:rsidP="00522104">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Расходы краевого бюджета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 (в 2021 году </w:t>
      </w:r>
      <w:r w:rsidR="008A6389">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 запланированы на 2022 год и плановый период в одинаковом объеме по 245,58 млн рублей, что ниже утвержденных назначений на тот же год на 1,94 млн рублей, или на 0,78 %, и ниже 2021 года на 1,91 млн рублей, или на 0,78 %.</w:t>
      </w:r>
    </w:p>
    <w:p w14:paraId="54F74594" w14:textId="0A66C446" w:rsidR="00522104" w:rsidRPr="00522104" w:rsidRDefault="00522104" w:rsidP="00522104">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Как и в 2020 и 2021 годах, на 2022 год и плановый период 2023 и 2024 годов для расчета общего объема субвенций на исполнение полномочий по расчету и предоставлению дотаций бюджетам поселений (далее – субвенция) предлагается без изменений среднекраевой объем субвенций бюджетам муниципальных районов Приморского края в расчете на одного жителя (городских поселений </w:t>
      </w:r>
      <w:r w:rsidR="008A6389">
        <w:rPr>
          <w:rFonts w:ascii="Times New Roman" w:eastAsia="Times New Roman" w:hAnsi="Times New Roman" w:cs="Times New Roman"/>
          <w:sz w:val="28"/>
          <w:szCs w:val="28"/>
          <w:lang w:eastAsia="ru-RU"/>
        </w:rPr>
        <w:t>– 604 рубля,</w:t>
      </w:r>
      <w:r w:rsidRPr="00522104">
        <w:rPr>
          <w:rFonts w:ascii="Times New Roman" w:eastAsia="Times New Roman" w:hAnsi="Times New Roman" w:cs="Times New Roman"/>
          <w:sz w:val="28"/>
          <w:szCs w:val="28"/>
          <w:lang w:eastAsia="ru-RU"/>
        </w:rPr>
        <w:t xml:space="preserve"> сельских поселений – 850 рублей).</w:t>
      </w:r>
    </w:p>
    <w:p w14:paraId="2D353321" w14:textId="391F2FEA"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Согласно данны</w:t>
      </w:r>
      <w:r w:rsidR="008A6389">
        <w:rPr>
          <w:rFonts w:ascii="Times New Roman" w:eastAsia="Times New Roman" w:hAnsi="Times New Roman" w:cs="Times New Roman"/>
          <w:sz w:val="28"/>
          <w:szCs w:val="28"/>
          <w:lang w:eastAsia="ru-RU"/>
        </w:rPr>
        <w:t>м</w:t>
      </w:r>
      <w:r w:rsidRPr="00522104">
        <w:rPr>
          <w:rFonts w:ascii="Times New Roman" w:eastAsia="Times New Roman" w:hAnsi="Times New Roman" w:cs="Times New Roman"/>
          <w:sz w:val="28"/>
          <w:szCs w:val="28"/>
          <w:lang w:eastAsia="ru-RU"/>
        </w:rPr>
        <w:t xml:space="preserve"> Росстата оценка численности постоянного населени</w:t>
      </w:r>
      <w:r w:rsidR="008A6389">
        <w:rPr>
          <w:rFonts w:ascii="Times New Roman" w:eastAsia="Times New Roman" w:hAnsi="Times New Roman" w:cs="Times New Roman"/>
          <w:sz w:val="28"/>
          <w:szCs w:val="28"/>
          <w:lang w:eastAsia="ru-RU"/>
        </w:rPr>
        <w:t>я</w:t>
      </w:r>
      <w:r w:rsidRPr="00522104">
        <w:rPr>
          <w:rFonts w:ascii="Times New Roman" w:eastAsia="Times New Roman" w:hAnsi="Times New Roman" w:cs="Times New Roman"/>
          <w:sz w:val="28"/>
          <w:szCs w:val="28"/>
          <w:lang w:eastAsia="ru-RU"/>
        </w:rPr>
        <w:t xml:space="preserve"> на 01.01.2021 в целом по муниципальным районам соответствует численности, указанной в расчете. Однако имеются отклонения в расчете распределения в части применения численности населения в разрезе отдельных городских и сельских поселений, что влияет на уровень расчетной бюджетной обеспеченности муниципальных бюджетов поселений.</w:t>
      </w:r>
    </w:p>
    <w:p w14:paraId="6CF75632"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Times New Roman" w:hAnsi="Times New Roman" w:cs="Times New Roman"/>
          <w:b/>
          <w:sz w:val="28"/>
          <w:szCs w:val="28"/>
          <w:lang w:eastAsia="ru-RU"/>
        </w:rPr>
        <w:t>7. </w:t>
      </w:r>
      <w:r w:rsidRPr="00522104">
        <w:rPr>
          <w:rFonts w:ascii="Times New Roman" w:eastAsia="Times New Roman" w:hAnsi="Times New Roman" w:cs="Times New Roman"/>
          <w:sz w:val="28"/>
          <w:szCs w:val="28"/>
          <w:lang w:eastAsia="ru-RU"/>
        </w:rPr>
        <w:t xml:space="preserve">Согласно части 9 статьи 8 законопроекта объем </w:t>
      </w:r>
      <w:r w:rsidRPr="00522104">
        <w:rPr>
          <w:rFonts w:ascii="Times New Roman" w:eastAsia="Calibri" w:hAnsi="Times New Roman" w:cs="Times New Roman"/>
          <w:sz w:val="28"/>
          <w:szCs w:val="28"/>
        </w:rPr>
        <w:t xml:space="preserve">бюджетных ассигнований дорожного фонда Приморского края </w:t>
      </w:r>
      <w:r w:rsidRPr="00522104">
        <w:rPr>
          <w:rFonts w:ascii="Times New Roman" w:eastAsia="Times New Roman" w:hAnsi="Times New Roman" w:cs="Times New Roman"/>
          <w:sz w:val="28"/>
          <w:szCs w:val="28"/>
          <w:lang w:eastAsia="ru-RU"/>
        </w:rPr>
        <w:t xml:space="preserve">на 2022 год увеличен по сравнению с утвержденными ассигнованиями на 3097,20 млн рублей и снижен к уровню 2021 года на 5685,81 млн рублей и составит </w:t>
      </w:r>
      <w:r w:rsidRPr="00522104">
        <w:rPr>
          <w:rFonts w:ascii="Times New Roman" w:eastAsia="Calibri" w:hAnsi="Times New Roman" w:cs="Times New Roman"/>
          <w:sz w:val="28"/>
          <w:szCs w:val="28"/>
        </w:rPr>
        <w:t>14860,33 млн рублей. На плановый период 2023 и 2024 годов – 12612,76 млн рублей и 12582,02 млн рублей соответственно.</w:t>
      </w:r>
    </w:p>
    <w:p w14:paraId="67B2BADE" w14:textId="77777777" w:rsidR="00522104" w:rsidRPr="00522104" w:rsidRDefault="00522104" w:rsidP="00522104">
      <w:pPr>
        <w:spacing w:after="0" w:line="240" w:lineRule="auto"/>
        <w:ind w:firstLine="680"/>
        <w:jc w:val="both"/>
        <w:rPr>
          <w:rFonts w:ascii="Times New Roman" w:eastAsia="Times New Roman" w:hAnsi="Times New Roman" w:cs="Times New Roman"/>
          <w:iCs/>
          <w:color w:val="000000"/>
          <w:sz w:val="28"/>
          <w:szCs w:val="28"/>
          <w:shd w:val="clear" w:color="auto" w:fill="FFFFFF"/>
          <w:lang w:eastAsia="ru-RU"/>
        </w:rPr>
      </w:pPr>
      <w:r w:rsidRPr="00522104">
        <w:rPr>
          <w:rFonts w:ascii="Times New Roman" w:eastAsia="Times New Roman" w:hAnsi="Times New Roman" w:cs="Times New Roman"/>
          <w:bCs/>
          <w:iCs/>
          <w:color w:val="000000"/>
          <w:sz w:val="28"/>
          <w:szCs w:val="28"/>
          <w:lang w:eastAsia="ru-RU"/>
        </w:rPr>
        <w:t xml:space="preserve">За счет дорожного фонда </w:t>
      </w:r>
      <w:r w:rsidRPr="00522104">
        <w:rPr>
          <w:rFonts w:ascii="Times New Roman" w:eastAsia="Times New Roman" w:hAnsi="Times New Roman" w:cs="Times New Roman"/>
          <w:iCs/>
          <w:color w:val="000000"/>
          <w:sz w:val="28"/>
          <w:szCs w:val="28"/>
          <w:shd w:val="clear" w:color="auto" w:fill="FFFFFF"/>
          <w:lang w:eastAsia="ru-RU"/>
        </w:rPr>
        <w:t>планируются расходы по двум государственным программам Приморского края.</w:t>
      </w:r>
    </w:p>
    <w:p w14:paraId="4EB7B67B" w14:textId="0497EC83"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Times New Roman" w:hAnsi="Times New Roman" w:cs="Times New Roman"/>
          <w:b/>
          <w:iCs/>
          <w:color w:val="000000"/>
          <w:sz w:val="28"/>
          <w:szCs w:val="28"/>
          <w:lang w:eastAsia="ru-RU"/>
        </w:rPr>
        <w:t>7.1.</w:t>
      </w:r>
      <w:r w:rsidRPr="00522104">
        <w:rPr>
          <w:rFonts w:ascii="Times New Roman" w:eastAsia="Times New Roman" w:hAnsi="Times New Roman" w:cs="Times New Roman"/>
          <w:bCs/>
          <w:iCs/>
          <w:color w:val="000000"/>
          <w:sz w:val="28"/>
          <w:szCs w:val="28"/>
          <w:lang w:eastAsia="ru-RU"/>
        </w:rPr>
        <w:t> </w:t>
      </w:r>
      <w:r w:rsidRPr="00522104">
        <w:rPr>
          <w:rFonts w:ascii="Times New Roman" w:eastAsia="Times New Roman" w:hAnsi="Times New Roman" w:cs="Times New Roman"/>
          <w:bCs/>
          <w:sz w:val="28"/>
          <w:szCs w:val="28"/>
          <w:lang w:eastAsia="ru-RU"/>
        </w:rPr>
        <w:t xml:space="preserve">В законопроекте по ГП "Развитие туризма в Приморском крае" </w:t>
      </w:r>
      <w:r w:rsidRPr="00522104">
        <w:rPr>
          <w:rFonts w:ascii="Times New Roman" w:eastAsia="Times New Roman" w:hAnsi="Times New Roman" w:cs="Times New Roman"/>
          <w:iCs/>
          <w:sz w:val="28"/>
          <w:szCs w:val="28"/>
          <w:shd w:val="clear" w:color="auto" w:fill="FFFFFF"/>
          <w:lang w:eastAsia="ru-RU"/>
        </w:rPr>
        <w:t>в сумме 121,52 млн рублей</w:t>
      </w:r>
      <w:r w:rsidR="008A1765">
        <w:rPr>
          <w:rFonts w:ascii="Times New Roman" w:eastAsia="Times New Roman" w:hAnsi="Times New Roman" w:cs="Times New Roman"/>
          <w:iCs/>
          <w:sz w:val="28"/>
          <w:szCs w:val="28"/>
          <w:shd w:val="clear" w:color="auto" w:fill="FFFFFF"/>
          <w:lang w:eastAsia="ru-RU"/>
        </w:rPr>
        <w:t>,</w:t>
      </w:r>
      <w:r w:rsidRPr="00522104">
        <w:rPr>
          <w:rFonts w:ascii="Times New Roman" w:eastAsia="Times New Roman" w:hAnsi="Times New Roman" w:cs="Times New Roman"/>
          <w:iCs/>
          <w:sz w:val="28"/>
          <w:szCs w:val="28"/>
          <w:shd w:val="clear" w:color="auto" w:fill="FFFFFF"/>
          <w:lang w:eastAsia="ru-RU"/>
        </w:rPr>
        <w:t xml:space="preserve"> на уровне утвержденных назначений на </w:t>
      </w:r>
      <w:r w:rsidRPr="00522104">
        <w:rPr>
          <w:rFonts w:ascii="Times New Roman" w:eastAsia="Times New Roman" w:hAnsi="Times New Roman" w:cs="Times New Roman"/>
          <w:bCs/>
          <w:iCs/>
          <w:sz w:val="28"/>
          <w:szCs w:val="28"/>
          <w:lang w:eastAsia="ru-RU"/>
        </w:rPr>
        <w:t xml:space="preserve">строительство объекта "Туристский кластер "Приморье" в бухте Муравьиная. Автомобильная дорога, 4 этап "Сектор 8"). </w:t>
      </w:r>
    </w:p>
    <w:p w14:paraId="78E072BC" w14:textId="1D187205" w:rsidR="00522104" w:rsidRPr="00522104" w:rsidRDefault="00522104" w:rsidP="00522104">
      <w:pPr>
        <w:spacing w:after="0" w:line="240" w:lineRule="auto"/>
        <w:ind w:firstLine="680"/>
        <w:jc w:val="both"/>
        <w:rPr>
          <w:rFonts w:ascii="Times New Roman" w:eastAsia="Times New Roman" w:hAnsi="Times New Roman" w:cs="Times New Roman"/>
          <w:iCs/>
          <w:color w:val="000000"/>
          <w:sz w:val="28"/>
          <w:szCs w:val="28"/>
          <w:shd w:val="clear" w:color="auto" w:fill="FFFFFF"/>
          <w:lang w:eastAsia="ru-RU"/>
        </w:rPr>
      </w:pPr>
      <w:r w:rsidRPr="00522104">
        <w:rPr>
          <w:rFonts w:ascii="Times New Roman" w:eastAsia="Times New Roman" w:hAnsi="Times New Roman" w:cs="Times New Roman"/>
          <w:b/>
          <w:bCs/>
          <w:iCs/>
          <w:color w:val="000000"/>
          <w:sz w:val="28"/>
          <w:szCs w:val="28"/>
          <w:shd w:val="clear" w:color="auto" w:fill="FFFFFF"/>
          <w:lang w:eastAsia="ru-RU"/>
        </w:rPr>
        <w:t>7.2.</w:t>
      </w:r>
      <w:r w:rsidRPr="00522104">
        <w:rPr>
          <w:rFonts w:ascii="Times New Roman" w:eastAsia="Times New Roman" w:hAnsi="Times New Roman" w:cs="Times New Roman"/>
          <w:iCs/>
          <w:color w:val="000000"/>
          <w:sz w:val="28"/>
          <w:szCs w:val="28"/>
          <w:shd w:val="clear" w:color="auto" w:fill="FFFFFF"/>
          <w:lang w:eastAsia="ru-RU"/>
        </w:rPr>
        <w:t xml:space="preserve"> По ГП "Развитие </w:t>
      </w:r>
      <w:r w:rsidRPr="00522104">
        <w:rPr>
          <w:rFonts w:ascii="Times New Roman" w:eastAsia="Times New Roman" w:hAnsi="Times New Roman" w:cs="Times New Roman"/>
          <w:iCs/>
          <w:sz w:val="28"/>
          <w:szCs w:val="28"/>
          <w:lang w:eastAsia="ru-RU"/>
        </w:rPr>
        <w:t xml:space="preserve">транспортного комплекса Приморского края" расходы на 2022 год составят 14738,81 млн рублей, что больше на 3097,20 млн рублей </w:t>
      </w:r>
      <w:bookmarkStart w:id="8" w:name="_Hlk58353878"/>
      <w:r w:rsidRPr="00522104">
        <w:rPr>
          <w:rFonts w:ascii="Times New Roman" w:eastAsia="Times New Roman" w:hAnsi="Times New Roman" w:cs="Times New Roman"/>
          <w:iCs/>
          <w:sz w:val="28"/>
          <w:szCs w:val="28"/>
          <w:lang w:eastAsia="ru-RU"/>
        </w:rPr>
        <w:t>утвержденных расходов на 2022 год – 11641,61 млн рублей</w:t>
      </w:r>
      <w:bookmarkEnd w:id="8"/>
      <w:r w:rsidRPr="00522104">
        <w:rPr>
          <w:rFonts w:ascii="Times New Roman" w:eastAsia="Times New Roman" w:hAnsi="Times New Roman" w:cs="Times New Roman"/>
          <w:iCs/>
          <w:sz w:val="28"/>
          <w:szCs w:val="28"/>
          <w:lang w:eastAsia="ru-RU"/>
        </w:rPr>
        <w:t xml:space="preserve">, и сокращены на </w:t>
      </w:r>
      <w:r w:rsidRPr="00522104">
        <w:rPr>
          <w:rFonts w:ascii="Times New Roman" w:eastAsia="Times New Roman" w:hAnsi="Times New Roman" w:cs="Times New Roman"/>
          <w:sz w:val="28"/>
          <w:szCs w:val="28"/>
          <w:lang w:eastAsia="ru-RU"/>
        </w:rPr>
        <w:t xml:space="preserve">5447,22 млн рублей </w:t>
      </w:r>
      <w:r w:rsidRPr="00522104">
        <w:rPr>
          <w:rFonts w:ascii="Times New Roman" w:eastAsia="Times New Roman" w:hAnsi="Times New Roman" w:cs="Times New Roman"/>
          <w:iCs/>
          <w:sz w:val="28"/>
          <w:szCs w:val="28"/>
          <w:lang w:eastAsia="ru-RU"/>
        </w:rPr>
        <w:t xml:space="preserve">по сравнению с 2021 годом </w:t>
      </w:r>
      <w:r w:rsidRPr="00522104">
        <w:rPr>
          <w:rFonts w:ascii="Times New Roman" w:eastAsia="Times New Roman" w:hAnsi="Times New Roman" w:cs="Times New Roman"/>
          <w:sz w:val="28"/>
          <w:szCs w:val="28"/>
          <w:lang w:eastAsia="ru-RU"/>
        </w:rPr>
        <w:t>(утверждено на 2022 год 11641,61 млн рублей, на 2021 год – 20186,03 млн рублей).</w:t>
      </w:r>
    </w:p>
    <w:p w14:paraId="559E7F45" w14:textId="77777777" w:rsidR="00522104" w:rsidRPr="00522104" w:rsidRDefault="00522104" w:rsidP="00522104">
      <w:pPr>
        <w:spacing w:after="0" w:line="240" w:lineRule="auto"/>
        <w:ind w:firstLine="680"/>
        <w:jc w:val="both"/>
        <w:rPr>
          <w:rFonts w:ascii="Times New Roman" w:eastAsia="Times New Roman" w:hAnsi="Times New Roman" w:cs="Times New Roman"/>
          <w:iCs/>
          <w:sz w:val="28"/>
          <w:szCs w:val="28"/>
          <w:lang w:eastAsia="ru-RU"/>
        </w:rPr>
      </w:pPr>
      <w:r w:rsidRPr="00522104">
        <w:rPr>
          <w:rFonts w:ascii="Times New Roman" w:eastAsia="Times New Roman" w:hAnsi="Times New Roman" w:cs="Times New Roman"/>
          <w:iCs/>
          <w:color w:val="000000"/>
          <w:sz w:val="28"/>
          <w:szCs w:val="28"/>
          <w:shd w:val="clear" w:color="auto" w:fill="FFFFFF"/>
          <w:lang w:eastAsia="ru-RU"/>
        </w:rPr>
        <w:t>В</w:t>
      </w:r>
      <w:r w:rsidRPr="00522104">
        <w:rPr>
          <w:rFonts w:ascii="Times New Roman" w:eastAsia="Times New Roman" w:hAnsi="Times New Roman" w:cs="Times New Roman"/>
          <w:iCs/>
          <w:sz w:val="28"/>
          <w:szCs w:val="28"/>
          <w:lang w:eastAsia="ru-RU"/>
        </w:rPr>
        <w:t xml:space="preserve"> рамках ГП </w:t>
      </w:r>
      <w:r w:rsidRPr="00522104">
        <w:rPr>
          <w:rFonts w:ascii="Times New Roman" w:eastAsia="Times New Roman" w:hAnsi="Times New Roman" w:cs="Times New Roman"/>
          <w:iCs/>
          <w:color w:val="000000"/>
          <w:sz w:val="28"/>
          <w:szCs w:val="28"/>
          <w:shd w:val="clear" w:color="auto" w:fill="FFFFFF"/>
          <w:lang w:eastAsia="ru-RU"/>
        </w:rPr>
        <w:t xml:space="preserve">в 2022 году </w:t>
      </w:r>
      <w:bookmarkStart w:id="9" w:name="_Hlk58354260"/>
      <w:r w:rsidRPr="00522104">
        <w:rPr>
          <w:rFonts w:ascii="Times New Roman" w:eastAsia="Times New Roman" w:hAnsi="Times New Roman" w:cs="Times New Roman"/>
          <w:iCs/>
          <w:sz w:val="28"/>
          <w:szCs w:val="28"/>
          <w:lang w:eastAsia="ru-RU"/>
        </w:rPr>
        <w:t>имеются разнонаправленные отклонения</w:t>
      </w:r>
      <w:r w:rsidRPr="00522104">
        <w:rPr>
          <w:rFonts w:ascii="Times New Roman" w:eastAsia="Times New Roman" w:hAnsi="Times New Roman" w:cs="Times New Roman"/>
          <w:iCs/>
          <w:color w:val="000000"/>
          <w:sz w:val="28"/>
          <w:szCs w:val="28"/>
          <w:shd w:val="clear" w:color="auto" w:fill="FFFFFF"/>
          <w:lang w:eastAsia="ru-RU"/>
        </w:rPr>
        <w:t xml:space="preserve"> к уровню утвержденных расходов</w:t>
      </w:r>
      <w:r w:rsidRPr="00522104">
        <w:rPr>
          <w:rFonts w:ascii="Times New Roman" w:eastAsia="Times New Roman" w:hAnsi="Times New Roman" w:cs="Times New Roman"/>
          <w:iCs/>
          <w:sz w:val="28"/>
          <w:szCs w:val="28"/>
          <w:lang w:eastAsia="ru-RU"/>
        </w:rPr>
        <w:t xml:space="preserve">. </w:t>
      </w:r>
    </w:p>
    <w:bookmarkEnd w:id="9"/>
    <w:p w14:paraId="3C856657" w14:textId="77777777" w:rsidR="00522104" w:rsidRPr="00522104" w:rsidRDefault="00522104" w:rsidP="00522104">
      <w:pPr>
        <w:spacing w:after="0" w:line="240" w:lineRule="auto"/>
        <w:ind w:firstLine="680"/>
        <w:jc w:val="both"/>
        <w:rPr>
          <w:rFonts w:ascii="Times New Roman" w:eastAsia="Times New Roman" w:hAnsi="Times New Roman" w:cs="Times New Roman"/>
          <w:bCs/>
          <w:iCs/>
          <w:sz w:val="28"/>
          <w:szCs w:val="28"/>
          <w:lang w:eastAsia="ru-RU"/>
        </w:rPr>
      </w:pPr>
      <w:r w:rsidRPr="00522104">
        <w:rPr>
          <w:rFonts w:ascii="Times New Roman" w:eastAsia="Times New Roman" w:hAnsi="Times New Roman" w:cs="Times New Roman"/>
          <w:iCs/>
          <w:sz w:val="28"/>
          <w:szCs w:val="28"/>
          <w:lang w:eastAsia="ru-RU"/>
        </w:rPr>
        <w:t>Так, в 2022 году расходы дорожного фонда у</w:t>
      </w:r>
      <w:r w:rsidRPr="00522104">
        <w:rPr>
          <w:rFonts w:ascii="Times New Roman" w:eastAsia="Times New Roman" w:hAnsi="Times New Roman" w:cs="Times New Roman"/>
          <w:bCs/>
          <w:iCs/>
          <w:sz w:val="28"/>
          <w:szCs w:val="28"/>
          <w:lang w:eastAsia="ru-RU"/>
        </w:rPr>
        <w:t>величиваются:</w:t>
      </w:r>
    </w:p>
    <w:p w14:paraId="64B3DD23" w14:textId="77777777" w:rsidR="00522104" w:rsidRPr="00522104" w:rsidRDefault="00522104" w:rsidP="00522104">
      <w:pPr>
        <w:spacing w:after="0" w:line="240" w:lineRule="auto"/>
        <w:ind w:firstLine="680"/>
        <w:jc w:val="both"/>
        <w:rPr>
          <w:rFonts w:ascii="Times New Roman" w:hAnsi="Times New Roman" w:cs="Times New Roman"/>
          <w:sz w:val="28"/>
          <w:szCs w:val="28"/>
        </w:rPr>
      </w:pPr>
      <w:r w:rsidRPr="00522104">
        <w:rPr>
          <w:rFonts w:ascii="Times New Roman" w:eastAsia="Times New Roman" w:hAnsi="Times New Roman" w:cs="Times New Roman"/>
          <w:bCs/>
          <w:iCs/>
          <w:sz w:val="28"/>
          <w:szCs w:val="28"/>
          <w:lang w:eastAsia="ru-RU"/>
        </w:rPr>
        <w:t xml:space="preserve">на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 – на 1545,09 млн рублей </w:t>
      </w:r>
      <w:r w:rsidRPr="00522104">
        <w:rPr>
          <w:rFonts w:ascii="Times New Roman" w:hAnsi="Times New Roman" w:cs="Times New Roman"/>
          <w:sz w:val="28"/>
          <w:szCs w:val="28"/>
        </w:rPr>
        <w:t>(законопроект 2022 года – 6560,10 млн рублей, утверждено – 5015,01 млн рублей);</w:t>
      </w:r>
    </w:p>
    <w:p w14:paraId="63377722" w14:textId="77777777" w:rsidR="00522104" w:rsidRPr="00522104" w:rsidRDefault="00522104" w:rsidP="00522104">
      <w:pPr>
        <w:tabs>
          <w:tab w:val="center" w:pos="4153"/>
          <w:tab w:val="right" w:pos="8306"/>
        </w:tabs>
        <w:spacing w:after="0" w:line="240" w:lineRule="auto"/>
        <w:ind w:firstLine="851"/>
        <w:jc w:val="both"/>
        <w:rPr>
          <w:rFonts w:ascii="Times New Roman" w:eastAsia="Times New Roman" w:hAnsi="Times New Roman" w:cs="Times New Roman"/>
          <w:color w:val="000000" w:themeColor="text1"/>
          <w:sz w:val="28"/>
          <w:szCs w:val="28"/>
          <w:lang w:eastAsia="ru-RU"/>
        </w:rPr>
      </w:pPr>
      <w:r w:rsidRPr="00522104">
        <w:rPr>
          <w:rFonts w:ascii="Times New Roman" w:hAnsi="Times New Roman" w:cs="Times New Roman"/>
          <w:sz w:val="28"/>
          <w:szCs w:val="28"/>
        </w:rPr>
        <w:t>на поддержку дорожного хозяйства муниципальных образований Приморского края</w:t>
      </w:r>
      <w:r w:rsidRPr="00522104">
        <w:rPr>
          <w:rFonts w:ascii="Times New Roman" w:eastAsia="Times New Roman" w:hAnsi="Times New Roman" w:cs="Times New Roman"/>
          <w:color w:val="FF0000"/>
          <w:sz w:val="28"/>
          <w:szCs w:val="28"/>
          <w:lang w:eastAsia="ru-RU"/>
        </w:rPr>
        <w:t xml:space="preserve"> </w:t>
      </w:r>
      <w:r w:rsidRPr="00522104">
        <w:rPr>
          <w:rFonts w:ascii="Times New Roman" w:eastAsia="Times New Roman" w:hAnsi="Times New Roman" w:cs="Times New Roman"/>
          <w:color w:val="000000" w:themeColor="text1"/>
          <w:sz w:val="28"/>
          <w:szCs w:val="28"/>
          <w:lang w:eastAsia="ru-RU"/>
        </w:rPr>
        <w:t>субсидии запланированы с ростом общего объема на 2915,02 млн рублей (</w:t>
      </w:r>
      <w:r w:rsidRPr="00522104">
        <w:rPr>
          <w:rFonts w:ascii="Times New Roman" w:hAnsi="Times New Roman" w:cs="Times New Roman"/>
          <w:sz w:val="28"/>
          <w:szCs w:val="28"/>
        </w:rPr>
        <w:t>законопроект 2022 года – 3538,07 млн рублей, утверждено – 623,04 млн рублей</w:t>
      </w:r>
      <w:r w:rsidRPr="00522104">
        <w:rPr>
          <w:rFonts w:ascii="Times New Roman" w:hAnsi="Times New Roman" w:cs="Times New Roman"/>
          <w:color w:val="000000" w:themeColor="text1"/>
          <w:sz w:val="28"/>
          <w:szCs w:val="28"/>
        </w:rPr>
        <w:t>).</w:t>
      </w:r>
    </w:p>
    <w:p w14:paraId="61E23103" w14:textId="3D2A9B6D" w:rsidR="00522104" w:rsidRPr="00522104" w:rsidRDefault="00522104" w:rsidP="00522104">
      <w:pPr>
        <w:tabs>
          <w:tab w:val="center" w:pos="4153"/>
          <w:tab w:val="right" w:pos="8306"/>
        </w:tabs>
        <w:spacing w:after="0" w:line="240" w:lineRule="auto"/>
        <w:ind w:firstLine="851"/>
        <w:jc w:val="both"/>
        <w:rPr>
          <w:rFonts w:ascii="Times New Roman" w:hAnsi="Times New Roman" w:cs="Times New Roman"/>
          <w:sz w:val="28"/>
          <w:szCs w:val="28"/>
        </w:rPr>
      </w:pPr>
      <w:r w:rsidRPr="00522104">
        <w:rPr>
          <w:rFonts w:ascii="Times New Roman" w:hAnsi="Times New Roman" w:cs="Times New Roman"/>
          <w:sz w:val="28"/>
          <w:szCs w:val="28"/>
        </w:rPr>
        <w:tab/>
        <w:t>Снижаются расходы дорожного фонда н</w:t>
      </w:r>
      <w:r w:rsidRPr="00522104">
        <w:rPr>
          <w:rFonts w:ascii="Times New Roman" w:eastAsia="Times New Roman" w:hAnsi="Times New Roman" w:cs="Times New Roman"/>
          <w:color w:val="000000" w:themeColor="text1"/>
          <w:sz w:val="28"/>
          <w:szCs w:val="28"/>
          <w:lang w:eastAsia="ru-RU"/>
        </w:rPr>
        <w:t>а содействие развитию автомобильных дорог общего пользования регионального или межмуниципального значения Приморского края на 1120,87 млн рублей до</w:t>
      </w:r>
      <w:r w:rsidRPr="00522104">
        <w:rPr>
          <w:rFonts w:ascii="Times New Roman" w:hAnsi="Times New Roman" w:cs="Times New Roman"/>
          <w:color w:val="000000" w:themeColor="text1"/>
          <w:sz w:val="28"/>
          <w:szCs w:val="28"/>
        </w:rPr>
        <w:t xml:space="preserve"> 2488,60 млн рублей (утверждено 3609,47 млн </w:t>
      </w:r>
      <w:r w:rsidRPr="00522104">
        <w:rPr>
          <w:rFonts w:ascii="Times New Roman" w:hAnsi="Times New Roman" w:cs="Times New Roman"/>
          <w:sz w:val="28"/>
          <w:szCs w:val="28"/>
        </w:rPr>
        <w:t>рублей</w:t>
      </w:r>
      <w:r w:rsidRPr="00522104">
        <w:rPr>
          <w:rFonts w:ascii="Times New Roman" w:hAnsi="Times New Roman" w:cs="Times New Roman"/>
          <w:color w:val="000000" w:themeColor="text1"/>
          <w:sz w:val="28"/>
          <w:szCs w:val="28"/>
        </w:rPr>
        <w:t>)</w:t>
      </w:r>
      <w:r w:rsidRPr="00522104">
        <w:rPr>
          <w:rFonts w:ascii="Times New Roman" w:eastAsia="Times New Roman" w:hAnsi="Times New Roman" w:cs="Times New Roman"/>
          <w:color w:val="000000" w:themeColor="text1"/>
          <w:sz w:val="28"/>
          <w:szCs w:val="28"/>
          <w:lang w:eastAsia="ru-RU"/>
        </w:rPr>
        <w:t xml:space="preserve">, из них </w:t>
      </w:r>
      <w:r w:rsidRPr="00522104">
        <w:rPr>
          <w:rFonts w:ascii="Times New Roman" w:hAnsi="Times New Roman" w:cs="Times New Roman"/>
          <w:sz w:val="28"/>
          <w:szCs w:val="28"/>
        </w:rPr>
        <w:t xml:space="preserve">на проектирование (включая изыскания), строительство, реконструкцию автомобильных дорог общего пользования регионального или межмуниципального значения и искусственных сооружений на них (на 11 мостовых сооружений, 8 дорог (участков), 2 путепроводов). За 9 месяцев 2021 года расходы исполнены </w:t>
      </w:r>
      <w:r w:rsidR="008A1765">
        <w:rPr>
          <w:rFonts w:ascii="Times New Roman" w:hAnsi="Times New Roman" w:cs="Times New Roman"/>
          <w:sz w:val="28"/>
          <w:szCs w:val="28"/>
        </w:rPr>
        <w:t xml:space="preserve">на </w:t>
      </w:r>
      <w:r w:rsidRPr="00522104">
        <w:rPr>
          <w:rFonts w:ascii="Times New Roman" w:hAnsi="Times New Roman" w:cs="Times New Roman"/>
          <w:sz w:val="28"/>
          <w:szCs w:val="28"/>
        </w:rPr>
        <w:t>34,3 %.</w:t>
      </w:r>
    </w:p>
    <w:p w14:paraId="3D7F1BE1"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В законопроекте на 2022 год,</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как и в утвержденных назначениях,</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не планируются расходы</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в сумме</w:t>
      </w:r>
      <w:r w:rsidRPr="00522104">
        <w:rPr>
          <w:rFonts w:ascii="Times New Roman" w:eastAsia="Calibri" w:hAnsi="Times New Roman" w:cs="Times New Roman"/>
          <w:b/>
          <w:sz w:val="28"/>
          <w:szCs w:val="28"/>
        </w:rPr>
        <w:t xml:space="preserve"> </w:t>
      </w:r>
      <w:r w:rsidRPr="00522104">
        <w:rPr>
          <w:rFonts w:ascii="Times New Roman" w:eastAsia="Calibri" w:hAnsi="Times New Roman" w:cs="Times New Roman"/>
          <w:sz w:val="28"/>
          <w:szCs w:val="28"/>
        </w:rPr>
        <w:t>6335,53 млн рублей, по которым за 9 месяцев 2021 года исполнение отсутствует, из них на предоставление субсидий бюджетам муниципальных образований Приморского края:</w:t>
      </w:r>
    </w:p>
    <w:p w14:paraId="505D4DC5"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 (в 2021 году – 267,10 млн рублей);</w:t>
      </w:r>
    </w:p>
    <w:p w14:paraId="267D5FE6" w14:textId="459B60FB"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на строительство автопарковок, в том числе проектно-изыскательские работы</w:t>
      </w:r>
      <w:r w:rsidR="00405811">
        <w:rPr>
          <w:rFonts w:ascii="Times New Roman" w:eastAsia="Calibri" w:hAnsi="Times New Roman" w:cs="Times New Roman"/>
          <w:sz w:val="28"/>
          <w:szCs w:val="28"/>
        </w:rPr>
        <w:t>,</w:t>
      </w:r>
      <w:r w:rsidRPr="00522104">
        <w:rPr>
          <w:rFonts w:ascii="Times New Roman" w:eastAsia="Calibri" w:hAnsi="Times New Roman" w:cs="Times New Roman"/>
          <w:sz w:val="28"/>
          <w:szCs w:val="28"/>
        </w:rPr>
        <w:t xml:space="preserve"> согласно плану социального развития центров экономического роста Приморского края, за счет средств краевого бюджета (в 2021 году – 172,69 млн рублей). </w:t>
      </w:r>
    </w:p>
    <w:p w14:paraId="32D4D286" w14:textId="77777777" w:rsidR="00522104" w:rsidRPr="00522104" w:rsidRDefault="00522104" w:rsidP="00522104">
      <w:pPr>
        <w:spacing w:after="0" w:line="240" w:lineRule="auto"/>
        <w:ind w:firstLine="708"/>
        <w:jc w:val="both"/>
        <w:rPr>
          <w:rFonts w:ascii="Times New Roman" w:hAnsi="Times New Roman" w:cs="Times New Roman"/>
          <w:sz w:val="28"/>
          <w:szCs w:val="28"/>
        </w:rPr>
      </w:pPr>
      <w:r w:rsidRPr="00522104">
        <w:rPr>
          <w:rFonts w:ascii="Times New Roman" w:eastAsia="Times New Roman" w:hAnsi="Times New Roman" w:cs="Times New Roman"/>
          <w:b/>
          <w:bCs/>
          <w:sz w:val="28"/>
          <w:szCs w:val="28"/>
          <w:lang w:eastAsia="ru-RU"/>
        </w:rPr>
        <w:t>7.3.</w:t>
      </w:r>
      <w:r w:rsidRPr="00522104">
        <w:rPr>
          <w:rFonts w:ascii="Times New Roman" w:eastAsia="Times New Roman" w:hAnsi="Times New Roman" w:cs="Times New Roman"/>
          <w:sz w:val="28"/>
          <w:szCs w:val="28"/>
          <w:lang w:eastAsia="ru-RU"/>
        </w:rPr>
        <w:t xml:space="preserve"> В законопроекте </w:t>
      </w:r>
      <w:r w:rsidRPr="00522104">
        <w:rPr>
          <w:rFonts w:ascii="Times New Roman" w:hAnsi="Times New Roman" w:cs="Times New Roman"/>
          <w:sz w:val="28"/>
          <w:szCs w:val="28"/>
        </w:rPr>
        <w:t>запланированы</w:t>
      </w:r>
      <w:r w:rsidRPr="00522104">
        <w:rPr>
          <w:rFonts w:ascii="Times New Roman" w:eastAsia="Times New Roman" w:hAnsi="Times New Roman" w:cs="Times New Roman"/>
          <w:sz w:val="28"/>
          <w:szCs w:val="28"/>
          <w:lang w:eastAsia="ru-RU"/>
        </w:rPr>
        <w:t xml:space="preserve"> 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 </w:t>
      </w:r>
      <w:r w:rsidRPr="00522104">
        <w:rPr>
          <w:rFonts w:ascii="Times New Roman" w:hAnsi="Times New Roman" w:cs="Times New Roman"/>
          <w:sz w:val="28"/>
          <w:szCs w:val="28"/>
        </w:rPr>
        <w:t>в сумме 500,91 млн рублей, что на 53,40 млн рублей и 475,44 млн рублей соответственно выше утвержденных назначений (447,51 млн рублей) и уровня 2021 года (25,47 млн рублей). На 2023 – 2024 годы расходы запланированы по 482,12 млн рублей ежегодно.</w:t>
      </w:r>
    </w:p>
    <w:p w14:paraId="299D1B99" w14:textId="77777777"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Проектом паспорта ГП не предусмотрены показатели, характеризующие достижение результатов от использования Субсидии.</w:t>
      </w:r>
    </w:p>
    <w:p w14:paraId="0B3889E9" w14:textId="77777777" w:rsidR="00522104" w:rsidRPr="00522104" w:rsidRDefault="00522104" w:rsidP="00522104">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 результатам экспертно-аналитического мероприятия, проведенного Контрольно-счетной палатой Приморского края в 2021 году, отмечена низкая эффективность использования Субсидии в 2018 – 2021 годах.</w:t>
      </w:r>
    </w:p>
    <w:p w14:paraId="130F7482" w14:textId="7131DA25" w:rsidR="00522104" w:rsidRPr="00522104" w:rsidRDefault="00522104" w:rsidP="00522104">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В процессе исполнения бюджета из-за отсутствия заявок от муниципальных образований на получение Субсидии размер расходов уменьшался и в окончательных редакциях законов о краевом бюджете составлял: в 2018 году 0,1</w:t>
      </w:r>
      <w:r w:rsidR="005413C0">
        <w:rPr>
          <w:rFonts w:ascii="Times New Roman" w:hAnsi="Times New Roman" w:cs="Times New Roman"/>
          <w:sz w:val="28"/>
          <w:szCs w:val="28"/>
        </w:rPr>
        <w:t>0</w:t>
      </w:r>
      <w:r w:rsidRPr="00522104">
        <w:rPr>
          <w:rFonts w:ascii="Times New Roman" w:hAnsi="Times New Roman" w:cs="Times New Roman"/>
          <w:sz w:val="28"/>
          <w:szCs w:val="28"/>
        </w:rPr>
        <w:t xml:space="preserve"> % от объема бюджетных ассигнований дорожного фонда (6,84 млн рублей), в 2019 году –   0,08 % (6,45 млн рублей), в 2020 году</w:t>
      </w:r>
      <w:r w:rsidR="00405811">
        <w:rPr>
          <w:rFonts w:ascii="Times New Roman" w:hAnsi="Times New Roman" w:cs="Times New Roman"/>
          <w:sz w:val="28"/>
          <w:szCs w:val="28"/>
        </w:rPr>
        <w:t> </w:t>
      </w:r>
      <w:r w:rsidRPr="00522104">
        <w:rPr>
          <w:rFonts w:ascii="Times New Roman" w:hAnsi="Times New Roman" w:cs="Times New Roman"/>
          <w:sz w:val="28"/>
          <w:szCs w:val="28"/>
        </w:rPr>
        <w:t>– 0,13 % (10,17 млн рублей), в 2021 году – 0,27 % (25,43 млн рублей).</w:t>
      </w:r>
    </w:p>
    <w:p w14:paraId="52F54FEE" w14:textId="208ABEEB" w:rsidR="00522104" w:rsidRPr="00522104" w:rsidRDefault="00522104" w:rsidP="00522104">
      <w:pPr>
        <w:autoSpaceDE w:val="0"/>
        <w:autoSpaceDN w:val="0"/>
        <w:adjustRightInd w:val="0"/>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Кассовое исполнение средств Субсидии в 2018 – 2020 годах составило 8,61 млн рублей, или 36,7</w:t>
      </w:r>
      <w:r w:rsidR="005413C0">
        <w:rPr>
          <w:rFonts w:ascii="Times New Roman" w:hAnsi="Times New Roman" w:cs="Times New Roman"/>
          <w:sz w:val="28"/>
          <w:szCs w:val="28"/>
        </w:rPr>
        <w:t>0</w:t>
      </w:r>
      <w:r w:rsidRPr="00522104">
        <w:rPr>
          <w:rFonts w:ascii="Times New Roman" w:hAnsi="Times New Roman" w:cs="Times New Roman"/>
          <w:sz w:val="28"/>
          <w:szCs w:val="28"/>
        </w:rPr>
        <w:t xml:space="preserve"> %</w:t>
      </w:r>
      <w:r w:rsidR="00405811">
        <w:rPr>
          <w:rFonts w:ascii="Times New Roman" w:hAnsi="Times New Roman" w:cs="Times New Roman"/>
          <w:sz w:val="28"/>
          <w:szCs w:val="28"/>
        </w:rPr>
        <w:t>,</w:t>
      </w:r>
      <w:r w:rsidRPr="00522104">
        <w:rPr>
          <w:rFonts w:ascii="Times New Roman" w:hAnsi="Times New Roman" w:cs="Times New Roman"/>
          <w:sz w:val="28"/>
          <w:szCs w:val="28"/>
        </w:rPr>
        <w:t xml:space="preserve"> от запланированного объема (23,46 млн рублей)</w:t>
      </w:r>
      <w:r w:rsidRPr="00522104">
        <w:rPr>
          <w:rFonts w:ascii="Times New Roman" w:hAnsi="Times New Roman" w:cs="Times New Roman"/>
          <w:sz w:val="28"/>
          <w:szCs w:val="28"/>
          <w:vertAlign w:val="superscript"/>
        </w:rPr>
        <w:footnoteReference w:id="57"/>
      </w:r>
      <w:r w:rsidRPr="00522104">
        <w:rPr>
          <w:rFonts w:ascii="Times New Roman" w:hAnsi="Times New Roman" w:cs="Times New Roman"/>
          <w:sz w:val="28"/>
          <w:szCs w:val="28"/>
        </w:rPr>
        <w:t>.</w:t>
      </w:r>
    </w:p>
    <w:p w14:paraId="280839D9" w14:textId="7C1B3688" w:rsidR="00522104" w:rsidRPr="00522104" w:rsidRDefault="00522104" w:rsidP="00522104">
      <w:pPr>
        <w:spacing w:after="0" w:line="240" w:lineRule="auto"/>
        <w:ind w:firstLine="709"/>
        <w:jc w:val="both"/>
        <w:rPr>
          <w:rFonts w:ascii="Times New Roman" w:hAnsi="Times New Roman" w:cs="Times New Roman"/>
          <w:sz w:val="28"/>
          <w:szCs w:val="28"/>
        </w:rPr>
      </w:pPr>
      <w:r w:rsidRPr="00522104">
        <w:rPr>
          <w:rFonts w:ascii="Times New Roman" w:hAnsi="Times New Roman" w:cs="Times New Roman"/>
          <w:sz w:val="28"/>
          <w:szCs w:val="28"/>
        </w:rPr>
        <w:t>По мнению Контрольно-счетной палаты</w:t>
      </w:r>
      <w:r w:rsidR="00405811">
        <w:rPr>
          <w:rFonts w:ascii="Times New Roman" w:hAnsi="Times New Roman" w:cs="Times New Roman"/>
          <w:sz w:val="28"/>
          <w:szCs w:val="28"/>
        </w:rPr>
        <w:t>,</w:t>
      </w:r>
      <w:r w:rsidRPr="00522104">
        <w:rPr>
          <w:rFonts w:ascii="Times New Roman" w:hAnsi="Times New Roman" w:cs="Times New Roman"/>
          <w:sz w:val="28"/>
          <w:szCs w:val="28"/>
        </w:rPr>
        <w:t xml:space="preserve"> министерству транспорта и дорожного хозяйства Приморского края совместно с муниципальными образованиями Приморского края необходимо проанализировать потребность в проектировании, строительстве, реконструкции, капитальном ремонте, ремонте автомобильных дорог общего пользования местного значения с твердым покрытием до сельских населенных пунктов, не имеющим круглогодичной связи с сетью автомобильных дорог общего пользования. По результатам проведенного анализа Министерству подготовить обоснование потребности в проектировании, строительстве, реконструкции, капитальном ремонте, ремонте вышеназванных автомобильных дорог и необходимых для этого объемах финансирования.</w:t>
      </w:r>
    </w:p>
    <w:p w14:paraId="5EA0123F" w14:textId="77777777" w:rsidR="00522104" w:rsidRPr="00522104" w:rsidRDefault="00522104" w:rsidP="00522104">
      <w:pPr>
        <w:spacing w:after="0" w:line="240" w:lineRule="auto"/>
        <w:ind w:firstLine="708"/>
        <w:jc w:val="both"/>
        <w:rPr>
          <w:rFonts w:ascii="Times New Roman" w:eastAsia="Calibri" w:hAnsi="Times New Roman" w:cs="Times New Roman"/>
          <w:sz w:val="28"/>
          <w:szCs w:val="28"/>
        </w:rPr>
      </w:pPr>
      <w:r w:rsidRPr="00522104">
        <w:rPr>
          <w:rFonts w:ascii="Times New Roman" w:eastAsia="Calibri" w:hAnsi="Times New Roman" w:cs="Times New Roman"/>
          <w:b/>
          <w:bCs/>
          <w:sz w:val="28"/>
          <w:szCs w:val="28"/>
        </w:rPr>
        <w:t>8. </w:t>
      </w:r>
      <w:r w:rsidRPr="00522104">
        <w:rPr>
          <w:rFonts w:ascii="Times New Roman" w:eastAsia="Calibri" w:hAnsi="Times New Roman" w:cs="Times New Roman"/>
          <w:sz w:val="28"/>
          <w:szCs w:val="28"/>
        </w:rPr>
        <w:t>Формирование законопроекта на 2022 год и плановый период 2023 и 2024 годов министерством финансов Приморского края осуществлено в соответствии с приказами Министерства финансов Российской Федерации от 06.06.2019 № 85н "О порядке формирования и применения кодов бюджетной классификации Российской Федерации, их структуре и принципах назначения, от 08.06.2021 № 75н "Об утверждении кодов (перечней кодов) бюджетной классификации Российской Федерации на 2022 год (на 2022 год и плановый период 2023 и 2024 годов)".</w:t>
      </w:r>
    </w:p>
    <w:p w14:paraId="3DE8E19D"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bCs/>
          <w:sz w:val="28"/>
          <w:szCs w:val="28"/>
          <w:lang w:eastAsia="ru-RU"/>
        </w:rPr>
        <w:t>9. </w:t>
      </w:r>
      <w:r w:rsidRPr="00522104">
        <w:rPr>
          <w:rFonts w:ascii="Times New Roman" w:eastAsia="Times New Roman" w:hAnsi="Times New Roman" w:cs="Times New Roman"/>
          <w:sz w:val="28"/>
          <w:szCs w:val="28"/>
          <w:lang w:eastAsia="ru-RU"/>
        </w:rPr>
        <w:t>Верхний предел государственного внутреннего долга Приморского края на 01.01.2023 прогнозируется в размере 13167,45 млн рублей, что составляет 12,00 % общего годового объема налоговых и неналоговых доходов краевого бюджета. Его величина соответствует установленным условиям дополнительных соглашений, заключенным в рамках проведения в 2017 году реструктуризации обязательств Приморского края перед Российской Федерацией по бюджетным кредитам.</w:t>
      </w:r>
    </w:p>
    <w:p w14:paraId="2A241F00" w14:textId="68053287" w:rsidR="00522104" w:rsidRPr="00522104" w:rsidRDefault="00522104" w:rsidP="00522104">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Верхний предел государственного внутреннего долга Приморского края на 01.01.2024 составляет 12513,61 млн рублей, или 11,00 % объема налоговых и неналоговых доходов, в том числе по государственным гарантиям Приморского края – 438,43 млн рублей. </w:t>
      </w:r>
      <w:r w:rsidR="00663DE7" w:rsidRPr="00663DE7">
        <w:rPr>
          <w:rFonts w:ascii="Times New Roman" w:eastAsia="Times New Roman" w:hAnsi="Times New Roman" w:cs="Times New Roman"/>
          <w:sz w:val="28"/>
          <w:szCs w:val="28"/>
          <w:lang w:eastAsia="ru-RU"/>
        </w:rPr>
        <w:t xml:space="preserve">Верхний предел </w:t>
      </w:r>
      <w:r w:rsidR="00663DE7">
        <w:rPr>
          <w:rFonts w:ascii="Times New Roman" w:eastAsia="Times New Roman" w:hAnsi="Times New Roman" w:cs="Times New Roman"/>
          <w:sz w:val="28"/>
          <w:szCs w:val="28"/>
          <w:lang w:eastAsia="ru-RU"/>
        </w:rPr>
        <w:t>н</w:t>
      </w:r>
      <w:r w:rsidRPr="00522104">
        <w:rPr>
          <w:rFonts w:ascii="Times New Roman" w:eastAsia="Times New Roman" w:hAnsi="Times New Roman" w:cs="Times New Roman"/>
          <w:sz w:val="28"/>
          <w:szCs w:val="28"/>
          <w:lang w:eastAsia="ru-RU"/>
        </w:rPr>
        <w:t xml:space="preserve">а 01.01.2025 планируется </w:t>
      </w:r>
      <w:r w:rsidR="00663DE7">
        <w:rPr>
          <w:rFonts w:ascii="Times New Roman" w:eastAsia="Times New Roman" w:hAnsi="Times New Roman" w:cs="Times New Roman"/>
          <w:sz w:val="28"/>
          <w:szCs w:val="28"/>
          <w:lang w:eastAsia="ru-RU"/>
        </w:rPr>
        <w:t xml:space="preserve">в сумме </w:t>
      </w:r>
      <w:r w:rsidRPr="00522104">
        <w:rPr>
          <w:rFonts w:ascii="Times New Roman" w:eastAsia="Times New Roman" w:hAnsi="Times New Roman" w:cs="Times New Roman"/>
          <w:sz w:val="28"/>
          <w:szCs w:val="28"/>
          <w:lang w:eastAsia="ru-RU"/>
        </w:rPr>
        <w:t>11830,28 млн рублей, или 10,00 % от объема налоговых и неналоговых доходов.</w:t>
      </w:r>
    </w:p>
    <w:p w14:paraId="46C60A1B" w14:textId="77777777" w:rsidR="00522104" w:rsidRPr="00522104" w:rsidRDefault="00522104" w:rsidP="00522104">
      <w:pPr>
        <w:spacing w:after="0" w:line="240" w:lineRule="auto"/>
        <w:ind w:firstLine="720"/>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Представленные в законопроекте показатели верхнего предела государственного внутреннего долга Приморского края соответствуют нормативным положениям, установленным статьей 107 Бюджетного кодекса Российской Федерации.</w:t>
      </w:r>
    </w:p>
    <w:p w14:paraId="367E961C" w14:textId="77777777" w:rsidR="00522104" w:rsidRPr="00522104" w:rsidRDefault="00522104" w:rsidP="00522104">
      <w:pPr>
        <w:spacing w:after="0" w:line="240" w:lineRule="auto"/>
        <w:ind w:firstLine="709"/>
        <w:jc w:val="both"/>
        <w:rPr>
          <w:rFonts w:ascii="Times New Roman" w:hAnsi="Times New Roman" w:cs="Times New Roman"/>
          <w:sz w:val="28"/>
        </w:rPr>
      </w:pPr>
      <w:r w:rsidRPr="00522104">
        <w:rPr>
          <w:rFonts w:ascii="Times New Roman" w:eastAsia="Times New Roman" w:hAnsi="Times New Roman" w:cs="Times New Roman"/>
          <w:b/>
          <w:sz w:val="28"/>
          <w:szCs w:val="28"/>
          <w:lang w:eastAsia="ru-RU"/>
        </w:rPr>
        <w:t>10.</w:t>
      </w:r>
      <w:r w:rsidRPr="00522104">
        <w:rPr>
          <w:rFonts w:ascii="Times New Roman" w:eastAsia="Times New Roman" w:hAnsi="Times New Roman" w:cs="Times New Roman"/>
          <w:sz w:val="28"/>
          <w:szCs w:val="28"/>
          <w:lang w:eastAsia="ru-RU"/>
        </w:rPr>
        <w:t xml:space="preserve"> </w:t>
      </w:r>
      <w:r w:rsidRPr="00522104">
        <w:rPr>
          <w:rFonts w:ascii="Times New Roman" w:hAnsi="Times New Roman" w:cs="Times New Roman"/>
          <w:sz w:val="28"/>
        </w:rPr>
        <w:t>Согласно бюджетному прогнозу Приморского края госдолг</w:t>
      </w:r>
      <w:r w:rsidRPr="00522104">
        <w:t xml:space="preserve"> </w:t>
      </w:r>
      <w:r w:rsidRPr="00522104">
        <w:rPr>
          <w:rFonts w:ascii="Times New Roman" w:hAnsi="Times New Roman" w:cs="Times New Roman"/>
          <w:sz w:val="28"/>
        </w:rPr>
        <w:t>увеличится в 2022 году с 2774,52 млн рублей до 5785,00 млн рублей.</w:t>
      </w:r>
    </w:p>
    <w:p w14:paraId="31518405" w14:textId="1709DD63" w:rsidR="00522104" w:rsidRPr="00522104" w:rsidRDefault="00522104" w:rsidP="00522104">
      <w:pPr>
        <w:spacing w:after="0" w:line="240" w:lineRule="auto"/>
        <w:ind w:firstLine="709"/>
        <w:jc w:val="both"/>
        <w:rPr>
          <w:rFonts w:ascii="Times New Roman" w:hAnsi="Times New Roman" w:cs="Times New Roman"/>
          <w:sz w:val="28"/>
        </w:rPr>
      </w:pPr>
      <w:r w:rsidRPr="00522104">
        <w:rPr>
          <w:rFonts w:ascii="Times New Roman" w:hAnsi="Times New Roman" w:cs="Times New Roman"/>
          <w:sz w:val="28"/>
        </w:rPr>
        <w:t>В соответствии с представленными расчетами по источникам финансирования дефицита краевого бюджета в конце 2022 года планируется погашение бюджетных кредитов, что повлечет за собой снижение госдолга в 2023 и 2024 годах (в 2023 году – 5730,67 млн рублей, в 2024 – 5243,80 млн рублей).</w:t>
      </w:r>
    </w:p>
    <w:p w14:paraId="1F42711C"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На 2022 и 2023 годы обязательства по государственным гарантиям Приморского края не запланированы. В 2024 году объем бюджетных ассигнований на исполнение гарантий по возможным гарантийным случаям запланирован в сумме 438,43 млн рублей.</w:t>
      </w:r>
    </w:p>
    <w:p w14:paraId="52FA08FA" w14:textId="77777777" w:rsidR="00522104" w:rsidRPr="00522104" w:rsidRDefault="00522104" w:rsidP="00522104">
      <w:pPr>
        <w:autoSpaceDE w:val="0"/>
        <w:autoSpaceDN w:val="0"/>
        <w:adjustRightInd w:val="0"/>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b/>
          <w:bCs/>
          <w:sz w:val="28"/>
          <w:szCs w:val="28"/>
        </w:rPr>
        <w:t>11.</w:t>
      </w:r>
      <w:r w:rsidRPr="00522104">
        <w:rPr>
          <w:rFonts w:ascii="Times New Roman" w:eastAsia="Calibri" w:hAnsi="Times New Roman" w:cs="Times New Roman"/>
          <w:sz w:val="28"/>
          <w:szCs w:val="28"/>
        </w:rPr>
        <w:t xml:space="preserve"> В источниках финансирования дефицита краевого бюджета в 2022-2024 годах планируется привлечение бюджетных и коммерческих кредитов, а также их погашение. </w:t>
      </w:r>
    </w:p>
    <w:p w14:paraId="5D373570" w14:textId="256165CE"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В 2022 году ожидается возврат </w:t>
      </w:r>
      <w:r w:rsidR="00601672" w:rsidRPr="00522104">
        <w:rPr>
          <w:rFonts w:ascii="Times New Roman" w:eastAsia="Times New Roman" w:hAnsi="Times New Roman" w:cs="Times New Roman"/>
          <w:sz w:val="28"/>
          <w:szCs w:val="28"/>
          <w:lang w:eastAsia="ru-RU"/>
        </w:rPr>
        <w:t>юридическим</w:t>
      </w:r>
      <w:r w:rsidR="00601672">
        <w:rPr>
          <w:rFonts w:ascii="Times New Roman" w:eastAsia="Times New Roman" w:hAnsi="Times New Roman" w:cs="Times New Roman"/>
          <w:sz w:val="28"/>
          <w:szCs w:val="28"/>
          <w:lang w:eastAsia="ru-RU"/>
        </w:rPr>
        <w:t>и</w:t>
      </w:r>
      <w:r w:rsidR="00601672" w:rsidRPr="00522104">
        <w:rPr>
          <w:rFonts w:ascii="Times New Roman" w:eastAsia="Times New Roman" w:hAnsi="Times New Roman" w:cs="Times New Roman"/>
          <w:sz w:val="28"/>
          <w:szCs w:val="28"/>
          <w:lang w:eastAsia="ru-RU"/>
        </w:rPr>
        <w:t xml:space="preserve"> лицам</w:t>
      </w:r>
      <w:r w:rsidR="00601672">
        <w:rPr>
          <w:rFonts w:ascii="Times New Roman" w:eastAsia="Times New Roman" w:hAnsi="Times New Roman" w:cs="Times New Roman"/>
          <w:sz w:val="28"/>
          <w:szCs w:val="28"/>
          <w:lang w:eastAsia="ru-RU"/>
        </w:rPr>
        <w:t>и</w:t>
      </w:r>
      <w:r w:rsidR="00601672" w:rsidRPr="00522104">
        <w:rPr>
          <w:rFonts w:ascii="Times New Roman" w:eastAsia="Times New Roman" w:hAnsi="Times New Roman" w:cs="Times New Roman"/>
          <w:sz w:val="28"/>
          <w:szCs w:val="28"/>
          <w:lang w:eastAsia="ru-RU"/>
        </w:rPr>
        <w:t xml:space="preserve"> </w:t>
      </w:r>
      <w:r w:rsidR="00601672">
        <w:rPr>
          <w:rFonts w:ascii="Times New Roman" w:eastAsia="Times New Roman" w:hAnsi="Times New Roman" w:cs="Times New Roman"/>
          <w:sz w:val="28"/>
          <w:szCs w:val="28"/>
          <w:lang w:eastAsia="ru-RU"/>
        </w:rPr>
        <w:t>(</w:t>
      </w:r>
      <w:r w:rsidR="00601672" w:rsidRPr="00522104">
        <w:rPr>
          <w:rFonts w:ascii="Times New Roman" w:eastAsia="Times New Roman" w:hAnsi="Times New Roman" w:cs="Times New Roman"/>
          <w:sz w:val="28"/>
          <w:szCs w:val="28"/>
          <w:lang w:eastAsia="ru-RU"/>
        </w:rPr>
        <w:t>КГУП "Примтеплоэнерго"</w:t>
      </w:r>
      <w:r w:rsidR="00601672">
        <w:rPr>
          <w:rFonts w:ascii="Times New Roman" w:eastAsia="Times New Roman" w:hAnsi="Times New Roman" w:cs="Times New Roman"/>
          <w:sz w:val="28"/>
          <w:szCs w:val="28"/>
          <w:lang w:eastAsia="ru-RU"/>
        </w:rPr>
        <w:t xml:space="preserve">) </w:t>
      </w:r>
      <w:r w:rsidRPr="00522104">
        <w:rPr>
          <w:rFonts w:ascii="Times New Roman" w:eastAsia="Times New Roman" w:hAnsi="Times New Roman" w:cs="Times New Roman"/>
          <w:sz w:val="28"/>
          <w:szCs w:val="28"/>
          <w:lang w:eastAsia="ru-RU"/>
        </w:rPr>
        <w:t>бюджетных кредитов, предоставленных из краевого бюджета</w:t>
      </w:r>
      <w:r w:rsidR="00601672">
        <w:rPr>
          <w:rFonts w:ascii="Times New Roman" w:eastAsia="Times New Roman" w:hAnsi="Times New Roman" w:cs="Times New Roman"/>
          <w:sz w:val="28"/>
          <w:szCs w:val="28"/>
          <w:lang w:eastAsia="ru-RU"/>
        </w:rPr>
        <w:t xml:space="preserve">, </w:t>
      </w:r>
      <w:r w:rsidR="00405811">
        <w:rPr>
          <w:rFonts w:ascii="Times New Roman" w:eastAsia="Times New Roman" w:hAnsi="Times New Roman" w:cs="Times New Roman"/>
          <w:sz w:val="28"/>
          <w:szCs w:val="28"/>
          <w:lang w:eastAsia="ru-RU"/>
        </w:rPr>
        <w:t>–</w:t>
      </w:r>
      <w:r w:rsidRPr="00522104">
        <w:rPr>
          <w:rFonts w:ascii="Times New Roman" w:eastAsia="Times New Roman" w:hAnsi="Times New Roman" w:cs="Times New Roman"/>
          <w:sz w:val="28"/>
          <w:szCs w:val="28"/>
          <w:lang w:eastAsia="ru-RU"/>
        </w:rPr>
        <w:t xml:space="preserve"> 60,35 млн рублей (на плановый период 2023 и 2024 годов не планируется). </w:t>
      </w:r>
    </w:p>
    <w:p w14:paraId="2A09E2A1" w14:textId="58FA4D06" w:rsidR="00522104" w:rsidRPr="00522104" w:rsidRDefault="00522104" w:rsidP="00522104">
      <w:pPr>
        <w:spacing w:after="0" w:line="240" w:lineRule="auto"/>
        <w:ind w:firstLine="709"/>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В 2022 и 2023-2024 года</w:t>
      </w:r>
      <w:r w:rsidR="00405811">
        <w:rPr>
          <w:rFonts w:ascii="Times New Roman" w:eastAsia="Times New Roman" w:hAnsi="Times New Roman" w:cs="Times New Roman"/>
          <w:sz w:val="28"/>
          <w:szCs w:val="28"/>
          <w:lang w:eastAsia="ru-RU"/>
        </w:rPr>
        <w:t>х</w:t>
      </w:r>
      <w:r w:rsidRPr="00522104">
        <w:rPr>
          <w:rFonts w:ascii="Times New Roman" w:eastAsia="Times New Roman" w:hAnsi="Times New Roman" w:cs="Times New Roman"/>
          <w:sz w:val="28"/>
          <w:szCs w:val="28"/>
          <w:lang w:eastAsia="ru-RU"/>
        </w:rPr>
        <w:t xml:space="preserve"> муниципальными образованиями Приморского края будет осуществлен возврат бюджетных кредитов (соответственно по годам 565,58 млн рублей</w:t>
      </w:r>
      <w:r w:rsidR="00405811">
        <w:rPr>
          <w:rFonts w:ascii="Times New Roman" w:eastAsia="Times New Roman" w:hAnsi="Times New Roman" w:cs="Times New Roman"/>
          <w:sz w:val="28"/>
          <w:szCs w:val="28"/>
          <w:lang w:eastAsia="ru-RU"/>
        </w:rPr>
        <w:t>; 454,33 млн рублей;</w:t>
      </w:r>
      <w:r w:rsidRPr="00522104">
        <w:rPr>
          <w:rFonts w:ascii="Times New Roman" w:eastAsia="Times New Roman" w:hAnsi="Times New Roman" w:cs="Times New Roman"/>
          <w:sz w:val="28"/>
          <w:szCs w:val="28"/>
          <w:lang w:eastAsia="ru-RU"/>
        </w:rPr>
        <w:t xml:space="preserve"> 448,44 млн рублей). </w:t>
      </w:r>
    </w:p>
    <w:p w14:paraId="58480544" w14:textId="77777777" w:rsidR="00522104" w:rsidRPr="00522104" w:rsidRDefault="00522104" w:rsidP="00522104">
      <w:pPr>
        <w:spacing w:after="0" w:line="240" w:lineRule="auto"/>
        <w:ind w:firstLine="709"/>
        <w:jc w:val="both"/>
        <w:rPr>
          <w:rFonts w:ascii="Times New Roman" w:eastAsia="Calibri" w:hAnsi="Times New Roman" w:cs="Times New Roman"/>
          <w:sz w:val="28"/>
          <w:szCs w:val="28"/>
        </w:rPr>
      </w:pPr>
      <w:r w:rsidRPr="00522104">
        <w:rPr>
          <w:rFonts w:ascii="Times New Roman" w:eastAsia="Calibri" w:hAnsi="Times New Roman" w:cs="Times New Roman"/>
          <w:sz w:val="28"/>
          <w:szCs w:val="28"/>
        </w:rPr>
        <w:t xml:space="preserve">В 2022 году запланировано предоставление из краевого бюджета бюджетных кредитов муниципальным образованиям Приморского края 500,00 млн рублей для покрытия временных кассовых разрывов, возникающих при исполнении муниципальных бюджетов, осуществлении мероприятий, связанных с ликвидацией последствий стихийных бедствий и техногенных аварий и для частичного покрытия дефицитов бюджетов муниципальных образований. На плановый период 2023-2024 годов </w:t>
      </w:r>
      <w:r w:rsidRPr="00522104">
        <w:rPr>
          <w:rFonts w:ascii="Times New Roman" w:eastAsia="Times New Roman" w:hAnsi="Times New Roman" w:cs="Times New Roman"/>
          <w:sz w:val="28"/>
          <w:szCs w:val="28"/>
          <w:lang w:eastAsia="ru-RU"/>
        </w:rPr>
        <w:t xml:space="preserve">по 400,00 млн рублей. </w:t>
      </w:r>
    </w:p>
    <w:p w14:paraId="5DFEE62E"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Представленный законопроектом на 2022 год и плановый период 2023 и 2024 годов размер дефицита краевого бюджета не превышает ограничения, установленные статьей 92.1 Бюджетного кодекса Российской Федерации.</w:t>
      </w:r>
    </w:p>
    <w:p w14:paraId="16D162CE" w14:textId="647D855D"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b/>
          <w:bCs/>
          <w:sz w:val="28"/>
          <w:szCs w:val="28"/>
          <w:lang w:eastAsia="ru-RU"/>
        </w:rPr>
        <w:t>12.</w:t>
      </w:r>
      <w:r w:rsidRPr="00522104">
        <w:rPr>
          <w:rFonts w:ascii="Times New Roman" w:eastAsia="Times New Roman" w:hAnsi="Times New Roman" w:cs="Times New Roman"/>
          <w:sz w:val="28"/>
          <w:szCs w:val="28"/>
          <w:lang w:eastAsia="ru-RU"/>
        </w:rPr>
        <w:t> По результатам анализа законопроекта нарушени</w:t>
      </w:r>
      <w:r w:rsidR="00436E05">
        <w:rPr>
          <w:rFonts w:ascii="Times New Roman" w:eastAsia="Times New Roman" w:hAnsi="Times New Roman" w:cs="Times New Roman"/>
          <w:sz w:val="28"/>
          <w:szCs w:val="28"/>
          <w:lang w:eastAsia="ru-RU"/>
        </w:rPr>
        <w:t>я</w:t>
      </w:r>
      <w:r w:rsidRPr="00522104">
        <w:rPr>
          <w:rFonts w:ascii="Times New Roman" w:eastAsia="Times New Roman" w:hAnsi="Times New Roman" w:cs="Times New Roman"/>
          <w:sz w:val="28"/>
          <w:szCs w:val="28"/>
          <w:lang w:eastAsia="ru-RU"/>
        </w:rPr>
        <w:t xml:space="preserve"> в текстовых статьях не выявлены, а установленные недостатки (в части приведения в соответствие наименований отдельных приложений) не препятствуют его рассмотрению на заседании Законодательного Собрания.</w:t>
      </w:r>
    </w:p>
    <w:p w14:paraId="79C8487B"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p>
    <w:p w14:paraId="13919A1C" w14:textId="77777777" w:rsidR="00522104" w:rsidRPr="00522104" w:rsidRDefault="00522104" w:rsidP="00522104">
      <w:pPr>
        <w:spacing w:after="0" w:line="240" w:lineRule="auto"/>
        <w:ind w:firstLine="708"/>
        <w:jc w:val="both"/>
        <w:rPr>
          <w:rFonts w:ascii="Times New Roman" w:eastAsia="Times New Roman" w:hAnsi="Times New Roman" w:cs="Times New Roman"/>
          <w:sz w:val="28"/>
          <w:szCs w:val="28"/>
          <w:lang w:eastAsia="ru-RU"/>
        </w:rPr>
      </w:pPr>
      <w:r w:rsidRPr="00522104">
        <w:rPr>
          <w:rFonts w:ascii="Times New Roman" w:eastAsia="Times New Roman" w:hAnsi="Times New Roman" w:cs="Times New Roman"/>
          <w:sz w:val="28"/>
          <w:szCs w:val="28"/>
          <w:lang w:eastAsia="ru-RU"/>
        </w:rPr>
        <w:t xml:space="preserve">На основании вышеизложенного Контрольно-счетная палата Приморского края полагает возможным рассмотрение законопроекта с учетом рекомендаций, содержащихся в заключении. </w:t>
      </w:r>
      <w:r w:rsidRPr="00522104">
        <w:rPr>
          <w:rFonts w:ascii="Times New Roman" w:eastAsia="Calibri" w:hAnsi="Times New Roman" w:cs="Times New Roman"/>
          <w:sz w:val="28"/>
          <w:szCs w:val="28"/>
        </w:rPr>
        <w:t xml:space="preserve">  </w:t>
      </w:r>
    </w:p>
    <w:p w14:paraId="53D1EEBA" w14:textId="77777777" w:rsidR="00522104" w:rsidRPr="00522104" w:rsidRDefault="00522104" w:rsidP="00522104">
      <w:pPr>
        <w:spacing w:after="0" w:line="240" w:lineRule="auto"/>
        <w:rPr>
          <w:rFonts w:ascii="Times New Roman" w:eastAsia="Calibri" w:hAnsi="Times New Roman" w:cs="Times New Roman"/>
          <w:sz w:val="28"/>
          <w:szCs w:val="28"/>
        </w:rPr>
      </w:pPr>
    </w:p>
    <w:p w14:paraId="37C02525" w14:textId="77777777" w:rsidR="00522104" w:rsidRPr="00522104" w:rsidRDefault="00522104" w:rsidP="00522104">
      <w:pPr>
        <w:spacing w:after="0" w:line="240" w:lineRule="auto"/>
        <w:rPr>
          <w:rFonts w:ascii="Times New Roman" w:eastAsia="Calibri" w:hAnsi="Times New Roman" w:cs="Times New Roman"/>
          <w:sz w:val="28"/>
          <w:szCs w:val="28"/>
        </w:rPr>
      </w:pPr>
    </w:p>
    <w:p w14:paraId="615DD288" w14:textId="77777777" w:rsidR="00522104" w:rsidRPr="00522104" w:rsidRDefault="00522104" w:rsidP="00522104">
      <w:pPr>
        <w:spacing w:after="0" w:line="240" w:lineRule="auto"/>
        <w:rPr>
          <w:rFonts w:ascii="Times New Roman" w:eastAsia="Calibri" w:hAnsi="Times New Roman" w:cs="Times New Roman"/>
          <w:sz w:val="28"/>
          <w:szCs w:val="28"/>
        </w:rPr>
      </w:pPr>
    </w:p>
    <w:p w14:paraId="4DAC44DF" w14:textId="1F032971" w:rsidR="00522104" w:rsidRPr="007B0D30" w:rsidRDefault="00522104" w:rsidP="007B0D30">
      <w:pPr>
        <w:tabs>
          <w:tab w:val="left" w:pos="720"/>
          <w:tab w:val="left" w:pos="840"/>
        </w:tabs>
        <w:spacing w:after="0" w:line="240" w:lineRule="auto"/>
        <w:jc w:val="both"/>
        <w:rPr>
          <w:rFonts w:ascii="Times New Roman" w:eastAsia="Times New Roman" w:hAnsi="Times New Roman" w:cs="Times New Roman"/>
          <w:sz w:val="28"/>
          <w:szCs w:val="28"/>
          <w:lang w:eastAsia="ru-RU"/>
        </w:rPr>
      </w:pPr>
      <w:r w:rsidRPr="00522104">
        <w:rPr>
          <w:rFonts w:ascii="Times New Roman" w:eastAsia="Calibri" w:hAnsi="Times New Roman" w:cs="Times New Roman"/>
          <w:sz w:val="28"/>
          <w:szCs w:val="28"/>
        </w:rPr>
        <w:t>Председатель                                                                                   Ю.В. Высоцкий</w:t>
      </w:r>
    </w:p>
    <w:sectPr w:rsidR="00522104" w:rsidRPr="007B0D30" w:rsidSect="004A35AB">
      <w:headerReference w:type="default" r:id="rId53"/>
      <w:headerReference w:type="first" r:id="rId54"/>
      <w:pgSz w:w="11906" w:h="16838"/>
      <w:pgMar w:top="851" w:right="851" w:bottom="851" w:left="1701" w:header="68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DCB3D7" w14:textId="77777777" w:rsidR="006A1DF0" w:rsidRDefault="006A1DF0" w:rsidP="000177E1">
      <w:pPr>
        <w:spacing w:after="0" w:line="240" w:lineRule="auto"/>
      </w:pPr>
      <w:r>
        <w:separator/>
      </w:r>
    </w:p>
  </w:endnote>
  <w:endnote w:type="continuationSeparator" w:id="0">
    <w:p w14:paraId="5DD61E74" w14:textId="77777777" w:rsidR="006A1DF0" w:rsidRDefault="006A1DF0" w:rsidP="00017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ans-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F6C3D8" w14:textId="77777777" w:rsidR="006A1DF0" w:rsidRDefault="006A1DF0" w:rsidP="000177E1">
      <w:pPr>
        <w:spacing w:after="0" w:line="240" w:lineRule="auto"/>
      </w:pPr>
      <w:r>
        <w:separator/>
      </w:r>
    </w:p>
  </w:footnote>
  <w:footnote w:type="continuationSeparator" w:id="0">
    <w:p w14:paraId="11A26C60" w14:textId="77777777" w:rsidR="006A1DF0" w:rsidRDefault="006A1DF0" w:rsidP="000177E1">
      <w:pPr>
        <w:spacing w:after="0" w:line="240" w:lineRule="auto"/>
      </w:pPr>
      <w:r>
        <w:continuationSeparator/>
      </w:r>
    </w:p>
  </w:footnote>
  <w:footnote w:id="1">
    <w:p w14:paraId="4147A72C" w14:textId="79B29F50" w:rsidR="006A1DF0" w:rsidRPr="00FF3A87" w:rsidRDefault="006A1DF0" w:rsidP="00FF3A87">
      <w:pPr>
        <w:spacing w:after="0" w:line="240" w:lineRule="auto"/>
        <w:ind w:firstLine="142"/>
        <w:jc w:val="both"/>
        <w:rPr>
          <w:rFonts w:ascii="Times New Roman" w:eastAsia="Times New Roman" w:hAnsi="Times New Roman" w:cs="Times New Roman"/>
          <w:sz w:val="20"/>
          <w:szCs w:val="20"/>
          <w:lang w:eastAsia="ru-RU"/>
        </w:rPr>
      </w:pPr>
      <w:r w:rsidRPr="00FF3A87">
        <w:rPr>
          <w:rStyle w:val="af"/>
          <w:rFonts w:ascii="Times New Roman" w:hAnsi="Times New Roman" w:cs="Times New Roman"/>
          <w:sz w:val="20"/>
          <w:szCs w:val="20"/>
        </w:rPr>
        <w:footnoteRef/>
      </w:r>
      <w:r w:rsidRPr="00FF3A87">
        <w:rPr>
          <w:rFonts w:ascii="Times New Roman" w:hAnsi="Times New Roman" w:cs="Times New Roman"/>
          <w:sz w:val="20"/>
          <w:szCs w:val="20"/>
        </w:rPr>
        <w:t>С</w:t>
      </w:r>
      <w:r w:rsidRPr="00FF3A87">
        <w:rPr>
          <w:rFonts w:ascii="Times New Roman" w:eastAsia="Times New Roman" w:hAnsi="Times New Roman" w:cs="Times New Roman"/>
          <w:sz w:val="20"/>
          <w:szCs w:val="20"/>
          <w:lang w:eastAsia="ru-RU"/>
        </w:rPr>
        <w:t xml:space="preserve"> учетом изменений, внесенных Федеральным законом от 01.07.2021 № 251-ФЗ "О внесении изменений в Бюджетный кодекс Российской Федерации", Законом Приморского края от 12.11.2021 № 12-КЗ "О внесении изменений в Закон Приморского края "О бюджетном устройстве, бюджетном процессе и межбюджетных отношениях в Приморском крае", принятого Законодательным Собранием Приморского края 27.10.2021.</w:t>
      </w:r>
    </w:p>
  </w:footnote>
  <w:footnote w:id="2">
    <w:p w14:paraId="644B1665" w14:textId="77777777" w:rsidR="006A1DF0" w:rsidRPr="00544610" w:rsidRDefault="006A1DF0" w:rsidP="00286592">
      <w:pPr>
        <w:pStyle w:val="ad"/>
        <w:ind w:firstLine="142"/>
        <w:jc w:val="both"/>
      </w:pPr>
      <w:r w:rsidRPr="00544610">
        <w:rPr>
          <w:rStyle w:val="af"/>
        </w:rPr>
        <w:footnoteRef/>
      </w:r>
      <w:r w:rsidRPr="00544610">
        <w:t xml:space="preserve"> С учетом жилых домов, построенных на земельных участках, предназначенных для ведения гражданами садоводства</w:t>
      </w:r>
      <w:r>
        <w:t>.</w:t>
      </w:r>
    </w:p>
  </w:footnote>
  <w:footnote w:id="3">
    <w:p w14:paraId="2FA71E92" w14:textId="77777777" w:rsidR="006A1DF0" w:rsidRDefault="006A1DF0" w:rsidP="00286592">
      <w:pPr>
        <w:pStyle w:val="ad"/>
        <w:ind w:firstLine="142"/>
        <w:jc w:val="both"/>
      </w:pPr>
      <w:r w:rsidRPr="00544610">
        <w:rPr>
          <w:rStyle w:val="af"/>
        </w:rPr>
        <w:footnoteRef/>
      </w:r>
      <w:r w:rsidRPr="00544610">
        <w:t xml:space="preserve"> По организациям, не относящимся к субъектам малого предпринимательства, средняя численность работников которых превышает 15 человек</w:t>
      </w:r>
      <w:r>
        <w:t>.</w:t>
      </w:r>
    </w:p>
  </w:footnote>
  <w:footnote w:id="4">
    <w:p w14:paraId="394CA6E0" w14:textId="06ED2496" w:rsidR="006A1DF0" w:rsidRPr="002D1B3E" w:rsidRDefault="006A1DF0" w:rsidP="00286592">
      <w:pPr>
        <w:pStyle w:val="ad"/>
        <w:ind w:firstLine="142"/>
        <w:jc w:val="both"/>
      </w:pPr>
      <w:r w:rsidRPr="002D1B3E">
        <w:rPr>
          <w:rStyle w:val="af"/>
        </w:rPr>
        <w:footnoteRef/>
      </w:r>
      <w:r>
        <w:t xml:space="preserve"> </w:t>
      </w:r>
      <w:r w:rsidRPr="002D1B3E">
        <w:t>Сравнение показателей с прошлым годом произведено в текущих ценах по сопоставимому кругу организаций.</w:t>
      </w:r>
    </w:p>
  </w:footnote>
  <w:footnote w:id="5">
    <w:p w14:paraId="4CAA9F10" w14:textId="41297380" w:rsidR="006A1DF0" w:rsidRDefault="006A1DF0" w:rsidP="00D70E4B">
      <w:pPr>
        <w:pStyle w:val="ad"/>
        <w:ind w:firstLine="142"/>
        <w:jc w:val="both"/>
      </w:pPr>
      <w:r>
        <w:rPr>
          <w:rStyle w:val="af"/>
        </w:rPr>
        <w:footnoteRef/>
      </w:r>
      <w:r>
        <w:t xml:space="preserve"> М</w:t>
      </w:r>
      <w:r w:rsidRPr="008113EA">
        <w:t>едианный среднедушевой доход - величина денежного дохода, относительно которой половина населения в целом по Российской Федерации имеет значение среднедушевого дохода ниже данной величины, другая половина - выше данной величины и которая ежегодно исчисляется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r>
        <w:t>.</w:t>
      </w:r>
    </w:p>
  </w:footnote>
  <w:footnote w:id="6">
    <w:p w14:paraId="0F9A263B" w14:textId="32845A2C" w:rsidR="006A1DF0" w:rsidRDefault="006A1DF0" w:rsidP="00722901">
      <w:pPr>
        <w:pStyle w:val="ad"/>
        <w:ind w:firstLine="142"/>
        <w:jc w:val="both"/>
      </w:pPr>
      <w:r>
        <w:rPr>
          <w:rStyle w:val="af"/>
        </w:rPr>
        <w:footnoteRef/>
      </w:r>
      <w:r>
        <w:t xml:space="preserve"> Закон Приморского края от 21.12.2020 № 969-КЗ "О краевом бюджете на 2021 год и плановый период 2022 и 2023 годов"</w:t>
      </w:r>
      <w:r w:rsidRPr="00FC2D63">
        <w:t xml:space="preserve"> (</w:t>
      </w:r>
      <w:r>
        <w:t>в редакции Законов Приморского края от 04.02.2021 № 984-КЗ, от 25.02.2021 № 998-КЗ, от 21.04.2021 № 1027-КЗ, от 27.05.2021 № 1044-КЗ, от 01.07.2021 № 1068-КЗ (далее – пятые изменения), от 15.07.2021 № 1086-КЗ, от 29.07.2021 № 1105-КЗ, от 17.09.2021 № 1141-КЗ (далее – 8 изменения)).</w:t>
      </w:r>
    </w:p>
  </w:footnote>
  <w:footnote w:id="7">
    <w:p w14:paraId="3718AFE9" w14:textId="0A38F817" w:rsidR="006A1DF0" w:rsidRPr="00C6256E" w:rsidRDefault="006A1DF0" w:rsidP="00326533">
      <w:pPr>
        <w:pStyle w:val="ad"/>
        <w:ind w:firstLine="142"/>
        <w:jc w:val="both"/>
      </w:pPr>
      <w:r>
        <w:rPr>
          <w:rStyle w:val="af"/>
        </w:rPr>
        <w:footnoteRef/>
      </w:r>
      <w:r>
        <w:t xml:space="preserve"> С учетом внесенных изменений Федеральным законом от 01.07.2021 № 247</w:t>
      </w:r>
      <w:r w:rsidRPr="00C6256E">
        <w:t xml:space="preserve">-ФЗ </w:t>
      </w:r>
      <w:r>
        <w:t>"О внесении изменений в федеральный закон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 и отдельные законодательные акты Российской Федерации".</w:t>
      </w:r>
    </w:p>
  </w:footnote>
  <w:footnote w:id="8">
    <w:p w14:paraId="49213C96" w14:textId="582C4758" w:rsidR="006A1DF0" w:rsidRDefault="006A1DF0" w:rsidP="00B64032">
      <w:pPr>
        <w:pStyle w:val="ad"/>
        <w:ind w:firstLine="142"/>
      </w:pPr>
      <w:r>
        <w:rPr>
          <w:rStyle w:val="af"/>
        </w:rPr>
        <w:footnoteRef/>
      </w:r>
      <w:r>
        <w:t xml:space="preserve"> Согласно базовому варианту развития экономики Приморского края.</w:t>
      </w:r>
    </w:p>
  </w:footnote>
  <w:footnote w:id="9">
    <w:p w14:paraId="0D0851A4" w14:textId="77777777" w:rsidR="006A1DF0" w:rsidRDefault="006A1DF0" w:rsidP="002832E2">
      <w:pPr>
        <w:pStyle w:val="ad"/>
        <w:ind w:firstLine="142"/>
        <w:jc w:val="both"/>
      </w:pPr>
      <w:r>
        <w:rPr>
          <w:rStyle w:val="af"/>
        </w:rPr>
        <w:footnoteRef/>
      </w:r>
      <w:r>
        <w:t xml:space="preserve"> </w:t>
      </w:r>
      <w:r w:rsidRPr="00D66021">
        <w:t xml:space="preserve">Перечень субвенций, формирующих единую субвенцию бюджетам субъектов Российской Федерации, утвержден распоряжением Правительства Российской Федерации от 15.07.2014 № 1309-р. </w:t>
      </w:r>
    </w:p>
    <w:p w14:paraId="73A261AF" w14:textId="1330A765" w:rsidR="006A1DF0" w:rsidRDefault="006A1DF0" w:rsidP="002160EB">
      <w:pPr>
        <w:pStyle w:val="ad"/>
        <w:jc w:val="both"/>
        <w:rPr>
          <w:rFonts w:eastAsiaTheme="minorHAnsi"/>
          <w:lang w:eastAsia="en-US"/>
        </w:rPr>
      </w:pPr>
      <w:r w:rsidRPr="007A5B3B">
        <w:t>Правила распределения единой субвенции бюджетам субъектов Российской Федерации утверждены постановлением Правительства Российской Федерации от 27.03.2013 № 275 "Об утверждении Правил</w:t>
      </w:r>
      <w:r>
        <w:t xml:space="preserve"> формирования и предоставления из федерального бюджета единой субвенции бюджетам субъектов Российской Федерации".</w:t>
      </w:r>
    </w:p>
  </w:footnote>
  <w:footnote w:id="10">
    <w:p w14:paraId="30FDAD25" w14:textId="77777777" w:rsidR="006A1DF0" w:rsidRPr="001254C3" w:rsidRDefault="006A1DF0" w:rsidP="00523815">
      <w:pPr>
        <w:pStyle w:val="ad"/>
      </w:pPr>
      <w:r>
        <w:rPr>
          <w:rStyle w:val="af"/>
        </w:rPr>
        <w:footnoteRef/>
      </w:r>
      <w:r>
        <w:t xml:space="preserve"> </w:t>
      </w:r>
      <w:r w:rsidRPr="001254C3">
        <w:t>Письмо</w:t>
      </w:r>
      <w:r>
        <w:t xml:space="preserve"> аппарата Правительства Российской Федерации от 05.07.2021 № П6-45638</w:t>
      </w:r>
    </w:p>
  </w:footnote>
  <w:footnote w:id="11">
    <w:p w14:paraId="0EE83272" w14:textId="77777777" w:rsidR="006A1DF0" w:rsidRDefault="006A1DF0" w:rsidP="00523815">
      <w:pPr>
        <w:pStyle w:val="ad"/>
        <w:jc w:val="both"/>
      </w:pPr>
      <w:r>
        <w:rPr>
          <w:rStyle w:val="af"/>
        </w:rPr>
        <w:footnoteRef/>
      </w:r>
      <w:r>
        <w:t xml:space="preserve"> </w:t>
      </w:r>
      <w:r w:rsidRPr="001254C3">
        <w:t xml:space="preserve">В </w:t>
      </w:r>
      <w:r w:rsidRPr="0080545F">
        <w:t xml:space="preserve">методических </w:t>
      </w:r>
      <w:r>
        <w:t>указаниях</w:t>
      </w:r>
      <w:r w:rsidRPr="0080545F">
        <w:t xml:space="preserve"> источниками финанс</w:t>
      </w:r>
      <w:r>
        <w:t>ового обеспечения</w:t>
      </w:r>
      <w:r w:rsidRPr="0080545F">
        <w:t xml:space="preserve"> являются: </w:t>
      </w:r>
    </w:p>
    <w:p w14:paraId="7CE3F642" w14:textId="53DEE60F" w:rsidR="006A1DF0" w:rsidRDefault="006A1DF0" w:rsidP="00523815">
      <w:pPr>
        <w:pStyle w:val="ad"/>
        <w:jc w:val="both"/>
      </w:pPr>
      <w:r>
        <w:t>1.Ф</w:t>
      </w:r>
      <w:r w:rsidRPr="0080545F">
        <w:t>едеральный бюджет (</w:t>
      </w:r>
      <w:r>
        <w:t xml:space="preserve">1.1.1.1.1 </w:t>
      </w:r>
      <w:r w:rsidRPr="0080545F">
        <w:t>межбюджетные трансферты бюджету</w:t>
      </w:r>
      <w:r>
        <w:t xml:space="preserve"> субъекта</w:t>
      </w:r>
      <w:r w:rsidRPr="0070150E">
        <w:t xml:space="preserve"> Российской Федерации</w:t>
      </w:r>
      <w:r w:rsidRPr="0080545F">
        <w:t xml:space="preserve">); </w:t>
      </w:r>
    </w:p>
    <w:p w14:paraId="506B40AE" w14:textId="77777777" w:rsidR="006A1DF0" w:rsidRDefault="006A1DF0" w:rsidP="00523815">
      <w:pPr>
        <w:pStyle w:val="ad"/>
        <w:jc w:val="both"/>
      </w:pPr>
      <w:r>
        <w:t>2.Б</w:t>
      </w:r>
      <w:r w:rsidRPr="0080545F">
        <w:t>юджеты государственных внебюджетных фондов Российской Федерации и их территориальных фондов;</w:t>
      </w:r>
    </w:p>
    <w:p w14:paraId="3D9D330B" w14:textId="77777777" w:rsidR="006A1DF0" w:rsidRDefault="006A1DF0" w:rsidP="00523815">
      <w:pPr>
        <w:pStyle w:val="ad"/>
        <w:jc w:val="both"/>
      </w:pPr>
      <w:r>
        <w:t>3.К</w:t>
      </w:r>
      <w:r w:rsidRPr="0080545F">
        <w:t>онсолидированный бюджет субъекта Российской Федерации</w:t>
      </w:r>
      <w:r>
        <w:t>;</w:t>
      </w:r>
    </w:p>
    <w:p w14:paraId="52BC130C" w14:textId="77777777" w:rsidR="006A1DF0" w:rsidRDefault="006A1DF0" w:rsidP="00523815">
      <w:pPr>
        <w:pStyle w:val="ad"/>
        <w:jc w:val="both"/>
      </w:pPr>
      <w:r>
        <w:t xml:space="preserve">4. </w:t>
      </w:r>
      <w:r w:rsidRPr="0074642A">
        <w:t>Бюджеты территориальных государственных внебюджетных фондов (бюджеты территориальных фондов обязательного медицинского страхования)</w:t>
      </w:r>
      <w:r>
        <w:t>;</w:t>
      </w:r>
    </w:p>
    <w:p w14:paraId="14339C56" w14:textId="77777777" w:rsidR="006A1DF0" w:rsidRDefault="006A1DF0" w:rsidP="00523815">
      <w:pPr>
        <w:pStyle w:val="ad"/>
        <w:jc w:val="both"/>
      </w:pPr>
      <w:r>
        <w:t>5.</w:t>
      </w:r>
      <w:r w:rsidRPr="0080545F">
        <w:t xml:space="preserve"> </w:t>
      </w:r>
      <w:r w:rsidRPr="0074642A">
        <w:t>Внебюджетные источники</w:t>
      </w:r>
      <w:r>
        <w:t>.</w:t>
      </w:r>
    </w:p>
  </w:footnote>
  <w:footnote w:id="12">
    <w:p w14:paraId="6B17EBFC" w14:textId="28048F44" w:rsidR="006A1DF0" w:rsidRDefault="006A1DF0" w:rsidP="002E22B1">
      <w:pPr>
        <w:pStyle w:val="ad"/>
        <w:ind w:firstLine="142"/>
        <w:jc w:val="both"/>
      </w:pPr>
      <w:r>
        <w:rPr>
          <w:rStyle w:val="af"/>
        </w:rPr>
        <w:footnoteRef/>
      </w:r>
      <w:r>
        <w:t xml:space="preserve"> "Обеспечение деятельности краевых государственных учреждений здравоохранения", "Развитие и укрепление материально-технической базы краевых государственных учреждений здравоохранения" и "Организация обеспечения учреждений здравоохранения Приморского края медицинским оборудованием".</w:t>
      </w:r>
    </w:p>
  </w:footnote>
  <w:footnote w:id="13">
    <w:p w14:paraId="0FC51AA9" w14:textId="73DA773E" w:rsidR="006A1DF0" w:rsidRDefault="006A1DF0" w:rsidP="002E22B1">
      <w:pPr>
        <w:pStyle w:val="ad"/>
        <w:ind w:firstLine="142"/>
        <w:jc w:val="both"/>
      </w:pPr>
      <w:r>
        <w:rPr>
          <w:rStyle w:val="af"/>
        </w:rPr>
        <w:footnoteRef/>
      </w:r>
      <w:r>
        <w:t> П</w:t>
      </w:r>
      <w:r w:rsidRPr="009B7EDB">
        <w:t>рограмм</w:t>
      </w:r>
      <w:r>
        <w:t>а</w:t>
      </w:r>
      <w:r w:rsidRPr="009B7EDB">
        <w:t xml:space="preserve"> "Модернизация первичного звена здравоохранения"</w:t>
      </w:r>
      <w:r>
        <w:t xml:space="preserve"> у</w:t>
      </w:r>
      <w:r w:rsidRPr="009B7EDB">
        <w:t>твержден</w:t>
      </w:r>
      <w:r>
        <w:t>а</w:t>
      </w:r>
      <w:r w:rsidRPr="009B7EDB">
        <w:t xml:space="preserve"> распоряжением Правительства Примор</w:t>
      </w:r>
      <w:r>
        <w:t>ского края от 15.12.2020 № 577-р</w:t>
      </w:r>
      <w:r w:rsidRPr="009B7EDB">
        <w:t>п</w:t>
      </w:r>
      <w:r>
        <w:t>.</w:t>
      </w:r>
      <w:r w:rsidRPr="009B7EDB">
        <w:t xml:space="preserve"> </w:t>
      </w:r>
    </w:p>
  </w:footnote>
  <w:footnote w:id="14">
    <w:p w14:paraId="179C7F77" w14:textId="6040B8EC" w:rsidR="006A1DF0" w:rsidRDefault="006A1DF0" w:rsidP="002E22B1">
      <w:pPr>
        <w:pStyle w:val="ad"/>
        <w:ind w:firstLine="142"/>
        <w:jc w:val="both"/>
      </w:pPr>
      <w:r>
        <w:rPr>
          <w:rStyle w:val="af"/>
        </w:rPr>
        <w:footnoteRef/>
      </w:r>
      <w:r>
        <w:t xml:space="preserve"> От 18.12.2020 № 1049-пп</w:t>
      </w:r>
      <w:r w:rsidRPr="006828BE">
        <w:rPr>
          <w:sz w:val="28"/>
          <w:szCs w:val="24"/>
        </w:rPr>
        <w:t xml:space="preserve"> </w:t>
      </w:r>
      <w:r>
        <w:rPr>
          <w:sz w:val="28"/>
          <w:szCs w:val="24"/>
        </w:rPr>
        <w:t>"</w:t>
      </w:r>
      <w:r w:rsidRPr="006828BE">
        <w:t>О реализации в Приморском крае проекта социального воздействия в сфере здравоохранения Приморского края</w:t>
      </w:r>
      <w:r>
        <w:t>".</w:t>
      </w:r>
    </w:p>
  </w:footnote>
  <w:footnote w:id="15">
    <w:p w14:paraId="69D2C94D" w14:textId="5C56B6EA" w:rsidR="006A1DF0" w:rsidRPr="0017223C" w:rsidRDefault="006A1DF0" w:rsidP="002E22B1">
      <w:pPr>
        <w:spacing w:after="0" w:line="240" w:lineRule="auto"/>
        <w:ind w:firstLine="142"/>
        <w:jc w:val="both"/>
        <w:rPr>
          <w:rFonts w:ascii="Times New Roman" w:eastAsia="Times New Roman" w:hAnsi="Times New Roman" w:cs="Times New Roman"/>
          <w:sz w:val="20"/>
          <w:szCs w:val="20"/>
        </w:rPr>
      </w:pPr>
      <w:r w:rsidRPr="003E7032">
        <w:rPr>
          <w:rStyle w:val="af"/>
          <w:sz w:val="20"/>
          <w:szCs w:val="20"/>
        </w:rPr>
        <w:footnoteRef/>
      </w:r>
      <w:r w:rsidRPr="003E7032">
        <w:rPr>
          <w:sz w:val="20"/>
          <w:szCs w:val="20"/>
        </w:rPr>
        <w:t xml:space="preserve"> </w:t>
      </w:r>
      <w:r w:rsidRPr="003E7032">
        <w:rPr>
          <w:rFonts w:ascii="Times New Roman" w:eastAsia="Times New Roman" w:hAnsi="Times New Roman" w:cs="Times New Roman"/>
          <w:sz w:val="20"/>
          <w:szCs w:val="20"/>
        </w:rPr>
        <w:t>Кавалеровский муниципальный район</w:t>
      </w:r>
      <w:r>
        <w:rPr>
          <w:rFonts w:ascii="Times New Roman" w:eastAsia="Times New Roman" w:hAnsi="Times New Roman" w:cs="Times New Roman"/>
          <w:sz w:val="20"/>
          <w:szCs w:val="20"/>
        </w:rPr>
        <w:t>,</w:t>
      </w:r>
      <w:r w:rsidRPr="003E7032">
        <w:rPr>
          <w:rFonts w:ascii="Times New Roman" w:eastAsia="Times New Roman" w:hAnsi="Times New Roman" w:cs="Times New Roman"/>
          <w:sz w:val="20"/>
          <w:szCs w:val="20"/>
        </w:rPr>
        <w:t xml:space="preserve"> г. Дальнегорск</w:t>
      </w:r>
      <w:r>
        <w:rPr>
          <w:rFonts w:ascii="Times New Roman" w:eastAsia="Times New Roman" w:hAnsi="Times New Roman" w:cs="Times New Roman"/>
          <w:sz w:val="20"/>
          <w:szCs w:val="20"/>
        </w:rPr>
        <w:t>,</w:t>
      </w:r>
      <w:r w:rsidRPr="003E7032">
        <w:rPr>
          <w:rFonts w:ascii="Times New Roman" w:eastAsia="Times New Roman" w:hAnsi="Times New Roman" w:cs="Times New Roman"/>
          <w:sz w:val="20"/>
          <w:szCs w:val="20"/>
        </w:rPr>
        <w:t xml:space="preserve"> Анучинский муниципальный округ</w:t>
      </w:r>
      <w:r>
        <w:rPr>
          <w:rFonts w:ascii="Times New Roman" w:eastAsia="Times New Roman" w:hAnsi="Times New Roman" w:cs="Times New Roman"/>
          <w:sz w:val="20"/>
          <w:szCs w:val="20"/>
        </w:rPr>
        <w:t>, г. Арсеньев,</w:t>
      </w:r>
      <w:r w:rsidRPr="003E7032">
        <w:rPr>
          <w:rFonts w:ascii="Times New Roman" w:eastAsia="Times New Roman" w:hAnsi="Times New Roman" w:cs="Times New Roman"/>
          <w:sz w:val="20"/>
          <w:szCs w:val="20"/>
        </w:rPr>
        <w:t xml:space="preserve"> Яковлевский муниципальный район</w:t>
      </w:r>
      <w:r>
        <w:rPr>
          <w:rFonts w:ascii="Times New Roman" w:eastAsia="Times New Roman" w:hAnsi="Times New Roman" w:cs="Times New Roman"/>
          <w:sz w:val="20"/>
          <w:szCs w:val="20"/>
        </w:rPr>
        <w:t>, Чугуевский муниципальный округ,</w:t>
      </w:r>
      <w:r w:rsidRPr="003E7032">
        <w:rPr>
          <w:rFonts w:ascii="Times New Roman" w:eastAsia="Times New Roman" w:hAnsi="Times New Roman" w:cs="Times New Roman"/>
          <w:sz w:val="20"/>
          <w:szCs w:val="20"/>
        </w:rPr>
        <w:t xml:space="preserve"> Лесозаводский городской округ</w:t>
      </w:r>
      <w:r>
        <w:rPr>
          <w:rFonts w:ascii="Times New Roman" w:eastAsia="Times New Roman" w:hAnsi="Times New Roman" w:cs="Times New Roman"/>
          <w:sz w:val="20"/>
          <w:szCs w:val="20"/>
        </w:rPr>
        <w:t>,</w:t>
      </w:r>
      <w:r w:rsidRPr="003E7032">
        <w:rPr>
          <w:rFonts w:ascii="Times New Roman" w:eastAsia="Times New Roman" w:hAnsi="Times New Roman" w:cs="Times New Roman"/>
          <w:sz w:val="20"/>
          <w:szCs w:val="20"/>
        </w:rPr>
        <w:t xml:space="preserve"> г.</w:t>
      </w:r>
      <w:r>
        <w:rPr>
          <w:rFonts w:ascii="Times New Roman" w:eastAsia="Times New Roman" w:hAnsi="Times New Roman" w:cs="Times New Roman"/>
          <w:sz w:val="20"/>
          <w:szCs w:val="20"/>
        </w:rPr>
        <w:t> </w:t>
      </w:r>
      <w:r w:rsidRPr="003E7032">
        <w:rPr>
          <w:rFonts w:ascii="Times New Roman" w:eastAsia="Times New Roman" w:hAnsi="Times New Roman" w:cs="Times New Roman"/>
          <w:sz w:val="20"/>
          <w:szCs w:val="20"/>
        </w:rPr>
        <w:t>Дальнереченск</w:t>
      </w:r>
      <w:r>
        <w:rPr>
          <w:rFonts w:ascii="Times New Roman" w:eastAsia="Times New Roman" w:hAnsi="Times New Roman" w:cs="Times New Roman"/>
          <w:sz w:val="20"/>
          <w:szCs w:val="20"/>
        </w:rPr>
        <w:t>,</w:t>
      </w:r>
      <w:r w:rsidRPr="003E7032">
        <w:rPr>
          <w:rFonts w:ascii="Times New Roman" w:eastAsia="Times New Roman" w:hAnsi="Times New Roman" w:cs="Times New Roman"/>
          <w:sz w:val="20"/>
          <w:szCs w:val="20"/>
        </w:rPr>
        <w:t xml:space="preserve"> Крас</w:t>
      </w:r>
      <w:r>
        <w:rPr>
          <w:rFonts w:ascii="Times New Roman" w:eastAsia="Times New Roman" w:hAnsi="Times New Roman" w:cs="Times New Roman"/>
          <w:sz w:val="20"/>
          <w:szCs w:val="20"/>
        </w:rPr>
        <w:t>ноармейский муниципальный район.</w:t>
      </w:r>
    </w:p>
  </w:footnote>
  <w:footnote w:id="16">
    <w:p w14:paraId="56817D57" w14:textId="732D10D2" w:rsidR="006A1DF0" w:rsidRDefault="006A1DF0" w:rsidP="002B594E">
      <w:pPr>
        <w:pStyle w:val="ad"/>
        <w:ind w:firstLine="142"/>
        <w:jc w:val="both"/>
      </w:pPr>
      <w:r>
        <w:rPr>
          <w:rStyle w:val="af"/>
        </w:rPr>
        <w:footnoteRef/>
      </w:r>
      <w:r>
        <w:t xml:space="preserve"> Утверждено в краевом бюджете на 2019 год страховых взносов на ОМС на неработающее население в сумме 11 702, 4 млн рублей, на 2022 год по расчетным данным Контрольно-счетной палаты в сумме 12 768,68млн рублей, или рост на 9,1 %.  </w:t>
      </w:r>
    </w:p>
  </w:footnote>
  <w:footnote w:id="17">
    <w:p w14:paraId="40B261CD" w14:textId="77777777" w:rsidR="006A1DF0" w:rsidRDefault="006A1DF0" w:rsidP="006467CA">
      <w:pPr>
        <w:pStyle w:val="ad"/>
        <w:ind w:firstLine="142"/>
        <w:jc w:val="both"/>
        <w:rPr>
          <w:color w:val="000000"/>
        </w:rPr>
      </w:pPr>
      <w:r>
        <w:rPr>
          <w:rStyle w:val="af"/>
        </w:rPr>
        <w:footnoteRef/>
      </w:r>
      <w:r>
        <w:t xml:space="preserve"> 1 - </w:t>
      </w:r>
      <w:r w:rsidRPr="005A5992">
        <w:rPr>
          <w:color w:val="000000"/>
        </w:rPr>
        <w:t>размер среднедушевого дохода семьи не превышает величину прожиточного минимума на душу населения, установленную Правительством Приморского края на дату обращения за назначением ежемесячной выплаты</w:t>
      </w:r>
      <w:r w:rsidRPr="00D26BCD">
        <w:rPr>
          <w:color w:val="000000"/>
        </w:rPr>
        <w:t xml:space="preserve">, </w:t>
      </w:r>
    </w:p>
    <w:p w14:paraId="165EBE3B" w14:textId="77777777" w:rsidR="006A1DF0" w:rsidRDefault="006A1DF0" w:rsidP="006467CA">
      <w:pPr>
        <w:pStyle w:val="ad"/>
        <w:ind w:firstLine="142"/>
        <w:jc w:val="both"/>
        <w:rPr>
          <w:color w:val="000000"/>
        </w:rPr>
      </w:pPr>
      <w:r>
        <w:rPr>
          <w:color w:val="000000"/>
        </w:rPr>
        <w:t xml:space="preserve">2 - </w:t>
      </w:r>
      <w:r w:rsidRPr="005A5992">
        <w:rPr>
          <w:color w:val="000000"/>
        </w:rPr>
        <w:t xml:space="preserve">размер среднедушевого дохода семьи, рассчитанный с учетом ежемесячной выплаты в размере 50 </w:t>
      </w:r>
      <w:r w:rsidRPr="00D26BCD">
        <w:rPr>
          <w:color w:val="000000"/>
        </w:rPr>
        <w:t>%</w:t>
      </w:r>
      <w:r w:rsidRPr="005A5992">
        <w:rPr>
          <w:color w:val="000000"/>
        </w:rPr>
        <w:t xml:space="preserve"> величины прожиточного минимума для детей, не превышает величину прожиточного минимума на душу населения, установленную Правительством Приморского края на дату обращения за назначением ежемесячной выплаты</w:t>
      </w:r>
      <w:r w:rsidRPr="00D26BCD">
        <w:rPr>
          <w:color w:val="000000"/>
        </w:rPr>
        <w:t xml:space="preserve">, </w:t>
      </w:r>
    </w:p>
    <w:p w14:paraId="4BB49F38" w14:textId="24D19188" w:rsidR="006A1DF0" w:rsidRDefault="006A1DF0" w:rsidP="006467CA">
      <w:pPr>
        <w:pStyle w:val="ad"/>
        <w:ind w:firstLine="142"/>
        <w:jc w:val="both"/>
      </w:pPr>
      <w:r>
        <w:rPr>
          <w:color w:val="000000"/>
        </w:rPr>
        <w:t xml:space="preserve">3 - </w:t>
      </w:r>
      <w:r w:rsidRPr="005A5992">
        <w:rPr>
          <w:color w:val="000000"/>
        </w:rPr>
        <w:t xml:space="preserve">размер среднедушевого дохода семьи, рассчитанный с учетом ежемесячной выплаты в размере 75 </w:t>
      </w:r>
      <w:r w:rsidRPr="00D26BCD">
        <w:rPr>
          <w:color w:val="000000"/>
        </w:rPr>
        <w:t>%</w:t>
      </w:r>
      <w:r w:rsidRPr="005A5992">
        <w:rPr>
          <w:color w:val="000000"/>
        </w:rPr>
        <w:t xml:space="preserve"> величины прожиточного минимума для детей, не превышает величину прожиточного минимума на душу населения, установленную Правительством Приморского края на дату обращения за назначением ежемесячной выплаты</w:t>
      </w:r>
      <w:r>
        <w:rPr>
          <w:color w:val="000000"/>
        </w:rPr>
        <w:t>.</w:t>
      </w:r>
      <w:r w:rsidRPr="00D26BCD">
        <w:t xml:space="preserve">  </w:t>
      </w:r>
    </w:p>
  </w:footnote>
  <w:footnote w:id="18">
    <w:p w14:paraId="6B4D139D" w14:textId="6AF70F80" w:rsidR="006A1DF0" w:rsidRDefault="006A1DF0" w:rsidP="008C417A">
      <w:pPr>
        <w:pStyle w:val="ad"/>
        <w:ind w:firstLine="142"/>
        <w:jc w:val="both"/>
      </w:pPr>
      <w:r>
        <w:rPr>
          <w:rStyle w:val="af"/>
        </w:rPr>
        <w:footnoteRef/>
      </w:r>
      <w:r>
        <w:t xml:space="preserve"> Закон Приморского края от 17.11.1999 № 72-КЗ "О величине прожиточного минимума в Приморском крае".</w:t>
      </w:r>
    </w:p>
  </w:footnote>
  <w:footnote w:id="19">
    <w:p w14:paraId="06F659F0" w14:textId="231A909F" w:rsidR="006A1DF0" w:rsidRDefault="006A1DF0" w:rsidP="008C417A">
      <w:pPr>
        <w:pStyle w:val="ad"/>
        <w:ind w:firstLine="142"/>
        <w:jc w:val="both"/>
      </w:pPr>
      <w:r>
        <w:rPr>
          <w:rStyle w:val="af"/>
        </w:rPr>
        <w:footnoteRef/>
      </w:r>
      <w:r>
        <w:t xml:space="preserve"> </w:t>
      </w:r>
      <w:r w:rsidRPr="00A41B3D">
        <w:t xml:space="preserve">Закон Приморского края от 22.09.2021 № 1147-КЗ "О социальной поддержке отдельных категорий граждан Российской Федерации по газификации индивидуальных жилых домов </w:t>
      </w:r>
      <w:r>
        <w:t>на территории Приморского края".</w:t>
      </w:r>
    </w:p>
  </w:footnote>
  <w:footnote w:id="20">
    <w:p w14:paraId="33E4EEE1" w14:textId="77777777" w:rsidR="006A1DF0" w:rsidRDefault="006A1DF0" w:rsidP="00533C4C">
      <w:pPr>
        <w:pStyle w:val="ad"/>
        <w:ind w:firstLine="142"/>
        <w:jc w:val="both"/>
      </w:pPr>
      <w:r>
        <w:rPr>
          <w:rStyle w:val="af"/>
        </w:rPr>
        <w:footnoteRef/>
      </w:r>
      <w:r>
        <w:t xml:space="preserve"> Федеральный закон от 12.01.1995 № 5-ФЗ "О ветеранах", Федеральный закон от 24.11.1995№ 181-ФЗ "О социальной защите инвалидов в Российской Федерации".</w:t>
      </w:r>
    </w:p>
  </w:footnote>
  <w:footnote w:id="21">
    <w:p w14:paraId="70AD0B65" w14:textId="5A8AA1D0" w:rsidR="006A1DF0" w:rsidRPr="00FF3A87" w:rsidRDefault="006A1DF0" w:rsidP="00827437">
      <w:pPr>
        <w:pStyle w:val="ad"/>
        <w:ind w:firstLine="142"/>
        <w:jc w:val="both"/>
      </w:pPr>
      <w:r w:rsidRPr="00FF3A87">
        <w:rPr>
          <w:rStyle w:val="af"/>
        </w:rPr>
        <w:footnoteRef/>
      </w:r>
      <w:r w:rsidRPr="00FF3A87">
        <w:t xml:space="preserve"> Указ Президента Российской Федерации от 07.05.2012 </w:t>
      </w:r>
      <w:hyperlink r:id="rId1" w:history="1">
        <w:r w:rsidRPr="00FF3A87">
          <w:t>№ 597</w:t>
        </w:r>
      </w:hyperlink>
      <w:r w:rsidRPr="00FF3A87">
        <w:t xml:space="preserve"> "О мероприятиях по реализации государственной социальной политики".</w:t>
      </w:r>
    </w:p>
  </w:footnote>
  <w:footnote w:id="22">
    <w:p w14:paraId="399B23D8" w14:textId="77777777" w:rsidR="006A1DF0" w:rsidRPr="000D4785" w:rsidRDefault="006A1DF0" w:rsidP="00827437">
      <w:pPr>
        <w:pStyle w:val="ad"/>
        <w:spacing w:after="120"/>
        <w:ind w:firstLine="142"/>
        <w:jc w:val="both"/>
        <w:rPr>
          <w:sz w:val="22"/>
          <w:szCs w:val="22"/>
        </w:rPr>
      </w:pPr>
      <w:r w:rsidRPr="00FF3A87">
        <w:rPr>
          <w:rStyle w:val="af"/>
        </w:rPr>
        <w:footnoteRef/>
      </w:r>
      <w:r w:rsidRPr="00FF3A87">
        <w:t xml:space="preserve"> План мероприятий ("дорожная карта"), утвержден распоряжением Администрации Приморского края от 16.12.2019 № 726-ра "Об утверждении Плана мероприятий ("дорожной</w:t>
      </w:r>
      <w:r w:rsidRPr="000D4785">
        <w:rPr>
          <w:sz w:val="22"/>
          <w:szCs w:val="22"/>
        </w:rPr>
        <w:t xml:space="preserve"> </w:t>
      </w:r>
      <w:r w:rsidRPr="00FF3A87">
        <w:t>карты") "Повышение эффективности и качества услуг в сфере социального обслуживания населения".</w:t>
      </w:r>
    </w:p>
  </w:footnote>
  <w:footnote w:id="23">
    <w:p w14:paraId="0FBADC94" w14:textId="77777777" w:rsidR="006A1DF0" w:rsidRPr="00BD6626" w:rsidRDefault="006A1DF0" w:rsidP="00BD6626">
      <w:pPr>
        <w:pStyle w:val="ad"/>
        <w:ind w:firstLine="142"/>
      </w:pPr>
      <w:r w:rsidRPr="00BD6626">
        <w:rPr>
          <w:rStyle w:val="af"/>
        </w:rPr>
        <w:footnoteRef/>
      </w:r>
      <w:r w:rsidRPr="00BD6626">
        <w:t xml:space="preserve"> В соответствии с договором аренды от 10.02.2021 № БГ 02-21.</w:t>
      </w:r>
    </w:p>
  </w:footnote>
  <w:footnote w:id="24">
    <w:p w14:paraId="0EACDBB5" w14:textId="77777777" w:rsidR="006A1DF0" w:rsidRPr="00BD6626" w:rsidRDefault="006A1DF0" w:rsidP="00BD6626">
      <w:pPr>
        <w:autoSpaceDE w:val="0"/>
        <w:autoSpaceDN w:val="0"/>
        <w:adjustRightInd w:val="0"/>
        <w:spacing w:after="0" w:line="240" w:lineRule="auto"/>
        <w:ind w:firstLine="142"/>
        <w:jc w:val="both"/>
        <w:rPr>
          <w:rFonts w:ascii="Times New Roman" w:hAnsi="Times New Roman" w:cs="Times New Roman"/>
        </w:rPr>
      </w:pPr>
      <w:r w:rsidRPr="00BD6626">
        <w:rPr>
          <w:rStyle w:val="af"/>
          <w:rFonts w:ascii="Times New Roman" w:hAnsi="Times New Roman" w:cs="Times New Roman"/>
          <w:sz w:val="20"/>
          <w:szCs w:val="20"/>
        </w:rPr>
        <w:footnoteRef/>
      </w:r>
      <w:r w:rsidRPr="00BD6626">
        <w:rPr>
          <w:rFonts w:ascii="Times New Roman" w:hAnsi="Times New Roman" w:cs="Times New Roman"/>
          <w:sz w:val="20"/>
          <w:szCs w:val="20"/>
        </w:rPr>
        <w:t xml:space="preserve"> 10000,0 рублей предоставляется молодому специалисту до достижения трехлетнего педагогического стажа работы в образовательной организации, компенсации расходов за наем (поднаем) жилого помещения в размере 50 процентов фактических расходов по договору найма (поднайма) жилого помещения; 5000,0 рублей в месяц в течение одного года предоставляется наставнику - высококвалифицированному педагогическому работнику, назначенному распорядительным документом руководителя образовательной организации для сопровождения профессиональной деятельности молодого специалиста в соответствии с утвержденным индивидуальным планом адаптации в первый год его работы в образовательной организации.</w:t>
      </w:r>
    </w:p>
  </w:footnote>
  <w:footnote w:id="25">
    <w:p w14:paraId="18755C3D" w14:textId="6244FBD4" w:rsidR="006A1DF0" w:rsidRDefault="006A1DF0" w:rsidP="00CB71E2">
      <w:pPr>
        <w:pStyle w:val="ad"/>
        <w:ind w:firstLine="142"/>
        <w:jc w:val="both"/>
      </w:pPr>
      <w:r>
        <w:rPr>
          <w:rStyle w:val="af"/>
        </w:rPr>
        <w:footnoteRef/>
      </w:r>
      <w:r>
        <w:t xml:space="preserve"> Строительство группы многоквартирных домов, всего стоимость объекта на 2022 год – 1926,67 млн рублей, на 2023 год – 352,59 млн рублей. На строительство наружных сетей – 125,00 млн рублей и 25,00 млн рублей соответственно. На элементы благоустройства и озеленения – 20,00 млн рублей ежегодно. На строительство паркинга – 220,00 млн рублей и 30,00 млн рублей соответственно. Ипотечные займы – по 250,00 млн рублей ежегодно.</w:t>
      </w:r>
    </w:p>
  </w:footnote>
  <w:footnote w:id="26">
    <w:p w14:paraId="69604D73" w14:textId="77777777" w:rsidR="006A1DF0" w:rsidRPr="009B36A8" w:rsidRDefault="006A1DF0" w:rsidP="00CB71E2">
      <w:pPr>
        <w:pStyle w:val="ad"/>
        <w:ind w:firstLine="142"/>
        <w:jc w:val="both"/>
      </w:pPr>
      <w:r w:rsidRPr="009B36A8">
        <w:rPr>
          <w:rStyle w:val="af"/>
        </w:rPr>
        <w:footnoteRef/>
      </w:r>
      <w:r w:rsidRPr="009B36A8">
        <w:t xml:space="preserve"> В соответствии с постановлением Администрации Приморского края от 10.07.2019 № 442-па "О предоставлении бюджетных инвестиций".</w:t>
      </w:r>
    </w:p>
  </w:footnote>
  <w:footnote w:id="27">
    <w:p w14:paraId="2E8824F2" w14:textId="77777777" w:rsidR="006A1DF0" w:rsidRPr="009B36A8" w:rsidRDefault="006A1DF0" w:rsidP="00CB71E2">
      <w:pPr>
        <w:pStyle w:val="ad"/>
        <w:ind w:firstLine="142"/>
        <w:jc w:val="both"/>
      </w:pPr>
      <w:r w:rsidRPr="009B36A8">
        <w:rPr>
          <w:rStyle w:val="af"/>
        </w:rPr>
        <w:footnoteRef/>
      </w:r>
      <w:r w:rsidRPr="009B36A8">
        <w:t xml:space="preserve"> По п</w:t>
      </w:r>
      <w:r w:rsidRPr="009B36A8">
        <w:rPr>
          <w:iCs/>
        </w:rPr>
        <w:t>остановлению Администрации Приморского края от 17.06.2019 № 360-па "О предоставлении бюджетных инвестиций".</w:t>
      </w:r>
    </w:p>
  </w:footnote>
  <w:footnote w:id="28">
    <w:p w14:paraId="37FE2E88" w14:textId="77777777" w:rsidR="006A1DF0" w:rsidRPr="009B36A8" w:rsidRDefault="006A1DF0" w:rsidP="00DC72F5">
      <w:pPr>
        <w:pStyle w:val="af0"/>
        <w:spacing w:before="0" w:beforeAutospacing="0" w:after="0" w:afterAutospacing="0"/>
        <w:ind w:firstLine="142"/>
        <w:jc w:val="both"/>
        <w:rPr>
          <w:color w:val="333333"/>
          <w:sz w:val="20"/>
          <w:szCs w:val="20"/>
        </w:rPr>
      </w:pPr>
      <w:r w:rsidRPr="009B36A8">
        <w:rPr>
          <w:rStyle w:val="af"/>
          <w:sz w:val="20"/>
          <w:szCs w:val="20"/>
        </w:rPr>
        <w:footnoteRef/>
      </w:r>
      <w:r w:rsidRPr="009B36A8">
        <w:rPr>
          <w:sz w:val="20"/>
          <w:szCs w:val="20"/>
        </w:rPr>
        <w:t xml:space="preserve"> </w:t>
      </w:r>
      <w:r w:rsidRPr="009B36A8">
        <w:rPr>
          <w:color w:val="000000"/>
          <w:sz w:val="20"/>
          <w:szCs w:val="20"/>
          <w:shd w:val="clear" w:color="auto" w:fill="FFFFFF"/>
        </w:rPr>
        <w:t>Оплата за аренду наёмного жилья будет на 50 % ниже среднерыночной цены, сложившейся в муниципальном образовании на дату окончания строительства арендного жилья. Расчёт стоимости производится на основании отчёта независимого эксперта об оценке среднерыночной стоимости аренды в городских округах Приморского края однокомнатных, двухкомнатных, трёхкомнатных</w:t>
      </w:r>
      <w:r w:rsidRPr="009330C8">
        <w:rPr>
          <w:color w:val="000000"/>
          <w:sz w:val="22"/>
          <w:szCs w:val="22"/>
          <w:shd w:val="clear" w:color="auto" w:fill="FFFFFF"/>
        </w:rPr>
        <w:t xml:space="preserve"> </w:t>
      </w:r>
      <w:r w:rsidRPr="009B36A8">
        <w:rPr>
          <w:color w:val="000000"/>
          <w:sz w:val="20"/>
          <w:szCs w:val="20"/>
          <w:shd w:val="clear" w:color="auto" w:fill="FFFFFF"/>
        </w:rPr>
        <w:t xml:space="preserve">благоустроенных не меблированных квартир в новостройках, без учёта коммунальных платежей. Информация о стоимости аренды (до заключения договоров коммерческого найма) размещается на официальном сайте АО "КРЖС". </w:t>
      </w:r>
      <w:r>
        <w:rPr>
          <w:color w:val="333333"/>
          <w:sz w:val="20"/>
          <w:szCs w:val="20"/>
        </w:rPr>
        <w:t>Согласно полученному отчету</w:t>
      </w:r>
      <w:r w:rsidRPr="009B36A8">
        <w:rPr>
          <w:color w:val="333333"/>
          <w:sz w:val="20"/>
          <w:szCs w:val="20"/>
        </w:rPr>
        <w:t xml:space="preserve"> независимой оценки в уже сданных квартирах во Владивостоке стоимость аренды составляет 15,5 тысяч рублей в квартирах до 50 квадратных метров, 18 тысяч рублей – в квартирах от 50 до 60,1 квадратных метра, 20 тысяч рублей – в квартирах свыше 60,1 квадратного метра.</w:t>
      </w:r>
    </w:p>
  </w:footnote>
  <w:footnote w:id="29">
    <w:p w14:paraId="2D4BF059" w14:textId="77777777" w:rsidR="006A1DF0" w:rsidRDefault="006A1DF0" w:rsidP="00DC72F5">
      <w:pPr>
        <w:pStyle w:val="ad"/>
        <w:ind w:firstLine="142"/>
      </w:pPr>
      <w:r w:rsidRPr="009B36A8">
        <w:rPr>
          <w:rStyle w:val="af"/>
        </w:rPr>
        <w:footnoteRef/>
      </w:r>
      <w:r w:rsidRPr="009B36A8">
        <w:t xml:space="preserve"> http://www.zspk.gov.ru/press-service/press-relizy/586466/.</w:t>
      </w:r>
    </w:p>
  </w:footnote>
  <w:footnote w:id="30">
    <w:p w14:paraId="054483A8" w14:textId="2CA80C9B" w:rsidR="006A1DF0" w:rsidRPr="00B816C1" w:rsidRDefault="006A1DF0" w:rsidP="00B816C1">
      <w:pPr>
        <w:spacing w:after="0" w:line="240" w:lineRule="auto"/>
        <w:ind w:firstLine="142"/>
        <w:jc w:val="both"/>
        <w:rPr>
          <w:rFonts w:ascii="Times New Roman" w:hAnsi="Times New Roman" w:cs="Times New Roman"/>
          <w:sz w:val="20"/>
          <w:szCs w:val="20"/>
        </w:rPr>
      </w:pPr>
      <w:r w:rsidRPr="00B816C1">
        <w:rPr>
          <w:rStyle w:val="af"/>
          <w:rFonts w:ascii="Times New Roman" w:hAnsi="Times New Roman" w:cs="Times New Roman"/>
          <w:sz w:val="20"/>
          <w:szCs w:val="20"/>
        </w:rPr>
        <w:footnoteRef/>
      </w:r>
      <w:r w:rsidRPr="00B816C1">
        <w:rPr>
          <w:rFonts w:ascii="Times New Roman" w:hAnsi="Times New Roman" w:cs="Times New Roman"/>
          <w:sz w:val="20"/>
          <w:szCs w:val="20"/>
        </w:rPr>
        <w:t xml:space="preserve"> В 2020 году </w:t>
      </w:r>
      <w:r w:rsidRPr="00B816C1">
        <w:rPr>
          <w:rFonts w:ascii="Times New Roman" w:eastAsia="Times New Roman" w:hAnsi="Times New Roman" w:cs="Times New Roman"/>
          <w:color w:val="000000"/>
          <w:sz w:val="20"/>
          <w:szCs w:val="20"/>
        </w:rPr>
        <w:t xml:space="preserve">министерством строительства Приморского края </w:t>
      </w:r>
      <w:r w:rsidRPr="00B816C1">
        <w:rPr>
          <w:rFonts w:ascii="Times New Roman" w:hAnsi="Times New Roman" w:cs="Times New Roman"/>
          <w:sz w:val="20"/>
          <w:szCs w:val="20"/>
        </w:rPr>
        <w:t xml:space="preserve">направлены </w:t>
      </w:r>
      <w:r w:rsidRPr="00B816C1">
        <w:rPr>
          <w:rFonts w:ascii="Times New Roman" w:eastAsia="Times New Roman" w:hAnsi="Times New Roman" w:cs="Times New Roman"/>
          <w:color w:val="000000"/>
          <w:sz w:val="20"/>
          <w:szCs w:val="20"/>
        </w:rPr>
        <w:t>субсидии, НО "Фонд поддержки обманутых дольщиков Приморского края" –в сумме 1897,93 млн рублей из 2239,68 млн рублей запланированных Кроме того, согласно годовой отчетности министерства строительства Приморского края на 01.01.2020 сложился остаток в размере 855,98 млн рублей, который планировали освоить до 01.12.2021 года в соответствии с графиком ввода жилых домов микрорайона "Снеговая Падь".</w:t>
      </w:r>
    </w:p>
  </w:footnote>
  <w:footnote w:id="31">
    <w:p w14:paraId="307B6766" w14:textId="456BB6F2" w:rsidR="006A1DF0" w:rsidRPr="00B816C1" w:rsidRDefault="006A1DF0" w:rsidP="00B816C1">
      <w:pPr>
        <w:pStyle w:val="ad"/>
        <w:ind w:firstLine="142"/>
        <w:jc w:val="both"/>
      </w:pPr>
      <w:r w:rsidRPr="00B816C1">
        <w:rPr>
          <w:rStyle w:val="af"/>
        </w:rPr>
        <w:footnoteRef/>
      </w:r>
      <w:r w:rsidRPr="00B816C1">
        <w:t xml:space="preserve"> ЖД № 1, № 4 в микрорайоне "Снеговая Падь", ЖД № 1 и № 2 по ул. Лесной, ЖД по ул. Лазо 15/1 в г.</w:t>
      </w:r>
      <w:r>
        <w:t> </w:t>
      </w:r>
      <w:r w:rsidRPr="00B816C1">
        <w:t>Артеме, ЖД по ул. Грибоедова, и ЖД "ЖСК Остров".</w:t>
      </w:r>
    </w:p>
  </w:footnote>
  <w:footnote w:id="32">
    <w:p w14:paraId="24DB6D74" w14:textId="3EF9588E" w:rsidR="006A1DF0" w:rsidRPr="0050672B" w:rsidRDefault="006A1DF0" w:rsidP="0050672B">
      <w:pPr>
        <w:pStyle w:val="ad"/>
        <w:ind w:firstLine="142"/>
        <w:jc w:val="both"/>
      </w:pPr>
      <w:r w:rsidRPr="0050672B">
        <w:rPr>
          <w:rStyle w:val="af"/>
        </w:rPr>
        <w:footnoteRef/>
      </w:r>
      <w:r w:rsidRPr="0050672B">
        <w:t xml:space="preserve"> </w:t>
      </w:r>
      <w:r>
        <w:t>Ч</w:t>
      </w:r>
      <w:r w:rsidRPr="0050672B">
        <w:t xml:space="preserve">асть 2 статьи 13.1 Федерального закона от 29.07.2017 </w:t>
      </w:r>
      <w:hyperlink r:id="rId2" w:history="1">
        <w:r w:rsidRPr="0050672B">
          <w:t>№ 218-ФЗ</w:t>
        </w:r>
      </w:hyperlink>
      <w:r w:rsidRPr="0050672B">
        <w:t xml:space="preserve">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Федеральный закон от 30.12.2004 </w:t>
      </w:r>
      <w:hyperlink r:id="rId3" w:history="1">
        <w:r w:rsidRPr="0050672B">
          <w:t>№ 214-ФЗ</w:t>
        </w:r>
      </w:hyperlink>
      <w:r w:rsidRPr="0050672B">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t>п</w:t>
      </w:r>
      <w:hyperlink r:id="rId4" w:history="1">
        <w:r w:rsidRPr="0050672B">
          <w:t>остановление</w:t>
        </w:r>
      </w:hyperlink>
      <w:r w:rsidRPr="0050672B">
        <w:t xml:space="preserve"> Правительства Российской Федерации от 12.09.2019 № 1192 "Об утверждении Правил принятия решения публично-правовой компанией "Фонд защиты прав граждан - участников долевого строительства".</w:t>
      </w:r>
    </w:p>
  </w:footnote>
  <w:footnote w:id="33">
    <w:p w14:paraId="1102C58C" w14:textId="1505C913" w:rsidR="006A1DF0" w:rsidRPr="0050672B" w:rsidRDefault="006A1DF0" w:rsidP="0050672B">
      <w:pPr>
        <w:pStyle w:val="ad"/>
        <w:ind w:firstLine="142"/>
        <w:jc w:val="both"/>
      </w:pPr>
      <w:r w:rsidRPr="0050672B">
        <w:rPr>
          <w:rStyle w:val="af"/>
        </w:rPr>
        <w:footnoteRef/>
      </w:r>
      <w:r w:rsidRPr="0050672B">
        <w:t xml:space="preserve"> </w:t>
      </w:r>
      <w:r>
        <w:t>В</w:t>
      </w:r>
      <w:r w:rsidRPr="0050672B">
        <w:rPr>
          <w:rFonts w:eastAsia="sans-serif"/>
          <w:color w:val="000000"/>
          <w:lang w:eastAsia="zh-CN" w:bidi="ar"/>
        </w:rPr>
        <w:t xml:space="preserve"> соответствии с частью 1 статьи 21.2 Федеральный закон от 30.12.2004 № 214-ФЗ (ред. от 02.07.2021)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footnote>
  <w:footnote w:id="34">
    <w:p w14:paraId="32614D7F" w14:textId="475FE465" w:rsidR="006A1DF0" w:rsidRDefault="006A1DF0" w:rsidP="0010471B">
      <w:pPr>
        <w:pStyle w:val="ad"/>
        <w:ind w:firstLine="142"/>
        <w:jc w:val="both"/>
      </w:pPr>
      <w:r>
        <w:rPr>
          <w:rStyle w:val="af"/>
        </w:rPr>
        <w:footnoteRef/>
      </w:r>
      <w:r>
        <w:t xml:space="preserve"> ГО Большой Камень – 10,20 млн рублей, Яковлевский МР – 43,85 млн рублей. </w:t>
      </w:r>
    </w:p>
  </w:footnote>
  <w:footnote w:id="35">
    <w:p w14:paraId="59E6DF78" w14:textId="7FA421CA" w:rsidR="006A1DF0" w:rsidRDefault="006A1DF0" w:rsidP="0010471B">
      <w:pPr>
        <w:pStyle w:val="ad"/>
        <w:ind w:firstLine="142"/>
        <w:jc w:val="both"/>
      </w:pPr>
      <w:r>
        <w:rPr>
          <w:rStyle w:val="af"/>
        </w:rPr>
        <w:footnoteRef/>
      </w:r>
      <w:r>
        <w:t xml:space="preserve"> Лесозаводский ГО – 41,53 млн рублей, Октябрьский МО – 9,59 млн рублей, Пограничный МО – 28,01 млн рублей, Шкотовский МР – 37,59 млн рублей.</w:t>
      </w:r>
    </w:p>
  </w:footnote>
  <w:footnote w:id="36">
    <w:p w14:paraId="0917F2BC" w14:textId="1B2C27CD" w:rsidR="006A1DF0" w:rsidRDefault="006A1DF0" w:rsidP="009A3B8D">
      <w:pPr>
        <w:pStyle w:val="ad"/>
        <w:ind w:firstLine="142"/>
        <w:jc w:val="both"/>
      </w:pPr>
      <w:r>
        <w:rPr>
          <w:rStyle w:val="af"/>
        </w:rPr>
        <w:footnoteRef/>
      </w:r>
      <w:r>
        <w:t xml:space="preserve"> Отмечаем, что </w:t>
      </w:r>
      <w:r w:rsidRPr="00FD3275">
        <w:t xml:space="preserve">по трем из четырех </w:t>
      </w:r>
      <w:r w:rsidRPr="0009476B">
        <w:t>положительных</w:t>
      </w:r>
      <w:r>
        <w:t xml:space="preserve"> </w:t>
      </w:r>
      <w:r w:rsidRPr="00FD3275">
        <w:t>Заключени</w:t>
      </w:r>
      <w:r>
        <w:t>й</w:t>
      </w:r>
      <w:r w:rsidRPr="00FD3275">
        <w:t xml:space="preserve"> технологического </w:t>
      </w:r>
      <w:r>
        <w:t xml:space="preserve">и ценового </w:t>
      </w:r>
      <w:r w:rsidRPr="00FD3275">
        <w:t xml:space="preserve">аудита </w:t>
      </w:r>
      <w:r>
        <w:t>обоснований инвестиций</w:t>
      </w:r>
      <w:r w:rsidRPr="00FD3275">
        <w:t xml:space="preserve"> указано, что основные (принципиальные) архитектурно-художественные, технологические, конструктивные и объемно-планировочные, инженерно-технические решения, основного технологического оборудования, а также планируемых к применению строительных и отделочных материалов, сокращения сроков и этапов строительства, стоимости строительства в целом и отдельных его этапов могут быть реализованы при разработке проектной документации по объектам (пожарное депо п.</w:t>
      </w:r>
      <w:r>
        <w:t> </w:t>
      </w:r>
      <w:r w:rsidRPr="00FD3275">
        <w:t>Анучино, пгт Смоляниново, с. Малиново) при условии выполнения требований технических регламентов, с учетом недостатков, указанных в Заключениях ТЦА ОИ по указанным объектам, и выводов экспертной организации.</w:t>
      </w:r>
    </w:p>
  </w:footnote>
  <w:footnote w:id="37">
    <w:p w14:paraId="76C7DE9A" w14:textId="77777777" w:rsidR="006A1DF0" w:rsidRDefault="006A1DF0" w:rsidP="009A3B8D">
      <w:pPr>
        <w:pStyle w:val="ad"/>
        <w:ind w:firstLine="142"/>
        <w:jc w:val="both"/>
      </w:pPr>
      <w:r>
        <w:rPr>
          <w:rStyle w:val="af"/>
        </w:rPr>
        <w:footnoteRef/>
      </w:r>
      <w:r>
        <w:t xml:space="preserve"> Мониторинг размещен на официальной странице министерства экономического развития Приморского края (ссылка </w:t>
      </w:r>
      <w:hyperlink r:id="rId5" w:history="1">
        <w:r w:rsidRPr="007C1B8F">
          <w:rPr>
            <w:rStyle w:val="af3"/>
            <w:color w:val="auto"/>
            <w:u w:val="none"/>
          </w:rPr>
          <w:t>https://primorsky.ru/authorities/executive-agencies/departments/economics/ot.php</w:t>
        </w:r>
      </w:hyperlink>
      <w:r w:rsidRPr="007C1B8F">
        <w:t>).</w:t>
      </w:r>
    </w:p>
  </w:footnote>
  <w:footnote w:id="38">
    <w:p w14:paraId="6CB39EA6" w14:textId="77777777" w:rsidR="006A1DF0" w:rsidRDefault="006A1DF0" w:rsidP="009A3B8D">
      <w:pPr>
        <w:pStyle w:val="ad"/>
        <w:ind w:firstLine="142"/>
        <w:jc w:val="both"/>
      </w:pPr>
      <w:r>
        <w:rPr>
          <w:rStyle w:val="af"/>
        </w:rPr>
        <w:footnoteRef/>
      </w:r>
      <w:r>
        <w:t xml:space="preserve"> Законопроектом предусмотрено по данному виду расходов изменение кода целевой статьи на 0730324710 вместо 0730324310, утвержденному Законом</w:t>
      </w:r>
      <w:r w:rsidRPr="005959A5">
        <w:t xml:space="preserve"> № 969-КЗ</w:t>
      </w:r>
      <w:r>
        <w:t>.</w:t>
      </w:r>
    </w:p>
  </w:footnote>
  <w:footnote w:id="39">
    <w:p w14:paraId="41DA24F0" w14:textId="77777777" w:rsidR="006A1DF0" w:rsidRPr="00392116" w:rsidRDefault="006A1DF0" w:rsidP="009A3B8D">
      <w:pPr>
        <w:pStyle w:val="ad"/>
        <w:ind w:firstLine="142"/>
        <w:jc w:val="both"/>
      </w:pPr>
      <w:r>
        <w:rPr>
          <w:rStyle w:val="af"/>
        </w:rPr>
        <w:footnoteRef/>
      </w:r>
      <w:r>
        <w:t xml:space="preserve"> Законопроектом предусмотрено по данному виду расходов изменение наименование целевой статьи в сравнении с </w:t>
      </w:r>
      <w:r w:rsidRPr="005959A5">
        <w:t>Закон</w:t>
      </w:r>
      <w:r>
        <w:t>ом</w:t>
      </w:r>
      <w:r w:rsidRPr="005959A5">
        <w:t xml:space="preserve"> № 969-КЗ</w:t>
      </w:r>
      <w:r>
        <w:t>, согласно которому целевая статья называлась "</w:t>
      </w:r>
      <w:r w:rsidRPr="00C3302B">
        <w:rPr>
          <w:color w:val="000000"/>
        </w:rPr>
        <w:t xml:space="preserve">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w:t>
      </w:r>
      <w:r w:rsidRPr="00392116">
        <w:rPr>
          <w:color w:val="000000"/>
        </w:rPr>
        <w:t>береговой территории озера Ханка".</w:t>
      </w:r>
    </w:p>
  </w:footnote>
  <w:footnote w:id="40">
    <w:p w14:paraId="68C7F4E9" w14:textId="77777777" w:rsidR="006A1DF0" w:rsidRDefault="006A1DF0" w:rsidP="009A3B8D">
      <w:pPr>
        <w:pStyle w:val="ad"/>
        <w:ind w:firstLine="142"/>
        <w:jc w:val="both"/>
      </w:pPr>
      <w:r w:rsidRPr="00392116">
        <w:rPr>
          <w:rStyle w:val="af"/>
        </w:rPr>
        <w:footnoteRef/>
      </w:r>
      <w:r w:rsidRPr="00392116">
        <w:t xml:space="preserve"> Согласно информации министерства сельского хозяйства Приморского края, в основу обоснований принято возмещение расходов на откачку</w:t>
      </w:r>
      <w:r>
        <w:t xml:space="preserve"> 13,3 млн м</w:t>
      </w:r>
      <w:r>
        <w:rPr>
          <w:vertAlign w:val="superscript"/>
        </w:rPr>
        <w:t>3</w:t>
      </w:r>
      <w:r>
        <w:t xml:space="preserve"> воды в Спасском муниципальном районе, а также 14 млн м</w:t>
      </w:r>
      <w:r>
        <w:rPr>
          <w:vertAlign w:val="superscript"/>
        </w:rPr>
        <w:t>3</w:t>
      </w:r>
      <w:r>
        <w:t xml:space="preserve"> воды в Хорольском муниципальном округе с целью предупреждения ЧС.</w:t>
      </w:r>
    </w:p>
  </w:footnote>
  <w:footnote w:id="41">
    <w:p w14:paraId="5A0B73CC" w14:textId="77777777" w:rsidR="006A1DF0" w:rsidRPr="00B16DCF" w:rsidRDefault="006A1DF0" w:rsidP="00B16DCF">
      <w:pPr>
        <w:widowControl w:val="0"/>
        <w:spacing w:after="0" w:line="240" w:lineRule="auto"/>
        <w:ind w:firstLine="142"/>
        <w:jc w:val="both"/>
        <w:rPr>
          <w:rFonts w:ascii="Times New Roman" w:eastAsia="Calibri" w:hAnsi="Times New Roman" w:cs="Times New Roman"/>
          <w:sz w:val="20"/>
          <w:szCs w:val="20"/>
        </w:rPr>
      </w:pPr>
      <w:r w:rsidRPr="00B16DCF">
        <w:rPr>
          <w:rStyle w:val="af"/>
          <w:rFonts w:ascii="Times New Roman" w:hAnsi="Times New Roman" w:cs="Times New Roman"/>
          <w:sz w:val="20"/>
          <w:szCs w:val="20"/>
        </w:rPr>
        <w:footnoteRef/>
      </w:r>
      <w:r w:rsidRPr="00B16DCF">
        <w:rPr>
          <w:rFonts w:ascii="Times New Roman" w:hAnsi="Times New Roman" w:cs="Times New Roman"/>
          <w:sz w:val="20"/>
          <w:szCs w:val="20"/>
        </w:rPr>
        <w:t xml:space="preserve"> </w:t>
      </w:r>
      <w:r w:rsidRPr="00B16DCF">
        <w:rPr>
          <w:rFonts w:ascii="Times New Roman" w:eastAsia="Times New Roman" w:hAnsi="Times New Roman" w:cs="Times New Roman"/>
          <w:color w:val="000000"/>
          <w:sz w:val="20"/>
          <w:szCs w:val="20"/>
          <w:lang w:eastAsia="ru-RU"/>
        </w:rPr>
        <w:t xml:space="preserve">Инспекцией регионального строительного надзора и контроля в области долевого строительства Приморского края выдано заключение об окончании строительства подрядчику ООО "ТехПромАтлант". Администрацией Хасанского муниципального района </w:t>
      </w:r>
      <w:r w:rsidRPr="00B16DCF">
        <w:rPr>
          <w:rFonts w:ascii="Times New Roman" w:eastAsia="Calibri" w:hAnsi="Times New Roman" w:cs="Times New Roman"/>
          <w:sz w:val="20"/>
          <w:szCs w:val="20"/>
        </w:rPr>
        <w:t xml:space="preserve">выдано разрешение на ввод объекта в эксплуатацию от 23.04.2021 № </w:t>
      </w:r>
      <w:r w:rsidRPr="00B16DCF">
        <w:rPr>
          <w:rFonts w:ascii="Times New Roman" w:eastAsia="Calibri" w:hAnsi="Times New Roman" w:cs="Times New Roman"/>
          <w:sz w:val="20"/>
          <w:szCs w:val="20"/>
          <w:lang w:val="en-US"/>
        </w:rPr>
        <w:t>RU</w:t>
      </w:r>
      <w:r w:rsidRPr="00B16DCF">
        <w:rPr>
          <w:rFonts w:ascii="Times New Roman" w:eastAsia="Calibri" w:hAnsi="Times New Roman" w:cs="Times New Roman"/>
          <w:sz w:val="20"/>
          <w:szCs w:val="20"/>
        </w:rPr>
        <w:t>25517105-20-2021.</w:t>
      </w:r>
    </w:p>
    <w:p w14:paraId="04663B32" w14:textId="77777777" w:rsidR="006A1DF0" w:rsidRPr="00B16DCF" w:rsidRDefault="006A1DF0" w:rsidP="00B16DCF">
      <w:pPr>
        <w:pStyle w:val="ad"/>
        <w:ind w:firstLine="142"/>
      </w:pPr>
    </w:p>
  </w:footnote>
  <w:footnote w:id="42">
    <w:p w14:paraId="60F997B9" w14:textId="77777777" w:rsidR="006A1DF0" w:rsidRPr="00C51F9B" w:rsidRDefault="006A1DF0" w:rsidP="003C52E7">
      <w:pPr>
        <w:pStyle w:val="afc"/>
        <w:ind w:firstLine="142"/>
        <w:jc w:val="both"/>
        <w:rPr>
          <w:rFonts w:ascii="Times New Roman" w:hAnsi="Times New Roman" w:cs="Times New Roman"/>
          <w:sz w:val="20"/>
          <w:szCs w:val="20"/>
        </w:rPr>
      </w:pPr>
      <w:r w:rsidRPr="00C51F9B">
        <w:rPr>
          <w:rStyle w:val="af"/>
          <w:rFonts w:ascii="Times New Roman" w:hAnsi="Times New Roman" w:cs="Times New Roman"/>
          <w:sz w:val="20"/>
          <w:szCs w:val="20"/>
        </w:rPr>
        <w:footnoteRef/>
      </w:r>
      <w:r w:rsidRPr="00C51F9B">
        <w:rPr>
          <w:rFonts w:ascii="Times New Roman" w:hAnsi="Times New Roman" w:cs="Times New Roman"/>
          <w:sz w:val="20"/>
          <w:szCs w:val="20"/>
        </w:rPr>
        <w:t xml:space="preserve"> Проверка законности и эффективности использования иных межбюджетных трансфертов, предоставленных бюджетам муниципальных образований Приморского края на осуществление дорожной деятельности на автомобильных дорогах местного значения на территории Приморского края в рамках национального проекта </w:t>
      </w:r>
      <w:r>
        <w:rPr>
          <w:rFonts w:ascii="Times New Roman" w:hAnsi="Times New Roman" w:cs="Times New Roman"/>
          <w:sz w:val="20"/>
          <w:szCs w:val="20"/>
        </w:rPr>
        <w:t>"</w:t>
      </w:r>
      <w:r w:rsidRPr="00C51F9B">
        <w:rPr>
          <w:rFonts w:ascii="Times New Roman" w:hAnsi="Times New Roman" w:cs="Times New Roman"/>
          <w:sz w:val="20"/>
          <w:szCs w:val="20"/>
        </w:rPr>
        <w:t>Безопасные и качественные автомобильные дороги</w:t>
      </w:r>
      <w:r>
        <w:rPr>
          <w:rFonts w:ascii="Times New Roman" w:hAnsi="Times New Roman" w:cs="Times New Roman"/>
          <w:sz w:val="20"/>
          <w:szCs w:val="20"/>
        </w:rPr>
        <w:t>".</w:t>
      </w:r>
    </w:p>
  </w:footnote>
  <w:footnote w:id="43">
    <w:p w14:paraId="623E74A3" w14:textId="77777777" w:rsidR="006A1DF0" w:rsidRPr="00BA523A" w:rsidRDefault="006A1DF0" w:rsidP="003C52E7">
      <w:pPr>
        <w:pStyle w:val="ad"/>
        <w:ind w:firstLine="142"/>
        <w:jc w:val="both"/>
      </w:pPr>
      <w:r>
        <w:rPr>
          <w:rStyle w:val="af"/>
        </w:rPr>
        <w:footnoteRef/>
      </w:r>
      <w:r>
        <w:t xml:space="preserve"> Контрольно-счетная палата</w:t>
      </w:r>
      <w:r w:rsidRPr="00BA523A">
        <w:t xml:space="preserve"> города Владив</w:t>
      </w:r>
      <w:r>
        <w:t>остока, Контрольно-счетные</w:t>
      </w:r>
      <w:r w:rsidRPr="00BA523A">
        <w:t xml:space="preserve"> комиссии Надеждинского </w:t>
      </w:r>
      <w:r>
        <w:t>и Шкотовского муниципальных районов.</w:t>
      </w:r>
    </w:p>
  </w:footnote>
  <w:footnote w:id="44">
    <w:p w14:paraId="110D88A7" w14:textId="77777777" w:rsidR="006A1DF0" w:rsidRDefault="006A1DF0" w:rsidP="003C52E7">
      <w:pPr>
        <w:pStyle w:val="ad"/>
        <w:ind w:firstLine="142"/>
        <w:jc w:val="both"/>
      </w:pPr>
      <w:r>
        <w:rPr>
          <w:rStyle w:val="af"/>
        </w:rPr>
        <w:footnoteRef/>
      </w:r>
      <w:r>
        <w:t xml:space="preserve"> В соответствии с Перечнем, утвержденным в целях реализации НП "БКАД".</w:t>
      </w:r>
    </w:p>
  </w:footnote>
  <w:footnote w:id="45">
    <w:p w14:paraId="4F4036AC" w14:textId="77777777" w:rsidR="006A1DF0" w:rsidRPr="005C70A8" w:rsidRDefault="006A1DF0" w:rsidP="00827437">
      <w:pPr>
        <w:autoSpaceDE w:val="0"/>
        <w:autoSpaceDN w:val="0"/>
        <w:adjustRightInd w:val="0"/>
        <w:spacing w:after="0" w:line="240" w:lineRule="auto"/>
        <w:ind w:firstLine="142"/>
        <w:jc w:val="both"/>
        <w:rPr>
          <w:rFonts w:ascii="Times New Roman" w:hAnsi="Times New Roman" w:cs="Times New Roman"/>
          <w:sz w:val="28"/>
          <w:szCs w:val="28"/>
        </w:rPr>
      </w:pPr>
      <w:r w:rsidRPr="00DE33C2">
        <w:rPr>
          <w:rStyle w:val="af"/>
          <w:rFonts w:ascii="Times New Roman" w:hAnsi="Times New Roman" w:cs="Times New Roman"/>
          <w:sz w:val="20"/>
          <w:szCs w:val="20"/>
        </w:rPr>
        <w:footnoteRef/>
      </w:r>
      <w:r w:rsidRPr="00DE33C2">
        <w:rPr>
          <w:rFonts w:ascii="Times New Roman" w:hAnsi="Times New Roman" w:cs="Times New Roman"/>
          <w:sz w:val="20"/>
          <w:szCs w:val="20"/>
        </w:rPr>
        <w:t xml:space="preserve"> Кроме того, источниками формирования дорожного фонда Приморского края являются</w:t>
      </w:r>
      <w:r>
        <w:rPr>
          <w:rFonts w:ascii="Times New Roman" w:hAnsi="Times New Roman" w:cs="Times New Roman"/>
        </w:rPr>
        <w:t xml:space="preserve"> </w:t>
      </w:r>
      <w:r w:rsidRPr="00DE33C2">
        <w:rPr>
          <w:rFonts w:ascii="Times New Roman" w:hAnsi="Times New Roman" w:cs="Times New Roman"/>
          <w:sz w:val="20"/>
          <w:szCs w:val="20"/>
        </w:rPr>
        <w:t>доходы от:</w:t>
      </w:r>
    </w:p>
    <w:p w14:paraId="6D7E53AD" w14:textId="77777777" w:rsidR="006A1DF0" w:rsidRPr="00DE33C2" w:rsidRDefault="006A1DF0" w:rsidP="00827437">
      <w:pPr>
        <w:autoSpaceDE w:val="0"/>
        <w:autoSpaceDN w:val="0"/>
        <w:adjustRightInd w:val="0"/>
        <w:spacing w:after="0" w:line="240" w:lineRule="auto"/>
        <w:jc w:val="both"/>
        <w:rPr>
          <w:rFonts w:ascii="Times New Roman" w:hAnsi="Times New Roman" w:cs="Times New Roman"/>
          <w:sz w:val="20"/>
          <w:szCs w:val="20"/>
        </w:rPr>
      </w:pPr>
      <w:r w:rsidRPr="00DE33C2">
        <w:rPr>
          <w:rFonts w:ascii="Times New Roman" w:hAnsi="Times New Roman" w:cs="Times New Roman"/>
          <w:sz w:val="20"/>
          <w:szCs w:val="20"/>
        </w:rPr>
        <w:t>эксплуатации и использования имущества автомобильных дорог, находящихся в собственности Приморского края на 202</w:t>
      </w:r>
      <w:r>
        <w:rPr>
          <w:rFonts w:ascii="Times New Roman" w:hAnsi="Times New Roman" w:cs="Times New Roman"/>
          <w:sz w:val="20"/>
          <w:szCs w:val="20"/>
        </w:rPr>
        <w:t>2</w:t>
      </w:r>
      <w:r w:rsidRPr="00DE33C2">
        <w:rPr>
          <w:rFonts w:ascii="Times New Roman" w:hAnsi="Times New Roman" w:cs="Times New Roman"/>
          <w:sz w:val="20"/>
          <w:szCs w:val="20"/>
        </w:rPr>
        <w:t>-202</w:t>
      </w:r>
      <w:r>
        <w:rPr>
          <w:rFonts w:ascii="Times New Roman" w:hAnsi="Times New Roman" w:cs="Times New Roman"/>
          <w:sz w:val="20"/>
          <w:szCs w:val="20"/>
        </w:rPr>
        <w:t>4</w:t>
      </w:r>
      <w:r w:rsidRPr="00DE33C2">
        <w:rPr>
          <w:rFonts w:ascii="Times New Roman" w:hAnsi="Times New Roman" w:cs="Times New Roman"/>
          <w:sz w:val="20"/>
          <w:szCs w:val="20"/>
        </w:rPr>
        <w:t xml:space="preserve"> годы</w:t>
      </w:r>
      <w:r>
        <w:rPr>
          <w:rFonts w:ascii="Times New Roman" w:hAnsi="Times New Roman" w:cs="Times New Roman"/>
          <w:sz w:val="20"/>
          <w:szCs w:val="20"/>
        </w:rPr>
        <w:t xml:space="preserve"> </w:t>
      </w:r>
      <w:r w:rsidRPr="00DE33C2">
        <w:rPr>
          <w:rFonts w:ascii="Times New Roman" w:hAnsi="Times New Roman" w:cs="Times New Roman"/>
          <w:sz w:val="20"/>
          <w:szCs w:val="20"/>
        </w:rPr>
        <w:t>– 0,89 млн рублей ежегодно;</w:t>
      </w:r>
    </w:p>
    <w:p w14:paraId="225D02F8" w14:textId="77777777" w:rsidR="006A1DF0" w:rsidRPr="00DE33C2" w:rsidRDefault="006A1DF0" w:rsidP="00827437">
      <w:pPr>
        <w:autoSpaceDE w:val="0"/>
        <w:autoSpaceDN w:val="0"/>
        <w:adjustRightInd w:val="0"/>
        <w:spacing w:after="0" w:line="240" w:lineRule="auto"/>
        <w:ind w:firstLine="142"/>
        <w:jc w:val="both"/>
        <w:rPr>
          <w:rFonts w:ascii="Times New Roman" w:hAnsi="Times New Roman" w:cs="Times New Roman"/>
          <w:sz w:val="20"/>
          <w:szCs w:val="20"/>
        </w:rPr>
      </w:pPr>
      <w:r w:rsidRPr="00DE33C2">
        <w:rPr>
          <w:rFonts w:ascii="Times New Roman" w:hAnsi="Times New Roman" w:cs="Times New Roman"/>
          <w:sz w:val="20"/>
          <w:szCs w:val="20"/>
        </w:rPr>
        <w:t>государственной пошлины за выдачу уполномоченным органом исполнительной власти Приморского края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на 202</w:t>
      </w:r>
      <w:r>
        <w:rPr>
          <w:rFonts w:ascii="Times New Roman" w:hAnsi="Times New Roman" w:cs="Times New Roman"/>
          <w:sz w:val="20"/>
          <w:szCs w:val="20"/>
        </w:rPr>
        <w:t>2</w:t>
      </w:r>
      <w:r w:rsidRPr="00DE33C2">
        <w:rPr>
          <w:rFonts w:ascii="Times New Roman" w:hAnsi="Times New Roman" w:cs="Times New Roman"/>
          <w:sz w:val="20"/>
          <w:szCs w:val="20"/>
        </w:rPr>
        <w:t xml:space="preserve"> год – 0,0</w:t>
      </w:r>
      <w:r>
        <w:rPr>
          <w:rFonts w:ascii="Times New Roman" w:hAnsi="Times New Roman" w:cs="Times New Roman"/>
          <w:sz w:val="20"/>
          <w:szCs w:val="20"/>
        </w:rPr>
        <w:t>37</w:t>
      </w:r>
      <w:r w:rsidRPr="00DE33C2">
        <w:rPr>
          <w:rFonts w:ascii="Times New Roman" w:hAnsi="Times New Roman" w:cs="Times New Roman"/>
          <w:sz w:val="20"/>
          <w:szCs w:val="20"/>
        </w:rPr>
        <w:t xml:space="preserve"> млн рублей, на 202</w:t>
      </w:r>
      <w:r>
        <w:rPr>
          <w:rFonts w:ascii="Times New Roman" w:hAnsi="Times New Roman" w:cs="Times New Roman"/>
          <w:sz w:val="20"/>
          <w:szCs w:val="20"/>
        </w:rPr>
        <w:t>3</w:t>
      </w:r>
      <w:r w:rsidRPr="00DE33C2">
        <w:rPr>
          <w:rFonts w:ascii="Times New Roman" w:hAnsi="Times New Roman" w:cs="Times New Roman"/>
          <w:sz w:val="20"/>
          <w:szCs w:val="20"/>
        </w:rPr>
        <w:t xml:space="preserve"> год – 0,0</w:t>
      </w:r>
      <w:r>
        <w:rPr>
          <w:rFonts w:ascii="Times New Roman" w:hAnsi="Times New Roman" w:cs="Times New Roman"/>
          <w:sz w:val="20"/>
          <w:szCs w:val="20"/>
        </w:rPr>
        <w:t>39</w:t>
      </w:r>
      <w:r w:rsidRPr="00DE33C2">
        <w:rPr>
          <w:rFonts w:ascii="Times New Roman" w:hAnsi="Times New Roman" w:cs="Times New Roman"/>
          <w:sz w:val="20"/>
          <w:szCs w:val="20"/>
        </w:rPr>
        <w:t xml:space="preserve"> млн рублей, на 202</w:t>
      </w:r>
      <w:r>
        <w:rPr>
          <w:rFonts w:ascii="Times New Roman" w:hAnsi="Times New Roman" w:cs="Times New Roman"/>
          <w:sz w:val="20"/>
          <w:szCs w:val="20"/>
        </w:rPr>
        <w:t>4</w:t>
      </w:r>
      <w:r w:rsidRPr="00DE33C2">
        <w:rPr>
          <w:rFonts w:ascii="Times New Roman" w:hAnsi="Times New Roman" w:cs="Times New Roman"/>
          <w:sz w:val="20"/>
          <w:szCs w:val="20"/>
        </w:rPr>
        <w:t xml:space="preserve"> год – 0,0</w:t>
      </w:r>
      <w:r>
        <w:rPr>
          <w:rFonts w:ascii="Times New Roman" w:hAnsi="Times New Roman" w:cs="Times New Roman"/>
          <w:sz w:val="20"/>
          <w:szCs w:val="20"/>
        </w:rPr>
        <w:t>41</w:t>
      </w:r>
      <w:r w:rsidRPr="00DE33C2">
        <w:rPr>
          <w:rFonts w:ascii="Times New Roman" w:hAnsi="Times New Roman" w:cs="Times New Roman"/>
          <w:sz w:val="20"/>
          <w:szCs w:val="20"/>
        </w:rPr>
        <w:t xml:space="preserve"> млн рублей;</w:t>
      </w:r>
    </w:p>
    <w:p w14:paraId="6547A5F4" w14:textId="77777777" w:rsidR="006A1DF0" w:rsidRPr="00DE33C2" w:rsidRDefault="006A1DF0" w:rsidP="00827437">
      <w:pPr>
        <w:autoSpaceDE w:val="0"/>
        <w:autoSpaceDN w:val="0"/>
        <w:adjustRightInd w:val="0"/>
        <w:spacing w:after="0" w:line="240" w:lineRule="auto"/>
        <w:ind w:firstLine="142"/>
        <w:jc w:val="both"/>
        <w:rPr>
          <w:rFonts w:ascii="Times New Roman" w:hAnsi="Times New Roman" w:cs="Times New Roman"/>
          <w:sz w:val="20"/>
          <w:szCs w:val="20"/>
        </w:rPr>
      </w:pPr>
      <w:r w:rsidRPr="00DE33C2">
        <w:rPr>
          <w:rFonts w:ascii="Times New Roman" w:hAnsi="Times New Roman" w:cs="Times New Roman"/>
          <w:sz w:val="20"/>
          <w:szCs w:val="20"/>
        </w:rPr>
        <w:t>поступлений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грузов, зачисляемых в краевой бюджет на 202</w:t>
      </w:r>
      <w:r>
        <w:rPr>
          <w:rFonts w:ascii="Times New Roman" w:hAnsi="Times New Roman" w:cs="Times New Roman"/>
          <w:sz w:val="20"/>
          <w:szCs w:val="20"/>
        </w:rPr>
        <w:t>2</w:t>
      </w:r>
      <w:r w:rsidRPr="00DE33C2">
        <w:rPr>
          <w:rFonts w:ascii="Times New Roman" w:hAnsi="Times New Roman" w:cs="Times New Roman"/>
          <w:sz w:val="20"/>
          <w:szCs w:val="20"/>
        </w:rPr>
        <w:t xml:space="preserve"> год – </w:t>
      </w:r>
      <w:r>
        <w:rPr>
          <w:rFonts w:ascii="Times New Roman" w:hAnsi="Times New Roman" w:cs="Times New Roman"/>
          <w:sz w:val="20"/>
          <w:szCs w:val="20"/>
        </w:rPr>
        <w:t>0,95</w:t>
      </w:r>
      <w:r w:rsidRPr="00DE33C2">
        <w:rPr>
          <w:rFonts w:ascii="Times New Roman" w:hAnsi="Times New Roman" w:cs="Times New Roman"/>
          <w:sz w:val="20"/>
          <w:szCs w:val="20"/>
        </w:rPr>
        <w:t xml:space="preserve"> млн рублей, на 202</w:t>
      </w:r>
      <w:r>
        <w:rPr>
          <w:rFonts w:ascii="Times New Roman" w:hAnsi="Times New Roman" w:cs="Times New Roman"/>
          <w:sz w:val="20"/>
          <w:szCs w:val="20"/>
        </w:rPr>
        <w:t>3</w:t>
      </w:r>
      <w:r w:rsidRPr="00DE33C2">
        <w:rPr>
          <w:rFonts w:ascii="Times New Roman" w:hAnsi="Times New Roman" w:cs="Times New Roman"/>
          <w:sz w:val="20"/>
          <w:szCs w:val="20"/>
        </w:rPr>
        <w:t xml:space="preserve"> год – </w:t>
      </w:r>
      <w:r>
        <w:rPr>
          <w:rFonts w:ascii="Times New Roman" w:hAnsi="Times New Roman" w:cs="Times New Roman"/>
          <w:sz w:val="20"/>
          <w:szCs w:val="20"/>
        </w:rPr>
        <w:t>0,99</w:t>
      </w:r>
      <w:r w:rsidRPr="00DE33C2">
        <w:rPr>
          <w:rFonts w:ascii="Times New Roman" w:hAnsi="Times New Roman" w:cs="Times New Roman"/>
          <w:sz w:val="20"/>
          <w:szCs w:val="20"/>
        </w:rPr>
        <w:t xml:space="preserve"> млн рублей, на 202</w:t>
      </w:r>
      <w:r>
        <w:rPr>
          <w:rFonts w:ascii="Times New Roman" w:hAnsi="Times New Roman" w:cs="Times New Roman"/>
          <w:sz w:val="20"/>
          <w:szCs w:val="20"/>
        </w:rPr>
        <w:t>4</w:t>
      </w:r>
      <w:r w:rsidRPr="00DE33C2">
        <w:rPr>
          <w:rFonts w:ascii="Times New Roman" w:hAnsi="Times New Roman" w:cs="Times New Roman"/>
          <w:sz w:val="20"/>
          <w:szCs w:val="20"/>
        </w:rPr>
        <w:t xml:space="preserve"> год – </w:t>
      </w:r>
      <w:r>
        <w:rPr>
          <w:rFonts w:ascii="Times New Roman" w:hAnsi="Times New Roman" w:cs="Times New Roman"/>
          <w:sz w:val="20"/>
          <w:szCs w:val="20"/>
        </w:rPr>
        <w:t>1,04</w:t>
      </w:r>
      <w:r w:rsidRPr="00DE33C2">
        <w:rPr>
          <w:rFonts w:ascii="Times New Roman" w:hAnsi="Times New Roman" w:cs="Times New Roman"/>
          <w:sz w:val="20"/>
          <w:szCs w:val="20"/>
        </w:rPr>
        <w:t xml:space="preserve"> млн рублей;</w:t>
      </w:r>
    </w:p>
    <w:p w14:paraId="08B674E2" w14:textId="77777777" w:rsidR="006A1DF0" w:rsidRPr="00DE33C2" w:rsidRDefault="006A1DF0" w:rsidP="00827437">
      <w:pPr>
        <w:autoSpaceDE w:val="0"/>
        <w:autoSpaceDN w:val="0"/>
        <w:adjustRightInd w:val="0"/>
        <w:spacing w:after="0" w:line="240" w:lineRule="auto"/>
        <w:ind w:firstLine="142"/>
        <w:jc w:val="both"/>
        <w:rPr>
          <w:rFonts w:ascii="Times New Roman" w:hAnsi="Times New Roman" w:cs="Times New Roman"/>
          <w:sz w:val="20"/>
          <w:szCs w:val="20"/>
        </w:rPr>
      </w:pPr>
      <w:r w:rsidRPr="00DE33C2">
        <w:rPr>
          <w:rFonts w:ascii="Times New Roman" w:hAnsi="Times New Roman" w:cs="Times New Roman"/>
          <w:sz w:val="20"/>
          <w:szCs w:val="20"/>
        </w:rPr>
        <w:t>платы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зачисляемой в краевой бюджет на 20</w:t>
      </w:r>
      <w:r>
        <w:rPr>
          <w:rFonts w:ascii="Times New Roman" w:hAnsi="Times New Roman" w:cs="Times New Roman"/>
          <w:sz w:val="20"/>
          <w:szCs w:val="20"/>
        </w:rPr>
        <w:t>22</w:t>
      </w:r>
      <w:r w:rsidRPr="00DE33C2">
        <w:rPr>
          <w:rFonts w:ascii="Times New Roman" w:hAnsi="Times New Roman" w:cs="Times New Roman"/>
          <w:sz w:val="20"/>
          <w:szCs w:val="20"/>
        </w:rPr>
        <w:t xml:space="preserve"> год – 0,0</w:t>
      </w:r>
      <w:r>
        <w:rPr>
          <w:rFonts w:ascii="Times New Roman" w:hAnsi="Times New Roman" w:cs="Times New Roman"/>
          <w:sz w:val="20"/>
          <w:szCs w:val="20"/>
        </w:rPr>
        <w:t>12</w:t>
      </w:r>
      <w:r w:rsidRPr="00DE33C2">
        <w:rPr>
          <w:rFonts w:ascii="Times New Roman" w:hAnsi="Times New Roman" w:cs="Times New Roman"/>
          <w:sz w:val="20"/>
          <w:szCs w:val="20"/>
        </w:rPr>
        <w:t xml:space="preserve"> млн рублей, на 202</w:t>
      </w:r>
      <w:r>
        <w:rPr>
          <w:rFonts w:ascii="Times New Roman" w:hAnsi="Times New Roman" w:cs="Times New Roman"/>
          <w:sz w:val="20"/>
          <w:szCs w:val="20"/>
        </w:rPr>
        <w:t>3</w:t>
      </w:r>
      <w:r w:rsidRPr="00DE33C2">
        <w:rPr>
          <w:rFonts w:ascii="Times New Roman" w:hAnsi="Times New Roman" w:cs="Times New Roman"/>
          <w:sz w:val="20"/>
          <w:szCs w:val="20"/>
        </w:rPr>
        <w:t xml:space="preserve"> год – 0,0</w:t>
      </w:r>
      <w:r>
        <w:rPr>
          <w:rFonts w:ascii="Times New Roman" w:hAnsi="Times New Roman" w:cs="Times New Roman"/>
          <w:sz w:val="20"/>
          <w:szCs w:val="20"/>
        </w:rPr>
        <w:t>13</w:t>
      </w:r>
      <w:r w:rsidRPr="00DE33C2">
        <w:rPr>
          <w:rFonts w:ascii="Times New Roman" w:hAnsi="Times New Roman" w:cs="Times New Roman"/>
          <w:sz w:val="20"/>
          <w:szCs w:val="20"/>
        </w:rPr>
        <w:t xml:space="preserve"> млн рублей, на 202</w:t>
      </w:r>
      <w:r>
        <w:rPr>
          <w:rFonts w:ascii="Times New Roman" w:hAnsi="Times New Roman" w:cs="Times New Roman"/>
          <w:sz w:val="20"/>
          <w:szCs w:val="20"/>
        </w:rPr>
        <w:t>4</w:t>
      </w:r>
      <w:r w:rsidRPr="00DE33C2">
        <w:rPr>
          <w:rFonts w:ascii="Times New Roman" w:hAnsi="Times New Roman" w:cs="Times New Roman"/>
          <w:sz w:val="20"/>
          <w:szCs w:val="20"/>
        </w:rPr>
        <w:t xml:space="preserve"> год – 0,0</w:t>
      </w:r>
      <w:r>
        <w:rPr>
          <w:rFonts w:ascii="Times New Roman" w:hAnsi="Times New Roman" w:cs="Times New Roman"/>
          <w:sz w:val="20"/>
          <w:szCs w:val="20"/>
        </w:rPr>
        <w:t>13</w:t>
      </w:r>
      <w:r w:rsidRPr="00DE33C2">
        <w:rPr>
          <w:rFonts w:ascii="Times New Roman" w:hAnsi="Times New Roman" w:cs="Times New Roman"/>
          <w:sz w:val="20"/>
          <w:szCs w:val="20"/>
        </w:rPr>
        <w:t xml:space="preserve"> млн рублей.</w:t>
      </w:r>
    </w:p>
    <w:p w14:paraId="5AAEC383" w14:textId="77777777" w:rsidR="006A1DF0" w:rsidRPr="00DE33C2" w:rsidRDefault="006A1DF0" w:rsidP="00827437">
      <w:pPr>
        <w:pStyle w:val="ad"/>
        <w:ind w:firstLine="142"/>
      </w:pPr>
    </w:p>
  </w:footnote>
  <w:footnote w:id="46">
    <w:p w14:paraId="7D8F6861" w14:textId="77777777" w:rsidR="006A1DF0" w:rsidRPr="00C21DCE" w:rsidRDefault="006A1DF0" w:rsidP="00D315BD">
      <w:pPr>
        <w:pStyle w:val="ad"/>
        <w:ind w:firstLine="142"/>
        <w:jc w:val="both"/>
      </w:pPr>
      <w:r>
        <w:rPr>
          <w:rStyle w:val="af"/>
        </w:rPr>
        <w:footnoteRef/>
      </w:r>
      <w:r>
        <w:t xml:space="preserve"> Утвержден</w:t>
      </w:r>
      <w:r w:rsidRPr="00C21DCE">
        <w:t xml:space="preserve"> постановлением Администрации Приморского края от 01.02.2012 № 24–па</w:t>
      </w:r>
      <w:r>
        <w:t>.</w:t>
      </w:r>
    </w:p>
  </w:footnote>
  <w:footnote w:id="47">
    <w:p w14:paraId="01A451BF" w14:textId="77777777" w:rsidR="006A1DF0" w:rsidRPr="00216A15" w:rsidRDefault="006A1DF0" w:rsidP="00D315BD">
      <w:pPr>
        <w:pStyle w:val="afc"/>
        <w:ind w:firstLine="142"/>
        <w:jc w:val="both"/>
        <w:rPr>
          <w:rFonts w:ascii="Times New Roman" w:hAnsi="Times New Roman" w:cs="Times New Roman"/>
          <w:sz w:val="20"/>
          <w:szCs w:val="20"/>
        </w:rPr>
      </w:pPr>
      <w:r w:rsidRPr="00CA1640">
        <w:rPr>
          <w:rStyle w:val="af"/>
          <w:rFonts w:ascii="Times New Roman" w:hAnsi="Times New Roman" w:cs="Times New Roman"/>
          <w:sz w:val="20"/>
          <w:szCs w:val="20"/>
        </w:rPr>
        <w:footnoteRef/>
      </w:r>
      <w:r w:rsidRPr="00CA1640">
        <w:rPr>
          <w:rFonts w:ascii="Times New Roman" w:hAnsi="Times New Roman" w:cs="Times New Roman"/>
          <w:sz w:val="20"/>
          <w:szCs w:val="20"/>
        </w:rPr>
        <w:t xml:space="preserve"> Абзацем 6 пункта 6 Порядка формирования и использования бюджетных ассигнований дорожного фонда Приморского края предусмотрено, что </w:t>
      </w:r>
      <w:r>
        <w:rPr>
          <w:rFonts w:ascii="Times New Roman" w:hAnsi="Times New Roman" w:cs="Times New Roman"/>
          <w:sz w:val="20"/>
          <w:szCs w:val="20"/>
        </w:rPr>
        <w:t>использование</w:t>
      </w:r>
      <w:r w:rsidRPr="00CA1640">
        <w:rPr>
          <w:rFonts w:ascii="Times New Roman" w:hAnsi="Times New Roman" w:cs="Times New Roman"/>
          <w:sz w:val="20"/>
          <w:szCs w:val="20"/>
        </w:rPr>
        <w:t xml:space="preserve"> бюджетных ассигнований дорожного фонда Приморского края </w:t>
      </w:r>
      <w:r>
        <w:rPr>
          <w:rFonts w:ascii="Times New Roman" w:hAnsi="Times New Roman" w:cs="Times New Roman"/>
          <w:sz w:val="20"/>
          <w:szCs w:val="20"/>
        </w:rPr>
        <w:t xml:space="preserve">на </w:t>
      </w:r>
      <w:r w:rsidRPr="00CA1640">
        <w:rPr>
          <w:rFonts w:ascii="Times New Roman" w:hAnsi="Times New Roman" w:cs="Times New Roman"/>
          <w:sz w:val="20"/>
          <w:szCs w:val="20"/>
        </w:rPr>
        <w:t xml:space="preserve">предоставление субсидий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w:t>
      </w:r>
      <w:r>
        <w:rPr>
          <w:rFonts w:ascii="Times New Roman" w:hAnsi="Times New Roman" w:cs="Times New Roman"/>
          <w:sz w:val="20"/>
          <w:szCs w:val="20"/>
        </w:rPr>
        <w:t xml:space="preserve">осуществляется </w:t>
      </w:r>
      <w:r w:rsidRPr="00CA1640">
        <w:rPr>
          <w:rFonts w:ascii="Times New Roman" w:hAnsi="Times New Roman" w:cs="Times New Roman"/>
          <w:sz w:val="20"/>
          <w:szCs w:val="20"/>
        </w:rPr>
        <w:t>в размере не менее 5 % объема бюджетных ассигнований дорожного фонда, формируемого за счет доходов краевого бюджета от акцизов на автомобильный бензин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краевой бюджет, а также доходов консолидированного бюджета Приморского края от транспортного налога (500,91 млн рублей, или 5,4 % от планового объема бюджетных ассигнова</w:t>
      </w:r>
      <w:r>
        <w:rPr>
          <w:rFonts w:ascii="Times New Roman" w:hAnsi="Times New Roman" w:cs="Times New Roman"/>
          <w:sz w:val="20"/>
          <w:szCs w:val="20"/>
        </w:rPr>
        <w:t>ний дорожного фонда, формируемого</w:t>
      </w:r>
      <w:r w:rsidRPr="00CA1640">
        <w:rPr>
          <w:rFonts w:ascii="Times New Roman" w:hAnsi="Times New Roman" w:cs="Times New Roman"/>
          <w:sz w:val="20"/>
          <w:szCs w:val="20"/>
        </w:rPr>
        <w:t xml:space="preserve"> за счет доходов от акцизов на нефтепродукты </w:t>
      </w:r>
      <w:r>
        <w:rPr>
          <w:rFonts w:ascii="Times New Roman" w:hAnsi="Times New Roman" w:cs="Times New Roman"/>
          <w:sz w:val="20"/>
          <w:szCs w:val="20"/>
        </w:rPr>
        <w:t xml:space="preserve">(7 007,89 млн рублей) </w:t>
      </w:r>
      <w:r w:rsidRPr="00CA1640">
        <w:rPr>
          <w:rFonts w:ascii="Times New Roman" w:hAnsi="Times New Roman" w:cs="Times New Roman"/>
          <w:sz w:val="20"/>
          <w:szCs w:val="20"/>
        </w:rPr>
        <w:t>и транспортного налога</w:t>
      </w:r>
      <w:r>
        <w:rPr>
          <w:rFonts w:ascii="Times New Roman" w:hAnsi="Times New Roman" w:cs="Times New Roman"/>
          <w:sz w:val="20"/>
          <w:szCs w:val="20"/>
        </w:rPr>
        <w:t xml:space="preserve"> (2 290,35 млн рублей).</w:t>
      </w:r>
    </w:p>
  </w:footnote>
  <w:footnote w:id="48">
    <w:p w14:paraId="17E0AD48" w14:textId="5A366186" w:rsidR="006A1DF0" w:rsidRPr="00216A15" w:rsidRDefault="006A1DF0" w:rsidP="00D315BD">
      <w:pPr>
        <w:pStyle w:val="afc"/>
        <w:ind w:firstLine="142"/>
        <w:jc w:val="both"/>
        <w:rPr>
          <w:rFonts w:ascii="Times New Roman" w:hAnsi="Times New Roman" w:cs="Times New Roman"/>
          <w:sz w:val="20"/>
          <w:szCs w:val="20"/>
        </w:rPr>
      </w:pPr>
      <w:r w:rsidRPr="00216A15">
        <w:rPr>
          <w:rStyle w:val="af"/>
          <w:rFonts w:ascii="Times New Roman" w:hAnsi="Times New Roman" w:cs="Times New Roman"/>
          <w:sz w:val="20"/>
          <w:szCs w:val="20"/>
        </w:rPr>
        <w:footnoteRef/>
      </w:r>
      <w:r w:rsidRPr="00216A15">
        <w:rPr>
          <w:rFonts w:ascii="Times New Roman" w:hAnsi="Times New Roman" w:cs="Times New Roman"/>
          <w:sz w:val="20"/>
          <w:szCs w:val="20"/>
        </w:rPr>
        <w:t xml:space="preserve"> Анализ предоставления и расходования субсидий, предоставляемых бюджетам муниципальных образований Приморского края</w:t>
      </w:r>
      <w:r>
        <w:rPr>
          <w:rFonts w:ascii="Times New Roman" w:hAnsi="Times New Roman" w:cs="Times New Roman"/>
          <w:sz w:val="20"/>
          <w:szCs w:val="20"/>
        </w:rPr>
        <w:t>,</w:t>
      </w:r>
      <w:r w:rsidRPr="00216A15">
        <w:rPr>
          <w:rFonts w:ascii="Times New Roman" w:hAnsi="Times New Roman" w:cs="Times New Roman"/>
          <w:sz w:val="20"/>
          <w:szCs w:val="20"/>
        </w:rPr>
        <w:t xml:space="preserve">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w:t>
      </w:r>
      <w:r>
        <w:rPr>
          <w:rFonts w:ascii="Times New Roman" w:hAnsi="Times New Roman" w:cs="Times New Roman"/>
          <w:sz w:val="20"/>
          <w:szCs w:val="20"/>
        </w:rPr>
        <w:t>орожного фонда Приморского края.</w:t>
      </w:r>
    </w:p>
  </w:footnote>
  <w:footnote w:id="49">
    <w:p w14:paraId="21647308" w14:textId="77777777" w:rsidR="006A1DF0" w:rsidRDefault="006A1DF0" w:rsidP="00D315BD">
      <w:pPr>
        <w:pStyle w:val="ad"/>
        <w:ind w:firstLine="142"/>
      </w:pPr>
      <w:r>
        <w:rPr>
          <w:rStyle w:val="af"/>
        </w:rPr>
        <w:footnoteRef/>
      </w:r>
      <w:r>
        <w:t xml:space="preserve"> В редакции закона от 01.07.2021.</w:t>
      </w:r>
    </w:p>
  </w:footnote>
  <w:footnote w:id="50">
    <w:p w14:paraId="259DD103" w14:textId="77777777" w:rsidR="006A1DF0" w:rsidRDefault="006A1DF0" w:rsidP="00D315BD">
      <w:pPr>
        <w:pStyle w:val="ad"/>
        <w:ind w:firstLine="142"/>
        <w:jc w:val="both"/>
      </w:pPr>
      <w:r>
        <w:rPr>
          <w:rStyle w:val="af"/>
        </w:rPr>
        <w:footnoteRef/>
      </w:r>
      <w:r>
        <w:t xml:space="preserve"> В 2018 году – 6,83 млн рублей (Октябрьский муниципальный район), 2019 год – 1,77 млн рублей (Кавалеровское городское поселение). В 2020 году и за 9 месяцев 2021 года кассовое исполнение Субсидии отсутствует.</w:t>
      </w:r>
    </w:p>
  </w:footnote>
  <w:footnote w:id="51">
    <w:p w14:paraId="076C0696" w14:textId="60FA1D44" w:rsidR="006A1DF0" w:rsidRDefault="006A1DF0" w:rsidP="00BF4C80">
      <w:pPr>
        <w:pStyle w:val="ad"/>
        <w:ind w:firstLine="142"/>
        <w:jc w:val="both"/>
      </w:pPr>
      <w:r>
        <w:rPr>
          <w:rStyle w:val="af"/>
        </w:rPr>
        <w:footnoteRef/>
      </w:r>
      <w:r>
        <w:t xml:space="preserve"> Дополнительные нормативы отчислений от НДФЛ в бюджеты муниципальных районов (муниципальных и городских округов) Приморского края, заменяющие часть дотации на выравнивание бюджетной обеспеченности на 2022 год и плановый период 2023 и 2024 годов, представлены в приложении 2 к законопроекту.</w:t>
      </w:r>
    </w:p>
  </w:footnote>
  <w:footnote w:id="52">
    <w:p w14:paraId="56456449" w14:textId="77777777" w:rsidR="006A1DF0" w:rsidRDefault="006A1DF0" w:rsidP="00BF4C80">
      <w:pPr>
        <w:pStyle w:val="ad"/>
        <w:ind w:firstLine="142"/>
        <w:jc w:val="both"/>
      </w:pPr>
      <w:r>
        <w:rPr>
          <w:rStyle w:val="af"/>
        </w:rPr>
        <w:footnoteRef/>
      </w:r>
      <w:r>
        <w:t xml:space="preserve"> </w:t>
      </w:r>
      <w:r w:rsidRPr="00FA2996">
        <w:t xml:space="preserve">Согласно пункту </w:t>
      </w:r>
      <w:r>
        <w:t>6.1</w:t>
      </w:r>
      <w:r w:rsidRPr="00FA2996">
        <w:t xml:space="preserve"> </w:t>
      </w:r>
      <w:r>
        <w:t>приложения 3</w:t>
      </w:r>
      <w:r w:rsidRPr="00FA2996">
        <w:t xml:space="preserve"> Закона № 271-КЗ </w:t>
      </w:r>
      <w:r>
        <w:t>д</w:t>
      </w:r>
      <w:r w:rsidRPr="00854F0D">
        <w:t xml:space="preserve">опускается утверждение на плановый период нераспределенного между муниципальными районами (муниципальными округами, городскими округами) объема дотаций на выравнивание бюджетной обеспеченности в размере не более 20 </w:t>
      </w:r>
      <w:r>
        <w:t>%</w:t>
      </w:r>
      <w:r w:rsidRPr="00854F0D">
        <w:t xml:space="preserve"> общего объема указанных дотаций, утвержденного на первый год пл</w:t>
      </w:r>
      <w:r>
        <w:t>анового периода, и не более 20 %</w:t>
      </w:r>
      <w:r w:rsidRPr="00854F0D">
        <w:t xml:space="preserve"> общего объема указанных дотаций, утвержденного на второй год планового периода.</w:t>
      </w:r>
    </w:p>
  </w:footnote>
  <w:footnote w:id="53">
    <w:p w14:paraId="3F251C69" w14:textId="77777777" w:rsidR="006A1DF0" w:rsidRDefault="006A1DF0" w:rsidP="00BF4C80">
      <w:pPr>
        <w:pStyle w:val="ad"/>
        <w:ind w:firstLine="142"/>
        <w:jc w:val="both"/>
      </w:pPr>
      <w:r>
        <w:rPr>
          <w:rStyle w:val="af"/>
        </w:rPr>
        <w:footnoteRef/>
      </w:r>
      <w:r>
        <w:t xml:space="preserve"> В соответствии с </w:t>
      </w:r>
      <w:r w:rsidRPr="006D0EAE">
        <w:t>представленн</w:t>
      </w:r>
      <w:r>
        <w:t>ым</w:t>
      </w:r>
      <w:r w:rsidRPr="006D0EAE">
        <w:t xml:space="preserve"> министерством финансов Приморского края расчету налога на доходы физических лиц на 202</w:t>
      </w:r>
      <w:r>
        <w:t>2</w:t>
      </w:r>
      <w:r w:rsidRPr="006D0EAE">
        <w:t xml:space="preserve"> год общая сумма налога, подлежащая зачислению в консолидированный бюджет, составит </w:t>
      </w:r>
      <w:r>
        <w:t>62938,03</w:t>
      </w:r>
      <w:r w:rsidRPr="006D0EAE">
        <w:t xml:space="preserve"> млн рублей. Согласно статье 58 Бюджетного кодекса</w:t>
      </w:r>
      <w:r>
        <w:t xml:space="preserve"> Российской Федерации</w:t>
      </w:r>
      <w:r w:rsidRPr="006D0EAE">
        <w:t xml:space="preserve"> органы государственной власти субъекта Российской Федерации обязаны установить единые и (или) дополнительные нормативы отчислений в местные бюджеты от НДФЛ, исходя из зачисления в местные бюджеты не менее 15</w:t>
      </w:r>
      <w:r>
        <w:t> </w:t>
      </w:r>
      <w:r w:rsidRPr="006D0EAE">
        <w:t xml:space="preserve">% налоговых доходов консолидированного бюджета от указанного налога. Отсюда объем дотации должен быть установлен в размере не менее </w:t>
      </w:r>
      <w:r>
        <w:t>9440,70</w:t>
      </w:r>
      <w:r w:rsidRPr="006D0EAE">
        <w:t xml:space="preserve"> млн рублей.</w:t>
      </w:r>
    </w:p>
  </w:footnote>
  <w:footnote w:id="54">
    <w:p w14:paraId="0DBFC476" w14:textId="77777777" w:rsidR="006A1DF0" w:rsidRDefault="006A1DF0" w:rsidP="00F62185">
      <w:pPr>
        <w:pStyle w:val="ad"/>
        <w:ind w:firstLine="142"/>
      </w:pPr>
      <w:r>
        <w:rPr>
          <w:rStyle w:val="af"/>
        </w:rPr>
        <w:footnoteRef/>
      </w:r>
      <w:r w:rsidRPr="001A61A5">
        <w:t>https://rosstat.gov.ru/compendium/document/13282</w:t>
      </w:r>
      <w:r>
        <w:t>.</w:t>
      </w:r>
    </w:p>
  </w:footnote>
  <w:footnote w:id="55">
    <w:p w14:paraId="32682CC8" w14:textId="49ACE6FB" w:rsidR="006A1DF0" w:rsidRDefault="006A1DF0" w:rsidP="00560014">
      <w:pPr>
        <w:pStyle w:val="ad"/>
        <w:ind w:firstLine="142"/>
        <w:jc w:val="both"/>
      </w:pPr>
      <w:r>
        <w:rPr>
          <w:rStyle w:val="af"/>
        </w:rPr>
        <w:footnoteRef/>
      </w:r>
      <w:r>
        <w:t xml:space="preserve"> Основные направления </w:t>
      </w:r>
      <w:r w:rsidRPr="0009198D">
        <w:t>бюджетной и налоговой политики Приморского края на 2022 год и плановый период 2023 и 2024 годов</w:t>
      </w:r>
      <w:r>
        <w:t xml:space="preserve">; </w:t>
      </w:r>
      <w:r w:rsidRPr="00F534D6">
        <w:t>https://www.primorsky.ru/news/244299/</w:t>
      </w:r>
      <w:r>
        <w:t>.</w:t>
      </w:r>
    </w:p>
  </w:footnote>
  <w:footnote w:id="56">
    <w:p w14:paraId="618AB7D4" w14:textId="0925FFA2" w:rsidR="006A1DF0" w:rsidRDefault="006A1DF0" w:rsidP="00560014">
      <w:pPr>
        <w:pStyle w:val="ad"/>
        <w:ind w:firstLine="142"/>
        <w:jc w:val="both"/>
      </w:pPr>
      <w:r>
        <w:rPr>
          <w:rStyle w:val="af"/>
        </w:rPr>
        <w:footnoteRef/>
      </w:r>
      <w:r>
        <w:t xml:space="preserve"> </w:t>
      </w:r>
      <w:r w:rsidRPr="00636BBF">
        <w:t xml:space="preserve"> https://ebudget.primorsky.ru/Menu/Page/341</w:t>
      </w:r>
      <w:r>
        <w:t>.</w:t>
      </w:r>
    </w:p>
  </w:footnote>
  <w:footnote w:id="57">
    <w:p w14:paraId="64DB00DE" w14:textId="77777777" w:rsidR="006A1DF0" w:rsidRDefault="006A1DF0" w:rsidP="00405811">
      <w:pPr>
        <w:pStyle w:val="ad"/>
        <w:ind w:firstLine="142"/>
        <w:jc w:val="both"/>
      </w:pPr>
      <w:r>
        <w:rPr>
          <w:rStyle w:val="af"/>
        </w:rPr>
        <w:footnoteRef/>
      </w:r>
      <w:r>
        <w:t xml:space="preserve"> В 2018 году – 6,83 млн рублей (Октябрьский муниципальный район), 2019 год – 1,77 млн рублей (Кавалеровское городское поселение). В 2020 году и за 9 месяцев 2021 года кассовое исполнение Субсидии отсутствует.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6B6F1" w14:textId="57ADF6DB" w:rsidR="006A1DF0" w:rsidRPr="00445E82" w:rsidRDefault="006A1DF0">
    <w:pPr>
      <w:pStyle w:val="a9"/>
      <w:jc w:val="center"/>
      <w:rPr>
        <w:rFonts w:ascii="Times New Roman" w:hAnsi="Times New Roman" w:cs="Times New Roman"/>
        <w:color w:val="000000" w:themeColor="text1"/>
      </w:rPr>
    </w:pPr>
    <w:r w:rsidRPr="00445E82">
      <w:rPr>
        <w:rFonts w:ascii="Times New Roman" w:hAnsi="Times New Roman" w:cs="Times New Roman"/>
        <w:color w:val="000000" w:themeColor="text1"/>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4929874"/>
      <w:docPartObj>
        <w:docPartGallery w:val="Page Numbers (Top of Page)"/>
        <w:docPartUnique/>
      </w:docPartObj>
    </w:sdtPr>
    <w:sdtEndPr>
      <w:rPr>
        <w:rFonts w:ascii="Times New Roman" w:hAnsi="Times New Roman" w:cs="Times New Roman"/>
      </w:rPr>
    </w:sdtEndPr>
    <w:sdtContent>
      <w:p w14:paraId="04541E4B" w14:textId="61E8D1AC" w:rsidR="006A1DF0" w:rsidRPr="00934FAE" w:rsidRDefault="006A1DF0">
        <w:pPr>
          <w:pStyle w:val="a9"/>
          <w:jc w:val="center"/>
          <w:rPr>
            <w:rFonts w:ascii="Times New Roman" w:hAnsi="Times New Roman" w:cs="Times New Roman"/>
          </w:rPr>
        </w:pPr>
        <w:r w:rsidRPr="00934FAE">
          <w:rPr>
            <w:rFonts w:ascii="Times New Roman" w:hAnsi="Times New Roman" w:cs="Times New Roman"/>
          </w:rPr>
          <w:fldChar w:fldCharType="begin"/>
        </w:r>
        <w:r w:rsidRPr="00934FAE">
          <w:rPr>
            <w:rFonts w:ascii="Times New Roman" w:hAnsi="Times New Roman" w:cs="Times New Roman"/>
          </w:rPr>
          <w:instrText>PAGE   \* MERGEFORMAT</w:instrText>
        </w:r>
        <w:r w:rsidRPr="00934FAE">
          <w:rPr>
            <w:rFonts w:ascii="Times New Roman" w:hAnsi="Times New Roman" w:cs="Times New Roman"/>
          </w:rPr>
          <w:fldChar w:fldCharType="separate"/>
        </w:r>
        <w:r w:rsidR="009802FB">
          <w:rPr>
            <w:rFonts w:ascii="Times New Roman" w:hAnsi="Times New Roman" w:cs="Times New Roman"/>
            <w:noProof/>
          </w:rPr>
          <w:t>17</w:t>
        </w:r>
        <w:r w:rsidRPr="00934FAE">
          <w:rPr>
            <w:rFonts w:ascii="Times New Roman" w:hAnsi="Times New Roman" w:cs="Times New Roman"/>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979083"/>
      <w:docPartObj>
        <w:docPartGallery w:val="Page Numbers (Top of Page)"/>
        <w:docPartUnique/>
      </w:docPartObj>
    </w:sdtPr>
    <w:sdtEndPr/>
    <w:sdtContent>
      <w:p w14:paraId="66EE2D73" w14:textId="2792B343" w:rsidR="006A1DF0" w:rsidRDefault="006A1DF0">
        <w:pPr>
          <w:pStyle w:val="a9"/>
          <w:jc w:val="center"/>
        </w:pPr>
        <w:r>
          <w:fldChar w:fldCharType="begin"/>
        </w:r>
        <w:r>
          <w:instrText>PAGE   \* MERGEFORMAT</w:instrText>
        </w:r>
        <w:r>
          <w:fldChar w:fldCharType="separate"/>
        </w:r>
        <w:r>
          <w:rPr>
            <w:noProof/>
          </w:rPr>
          <w:t>3</w:t>
        </w:r>
        <w:r>
          <w:fldChar w:fldCharType="end"/>
        </w:r>
      </w:p>
    </w:sdtContent>
  </w:sdt>
  <w:p w14:paraId="48E78E4D" w14:textId="77777777" w:rsidR="006A1DF0" w:rsidRDefault="006A1DF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870C9"/>
    <w:multiLevelType w:val="hybridMultilevel"/>
    <w:tmpl w:val="0A8280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F553FCB"/>
    <w:multiLevelType w:val="multilevel"/>
    <w:tmpl w:val="2A08CD92"/>
    <w:lvl w:ilvl="0">
      <w:start w:val="5"/>
      <w:numFmt w:val="decimal"/>
      <w:lvlText w:val="%1"/>
      <w:lvlJc w:val="left"/>
      <w:pPr>
        <w:ind w:left="576" w:hanging="576"/>
      </w:pPr>
      <w:rPr>
        <w:rFonts w:hint="default"/>
      </w:rPr>
    </w:lvl>
    <w:lvl w:ilvl="1">
      <w:start w:val="3"/>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37476455"/>
    <w:multiLevelType w:val="hybridMultilevel"/>
    <w:tmpl w:val="A53EAF7A"/>
    <w:lvl w:ilvl="0" w:tplc="CE3A23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19058C3"/>
    <w:multiLevelType w:val="hybridMultilevel"/>
    <w:tmpl w:val="C58C36CE"/>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FAF0FCF"/>
    <w:multiLevelType w:val="hybridMultilevel"/>
    <w:tmpl w:val="C840EC5E"/>
    <w:lvl w:ilvl="0" w:tplc="5686A3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2134964"/>
    <w:multiLevelType w:val="multilevel"/>
    <w:tmpl w:val="8C1A6A18"/>
    <w:lvl w:ilvl="0">
      <w:start w:val="9"/>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87C31F8"/>
    <w:multiLevelType w:val="multilevel"/>
    <w:tmpl w:val="5540F2AE"/>
    <w:lvl w:ilvl="0">
      <w:start w:val="1"/>
      <w:numFmt w:val="decimal"/>
      <w:lvlText w:val="7.2.2.%1."/>
      <w:lvlJc w:val="left"/>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9890707"/>
    <w:multiLevelType w:val="hybridMultilevel"/>
    <w:tmpl w:val="7D5CA3D4"/>
    <w:lvl w:ilvl="0" w:tplc="FAA052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C235087"/>
    <w:multiLevelType w:val="multilevel"/>
    <w:tmpl w:val="489CE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3B243BB"/>
    <w:multiLevelType w:val="hybridMultilevel"/>
    <w:tmpl w:val="0BB68E76"/>
    <w:lvl w:ilvl="0" w:tplc="859E96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43B4F57"/>
    <w:multiLevelType w:val="multilevel"/>
    <w:tmpl w:val="E17C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FA3122"/>
    <w:multiLevelType w:val="hybridMultilevel"/>
    <w:tmpl w:val="750E15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ADC2373"/>
    <w:multiLevelType w:val="hybridMultilevel"/>
    <w:tmpl w:val="C92E62AA"/>
    <w:lvl w:ilvl="0" w:tplc="62F23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E5971EB"/>
    <w:multiLevelType w:val="multilevel"/>
    <w:tmpl w:val="140E9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6"/>
  </w:num>
  <w:num w:numId="3">
    <w:abstractNumId w:val="5"/>
  </w:num>
  <w:num w:numId="4">
    <w:abstractNumId w:val="4"/>
  </w:num>
  <w:num w:numId="5">
    <w:abstractNumId w:val="3"/>
  </w:num>
  <w:num w:numId="6">
    <w:abstractNumId w:val="7"/>
  </w:num>
  <w:num w:numId="7">
    <w:abstractNumId w:val="1"/>
  </w:num>
  <w:num w:numId="8">
    <w:abstractNumId w:val="11"/>
  </w:num>
  <w:num w:numId="9">
    <w:abstractNumId w:val="12"/>
  </w:num>
  <w:num w:numId="10">
    <w:abstractNumId w:val="0"/>
  </w:num>
  <w:num w:numId="11">
    <w:abstractNumId w:val="9"/>
  </w:num>
  <w:num w:numId="12">
    <w:abstractNumId w:val="10"/>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ocumentProtection w:edit="readOnly" w:formatting="1" w:enforcement="0"/>
  <w:defaultTabStop w:val="708"/>
  <w:drawingGridHorizontalSpacing w:val="110"/>
  <w:displayHorizontalDrawingGridEvery w:val="2"/>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2A7"/>
    <w:rsid w:val="00000086"/>
    <w:rsid w:val="00000464"/>
    <w:rsid w:val="00000BA9"/>
    <w:rsid w:val="000012BC"/>
    <w:rsid w:val="000015E5"/>
    <w:rsid w:val="00001931"/>
    <w:rsid w:val="00001CBB"/>
    <w:rsid w:val="000036EB"/>
    <w:rsid w:val="00003F38"/>
    <w:rsid w:val="00004D89"/>
    <w:rsid w:val="0000540A"/>
    <w:rsid w:val="000055C3"/>
    <w:rsid w:val="00005656"/>
    <w:rsid w:val="00005B98"/>
    <w:rsid w:val="00005BB7"/>
    <w:rsid w:val="00005C68"/>
    <w:rsid w:val="0000625E"/>
    <w:rsid w:val="00006321"/>
    <w:rsid w:val="000075D5"/>
    <w:rsid w:val="000078CC"/>
    <w:rsid w:val="0001088F"/>
    <w:rsid w:val="00010EB4"/>
    <w:rsid w:val="000113F7"/>
    <w:rsid w:val="00012B7D"/>
    <w:rsid w:val="00013845"/>
    <w:rsid w:val="00013BF6"/>
    <w:rsid w:val="00013C8F"/>
    <w:rsid w:val="0001505F"/>
    <w:rsid w:val="00015356"/>
    <w:rsid w:val="000177E1"/>
    <w:rsid w:val="00017850"/>
    <w:rsid w:val="00017D68"/>
    <w:rsid w:val="000204B9"/>
    <w:rsid w:val="00020600"/>
    <w:rsid w:val="000209AF"/>
    <w:rsid w:val="00021341"/>
    <w:rsid w:val="00022220"/>
    <w:rsid w:val="000222C0"/>
    <w:rsid w:val="000226A2"/>
    <w:rsid w:val="0002372B"/>
    <w:rsid w:val="000246CF"/>
    <w:rsid w:val="000268CE"/>
    <w:rsid w:val="00026B23"/>
    <w:rsid w:val="00026CFB"/>
    <w:rsid w:val="00026EE9"/>
    <w:rsid w:val="00027BBE"/>
    <w:rsid w:val="0003012C"/>
    <w:rsid w:val="000302EF"/>
    <w:rsid w:val="0003074A"/>
    <w:rsid w:val="00031248"/>
    <w:rsid w:val="0003136C"/>
    <w:rsid w:val="000324C5"/>
    <w:rsid w:val="00032F8B"/>
    <w:rsid w:val="0003321D"/>
    <w:rsid w:val="00033AEE"/>
    <w:rsid w:val="000342B1"/>
    <w:rsid w:val="000362CE"/>
    <w:rsid w:val="00036C9D"/>
    <w:rsid w:val="00036D8E"/>
    <w:rsid w:val="00037297"/>
    <w:rsid w:val="00037305"/>
    <w:rsid w:val="00037E03"/>
    <w:rsid w:val="000406E7"/>
    <w:rsid w:val="00040C8F"/>
    <w:rsid w:val="0004120D"/>
    <w:rsid w:val="0004171F"/>
    <w:rsid w:val="00041BAD"/>
    <w:rsid w:val="0004440F"/>
    <w:rsid w:val="00044AB6"/>
    <w:rsid w:val="00044B62"/>
    <w:rsid w:val="000458CA"/>
    <w:rsid w:val="00046217"/>
    <w:rsid w:val="00047E0E"/>
    <w:rsid w:val="0005032A"/>
    <w:rsid w:val="00050A14"/>
    <w:rsid w:val="00050D46"/>
    <w:rsid w:val="00050E05"/>
    <w:rsid w:val="00050E47"/>
    <w:rsid w:val="00050F81"/>
    <w:rsid w:val="0005176B"/>
    <w:rsid w:val="00052429"/>
    <w:rsid w:val="00052661"/>
    <w:rsid w:val="00052A64"/>
    <w:rsid w:val="00052C44"/>
    <w:rsid w:val="00055014"/>
    <w:rsid w:val="00055DE1"/>
    <w:rsid w:val="00056F29"/>
    <w:rsid w:val="00057B36"/>
    <w:rsid w:val="00057DD9"/>
    <w:rsid w:val="0006116B"/>
    <w:rsid w:val="0006133A"/>
    <w:rsid w:val="00061FD3"/>
    <w:rsid w:val="000622DF"/>
    <w:rsid w:val="00062FB3"/>
    <w:rsid w:val="000630B6"/>
    <w:rsid w:val="00063C83"/>
    <w:rsid w:val="000642C5"/>
    <w:rsid w:val="00064F66"/>
    <w:rsid w:val="0006571F"/>
    <w:rsid w:val="00065BCA"/>
    <w:rsid w:val="000660F7"/>
    <w:rsid w:val="00066DAE"/>
    <w:rsid w:val="00067AEE"/>
    <w:rsid w:val="00067B95"/>
    <w:rsid w:val="00067F01"/>
    <w:rsid w:val="00070860"/>
    <w:rsid w:val="00070B39"/>
    <w:rsid w:val="00071C4F"/>
    <w:rsid w:val="00073201"/>
    <w:rsid w:val="00073F0F"/>
    <w:rsid w:val="00074B2C"/>
    <w:rsid w:val="000752A3"/>
    <w:rsid w:val="000753D6"/>
    <w:rsid w:val="00075983"/>
    <w:rsid w:val="0007615A"/>
    <w:rsid w:val="0007784A"/>
    <w:rsid w:val="000779A1"/>
    <w:rsid w:val="00081732"/>
    <w:rsid w:val="00081C28"/>
    <w:rsid w:val="000829A6"/>
    <w:rsid w:val="00083532"/>
    <w:rsid w:val="00084D64"/>
    <w:rsid w:val="000862E5"/>
    <w:rsid w:val="00087460"/>
    <w:rsid w:val="000874A1"/>
    <w:rsid w:val="00087655"/>
    <w:rsid w:val="00087AD2"/>
    <w:rsid w:val="00090472"/>
    <w:rsid w:val="000907B4"/>
    <w:rsid w:val="00090CC4"/>
    <w:rsid w:val="000915E3"/>
    <w:rsid w:val="00092528"/>
    <w:rsid w:val="000926B6"/>
    <w:rsid w:val="00093111"/>
    <w:rsid w:val="0009315D"/>
    <w:rsid w:val="0009318E"/>
    <w:rsid w:val="00093BE8"/>
    <w:rsid w:val="00094063"/>
    <w:rsid w:val="00095120"/>
    <w:rsid w:val="0009596A"/>
    <w:rsid w:val="000962FD"/>
    <w:rsid w:val="00096575"/>
    <w:rsid w:val="0009727E"/>
    <w:rsid w:val="00097CC6"/>
    <w:rsid w:val="000A0613"/>
    <w:rsid w:val="000A2CF8"/>
    <w:rsid w:val="000A3640"/>
    <w:rsid w:val="000A3778"/>
    <w:rsid w:val="000A3AB7"/>
    <w:rsid w:val="000A3BD5"/>
    <w:rsid w:val="000A3BDE"/>
    <w:rsid w:val="000A4E36"/>
    <w:rsid w:val="000A67D2"/>
    <w:rsid w:val="000A6C1F"/>
    <w:rsid w:val="000A7148"/>
    <w:rsid w:val="000A7551"/>
    <w:rsid w:val="000A7739"/>
    <w:rsid w:val="000B1568"/>
    <w:rsid w:val="000B1663"/>
    <w:rsid w:val="000B1DCA"/>
    <w:rsid w:val="000B1FB4"/>
    <w:rsid w:val="000B27BB"/>
    <w:rsid w:val="000B357D"/>
    <w:rsid w:val="000B395A"/>
    <w:rsid w:val="000B3BA9"/>
    <w:rsid w:val="000B3CF8"/>
    <w:rsid w:val="000B3FBC"/>
    <w:rsid w:val="000B4EA2"/>
    <w:rsid w:val="000B532C"/>
    <w:rsid w:val="000B5E56"/>
    <w:rsid w:val="000B6122"/>
    <w:rsid w:val="000B63C2"/>
    <w:rsid w:val="000B7E08"/>
    <w:rsid w:val="000C06E2"/>
    <w:rsid w:val="000C166A"/>
    <w:rsid w:val="000C4498"/>
    <w:rsid w:val="000C49C7"/>
    <w:rsid w:val="000C52CE"/>
    <w:rsid w:val="000C5AE4"/>
    <w:rsid w:val="000C5BCD"/>
    <w:rsid w:val="000C5E78"/>
    <w:rsid w:val="000C6BAD"/>
    <w:rsid w:val="000C74FA"/>
    <w:rsid w:val="000D0346"/>
    <w:rsid w:val="000D1A7B"/>
    <w:rsid w:val="000D206D"/>
    <w:rsid w:val="000D23EA"/>
    <w:rsid w:val="000D3CA7"/>
    <w:rsid w:val="000D4436"/>
    <w:rsid w:val="000D562B"/>
    <w:rsid w:val="000D65A4"/>
    <w:rsid w:val="000D7AD5"/>
    <w:rsid w:val="000E0865"/>
    <w:rsid w:val="000E1426"/>
    <w:rsid w:val="000E1E37"/>
    <w:rsid w:val="000E20DB"/>
    <w:rsid w:val="000E2BF2"/>
    <w:rsid w:val="000E41C6"/>
    <w:rsid w:val="000E4A0A"/>
    <w:rsid w:val="000E4D38"/>
    <w:rsid w:val="000E4D85"/>
    <w:rsid w:val="000E526E"/>
    <w:rsid w:val="000E58C4"/>
    <w:rsid w:val="000E5971"/>
    <w:rsid w:val="000E6E07"/>
    <w:rsid w:val="000E6EB4"/>
    <w:rsid w:val="000E6EBB"/>
    <w:rsid w:val="000F1829"/>
    <w:rsid w:val="000F2346"/>
    <w:rsid w:val="000F2B54"/>
    <w:rsid w:val="000F37D9"/>
    <w:rsid w:val="000F3B26"/>
    <w:rsid w:val="000F4BFD"/>
    <w:rsid w:val="000F63A5"/>
    <w:rsid w:val="000F7540"/>
    <w:rsid w:val="000F773A"/>
    <w:rsid w:val="000F7972"/>
    <w:rsid w:val="000F7C42"/>
    <w:rsid w:val="000F7D28"/>
    <w:rsid w:val="00100736"/>
    <w:rsid w:val="00100A57"/>
    <w:rsid w:val="00100FA0"/>
    <w:rsid w:val="00101034"/>
    <w:rsid w:val="00101457"/>
    <w:rsid w:val="00102854"/>
    <w:rsid w:val="00102CED"/>
    <w:rsid w:val="00102F11"/>
    <w:rsid w:val="001042DD"/>
    <w:rsid w:val="0010446A"/>
    <w:rsid w:val="0010471B"/>
    <w:rsid w:val="00105190"/>
    <w:rsid w:val="001061CD"/>
    <w:rsid w:val="00106914"/>
    <w:rsid w:val="001069A7"/>
    <w:rsid w:val="00106D2C"/>
    <w:rsid w:val="00106D71"/>
    <w:rsid w:val="00107466"/>
    <w:rsid w:val="00107C6A"/>
    <w:rsid w:val="00112146"/>
    <w:rsid w:val="00112417"/>
    <w:rsid w:val="001130B2"/>
    <w:rsid w:val="00113CB2"/>
    <w:rsid w:val="001147A1"/>
    <w:rsid w:val="00114D25"/>
    <w:rsid w:val="00114D9F"/>
    <w:rsid w:val="00114E62"/>
    <w:rsid w:val="001151C3"/>
    <w:rsid w:val="001151C5"/>
    <w:rsid w:val="001158BA"/>
    <w:rsid w:val="001159B1"/>
    <w:rsid w:val="00117A76"/>
    <w:rsid w:val="00117D35"/>
    <w:rsid w:val="00117D68"/>
    <w:rsid w:val="00117F0E"/>
    <w:rsid w:val="00120873"/>
    <w:rsid w:val="00121072"/>
    <w:rsid w:val="00122399"/>
    <w:rsid w:val="00122E79"/>
    <w:rsid w:val="001233E2"/>
    <w:rsid w:val="001236F1"/>
    <w:rsid w:val="00124E6D"/>
    <w:rsid w:val="00125B8E"/>
    <w:rsid w:val="00126535"/>
    <w:rsid w:val="001265BC"/>
    <w:rsid w:val="00126E0F"/>
    <w:rsid w:val="001309AD"/>
    <w:rsid w:val="00131E06"/>
    <w:rsid w:val="001321B4"/>
    <w:rsid w:val="00132D3C"/>
    <w:rsid w:val="001350DE"/>
    <w:rsid w:val="001351AD"/>
    <w:rsid w:val="00135493"/>
    <w:rsid w:val="00135661"/>
    <w:rsid w:val="00135B3B"/>
    <w:rsid w:val="001363AF"/>
    <w:rsid w:val="0013732D"/>
    <w:rsid w:val="00137674"/>
    <w:rsid w:val="001378C6"/>
    <w:rsid w:val="00137BB4"/>
    <w:rsid w:val="00141010"/>
    <w:rsid w:val="0014141B"/>
    <w:rsid w:val="00141FB1"/>
    <w:rsid w:val="00142982"/>
    <w:rsid w:val="001429BF"/>
    <w:rsid w:val="00142CFC"/>
    <w:rsid w:val="001431A0"/>
    <w:rsid w:val="0014327C"/>
    <w:rsid w:val="00143590"/>
    <w:rsid w:val="001435C0"/>
    <w:rsid w:val="00144E60"/>
    <w:rsid w:val="001454E4"/>
    <w:rsid w:val="0014556C"/>
    <w:rsid w:val="00145F86"/>
    <w:rsid w:val="00146B64"/>
    <w:rsid w:val="00146FB7"/>
    <w:rsid w:val="001470A3"/>
    <w:rsid w:val="001507DE"/>
    <w:rsid w:val="00150C67"/>
    <w:rsid w:val="00150CEA"/>
    <w:rsid w:val="001516C7"/>
    <w:rsid w:val="001521AD"/>
    <w:rsid w:val="00152210"/>
    <w:rsid w:val="0015269C"/>
    <w:rsid w:val="00152A1E"/>
    <w:rsid w:val="00152BC4"/>
    <w:rsid w:val="001530BA"/>
    <w:rsid w:val="001533B1"/>
    <w:rsid w:val="0015346C"/>
    <w:rsid w:val="00155D99"/>
    <w:rsid w:val="001560B7"/>
    <w:rsid w:val="00156912"/>
    <w:rsid w:val="00157FB7"/>
    <w:rsid w:val="001609D3"/>
    <w:rsid w:val="00160ADD"/>
    <w:rsid w:val="00161073"/>
    <w:rsid w:val="00161A02"/>
    <w:rsid w:val="001624CF"/>
    <w:rsid w:val="00162B17"/>
    <w:rsid w:val="00163313"/>
    <w:rsid w:val="00163683"/>
    <w:rsid w:val="001661AA"/>
    <w:rsid w:val="00166214"/>
    <w:rsid w:val="00166505"/>
    <w:rsid w:val="00166A3C"/>
    <w:rsid w:val="00166ADA"/>
    <w:rsid w:val="00167412"/>
    <w:rsid w:val="0016775D"/>
    <w:rsid w:val="0017036C"/>
    <w:rsid w:val="0017073C"/>
    <w:rsid w:val="001714BF"/>
    <w:rsid w:val="00171772"/>
    <w:rsid w:val="00171A57"/>
    <w:rsid w:val="00171FD6"/>
    <w:rsid w:val="0017223C"/>
    <w:rsid w:val="0017317B"/>
    <w:rsid w:val="00173A02"/>
    <w:rsid w:val="00175826"/>
    <w:rsid w:val="00176185"/>
    <w:rsid w:val="001768A8"/>
    <w:rsid w:val="00177C5A"/>
    <w:rsid w:val="00180A04"/>
    <w:rsid w:val="001810EC"/>
    <w:rsid w:val="001813C8"/>
    <w:rsid w:val="0018164E"/>
    <w:rsid w:val="00181ECF"/>
    <w:rsid w:val="00182DC5"/>
    <w:rsid w:val="001830C1"/>
    <w:rsid w:val="0018350F"/>
    <w:rsid w:val="00186ACC"/>
    <w:rsid w:val="00186CBB"/>
    <w:rsid w:val="00186D55"/>
    <w:rsid w:val="00186FC2"/>
    <w:rsid w:val="00187313"/>
    <w:rsid w:val="0018798B"/>
    <w:rsid w:val="00187B66"/>
    <w:rsid w:val="00187ECD"/>
    <w:rsid w:val="00190D39"/>
    <w:rsid w:val="00190D81"/>
    <w:rsid w:val="00191227"/>
    <w:rsid w:val="001916CC"/>
    <w:rsid w:val="00191880"/>
    <w:rsid w:val="00191927"/>
    <w:rsid w:val="001934C3"/>
    <w:rsid w:val="00194C2A"/>
    <w:rsid w:val="00195AF1"/>
    <w:rsid w:val="0019628E"/>
    <w:rsid w:val="00196398"/>
    <w:rsid w:val="00196E06"/>
    <w:rsid w:val="00197A12"/>
    <w:rsid w:val="00197DE7"/>
    <w:rsid w:val="001A1350"/>
    <w:rsid w:val="001A1F39"/>
    <w:rsid w:val="001A230C"/>
    <w:rsid w:val="001A26FF"/>
    <w:rsid w:val="001A29DA"/>
    <w:rsid w:val="001A2DD2"/>
    <w:rsid w:val="001A2F70"/>
    <w:rsid w:val="001A31D1"/>
    <w:rsid w:val="001A33D0"/>
    <w:rsid w:val="001A3EF8"/>
    <w:rsid w:val="001A3F50"/>
    <w:rsid w:val="001A4ED0"/>
    <w:rsid w:val="001A6063"/>
    <w:rsid w:val="001A7475"/>
    <w:rsid w:val="001A75BF"/>
    <w:rsid w:val="001A7CFA"/>
    <w:rsid w:val="001B0163"/>
    <w:rsid w:val="001B0166"/>
    <w:rsid w:val="001B07CE"/>
    <w:rsid w:val="001B12A9"/>
    <w:rsid w:val="001B1BB9"/>
    <w:rsid w:val="001B2D91"/>
    <w:rsid w:val="001B2FB1"/>
    <w:rsid w:val="001B36D3"/>
    <w:rsid w:val="001B4300"/>
    <w:rsid w:val="001B493D"/>
    <w:rsid w:val="001B581E"/>
    <w:rsid w:val="001B61CC"/>
    <w:rsid w:val="001B6387"/>
    <w:rsid w:val="001B6940"/>
    <w:rsid w:val="001B7389"/>
    <w:rsid w:val="001B7691"/>
    <w:rsid w:val="001C037C"/>
    <w:rsid w:val="001C0BFD"/>
    <w:rsid w:val="001C1552"/>
    <w:rsid w:val="001C1C78"/>
    <w:rsid w:val="001C4AA7"/>
    <w:rsid w:val="001C4B48"/>
    <w:rsid w:val="001C61A0"/>
    <w:rsid w:val="001C62D0"/>
    <w:rsid w:val="001C69C6"/>
    <w:rsid w:val="001C7635"/>
    <w:rsid w:val="001C7DF7"/>
    <w:rsid w:val="001D0A6B"/>
    <w:rsid w:val="001D19E6"/>
    <w:rsid w:val="001D1EAE"/>
    <w:rsid w:val="001D1F1F"/>
    <w:rsid w:val="001D2D33"/>
    <w:rsid w:val="001D487A"/>
    <w:rsid w:val="001D5AAF"/>
    <w:rsid w:val="001D698F"/>
    <w:rsid w:val="001D6BEE"/>
    <w:rsid w:val="001D6C99"/>
    <w:rsid w:val="001D715A"/>
    <w:rsid w:val="001D7DB6"/>
    <w:rsid w:val="001E0863"/>
    <w:rsid w:val="001E0A65"/>
    <w:rsid w:val="001E14C4"/>
    <w:rsid w:val="001E19D0"/>
    <w:rsid w:val="001E1AC1"/>
    <w:rsid w:val="001E1AE7"/>
    <w:rsid w:val="001E1D25"/>
    <w:rsid w:val="001E2837"/>
    <w:rsid w:val="001E2DB6"/>
    <w:rsid w:val="001E36D1"/>
    <w:rsid w:val="001E3B90"/>
    <w:rsid w:val="001E4354"/>
    <w:rsid w:val="001E5BFD"/>
    <w:rsid w:val="001E5E99"/>
    <w:rsid w:val="001E5F95"/>
    <w:rsid w:val="001E7474"/>
    <w:rsid w:val="001F0722"/>
    <w:rsid w:val="001F133D"/>
    <w:rsid w:val="001F14A3"/>
    <w:rsid w:val="001F31C3"/>
    <w:rsid w:val="001F4A45"/>
    <w:rsid w:val="001F547D"/>
    <w:rsid w:val="001F5CF0"/>
    <w:rsid w:val="001F634A"/>
    <w:rsid w:val="001F687B"/>
    <w:rsid w:val="001F6E41"/>
    <w:rsid w:val="001F7070"/>
    <w:rsid w:val="001F7388"/>
    <w:rsid w:val="001F7DB2"/>
    <w:rsid w:val="002000F5"/>
    <w:rsid w:val="002002AC"/>
    <w:rsid w:val="00200578"/>
    <w:rsid w:val="0020206D"/>
    <w:rsid w:val="002022AD"/>
    <w:rsid w:val="0020255B"/>
    <w:rsid w:val="00203ECA"/>
    <w:rsid w:val="0020468D"/>
    <w:rsid w:val="00206E8E"/>
    <w:rsid w:val="00207B86"/>
    <w:rsid w:val="002100AB"/>
    <w:rsid w:val="002115DC"/>
    <w:rsid w:val="002116D2"/>
    <w:rsid w:val="00211CC8"/>
    <w:rsid w:val="00211FD3"/>
    <w:rsid w:val="00214445"/>
    <w:rsid w:val="00214CFC"/>
    <w:rsid w:val="00215F9F"/>
    <w:rsid w:val="002160EB"/>
    <w:rsid w:val="0021611B"/>
    <w:rsid w:val="0021622F"/>
    <w:rsid w:val="00216A62"/>
    <w:rsid w:val="00216B74"/>
    <w:rsid w:val="00216C4D"/>
    <w:rsid w:val="00220689"/>
    <w:rsid w:val="002206EE"/>
    <w:rsid w:val="00221664"/>
    <w:rsid w:val="00222005"/>
    <w:rsid w:val="00222297"/>
    <w:rsid w:val="00222944"/>
    <w:rsid w:val="00224DCA"/>
    <w:rsid w:val="00224FE1"/>
    <w:rsid w:val="0022516B"/>
    <w:rsid w:val="0022592E"/>
    <w:rsid w:val="00225B5F"/>
    <w:rsid w:val="002260FA"/>
    <w:rsid w:val="00226830"/>
    <w:rsid w:val="0022703D"/>
    <w:rsid w:val="00227CC6"/>
    <w:rsid w:val="0023180B"/>
    <w:rsid w:val="00231EBE"/>
    <w:rsid w:val="00232829"/>
    <w:rsid w:val="00232A47"/>
    <w:rsid w:val="002331BF"/>
    <w:rsid w:val="00234593"/>
    <w:rsid w:val="00234825"/>
    <w:rsid w:val="00234A03"/>
    <w:rsid w:val="00234D91"/>
    <w:rsid w:val="00236DCF"/>
    <w:rsid w:val="00237F65"/>
    <w:rsid w:val="0024201E"/>
    <w:rsid w:val="00242FE6"/>
    <w:rsid w:val="00243017"/>
    <w:rsid w:val="0024385C"/>
    <w:rsid w:val="00243EC1"/>
    <w:rsid w:val="00244448"/>
    <w:rsid w:val="00244908"/>
    <w:rsid w:val="00244FC3"/>
    <w:rsid w:val="00245290"/>
    <w:rsid w:val="00246AC7"/>
    <w:rsid w:val="0024735B"/>
    <w:rsid w:val="0024741C"/>
    <w:rsid w:val="00247FB1"/>
    <w:rsid w:val="00250AB9"/>
    <w:rsid w:val="00250F56"/>
    <w:rsid w:val="00251206"/>
    <w:rsid w:val="00251472"/>
    <w:rsid w:val="00251934"/>
    <w:rsid w:val="0025213B"/>
    <w:rsid w:val="0025238C"/>
    <w:rsid w:val="00253016"/>
    <w:rsid w:val="0025393E"/>
    <w:rsid w:val="0025399D"/>
    <w:rsid w:val="00255055"/>
    <w:rsid w:val="0025545C"/>
    <w:rsid w:val="00255821"/>
    <w:rsid w:val="00256A9C"/>
    <w:rsid w:val="002573F4"/>
    <w:rsid w:val="002575EA"/>
    <w:rsid w:val="00257B61"/>
    <w:rsid w:val="00257C93"/>
    <w:rsid w:val="00260E99"/>
    <w:rsid w:val="00261A04"/>
    <w:rsid w:val="00262DB8"/>
    <w:rsid w:val="00262FE6"/>
    <w:rsid w:val="002631DD"/>
    <w:rsid w:val="002632B9"/>
    <w:rsid w:val="002636FD"/>
    <w:rsid w:val="00265B03"/>
    <w:rsid w:val="002672E7"/>
    <w:rsid w:val="0026739F"/>
    <w:rsid w:val="002675E5"/>
    <w:rsid w:val="00267945"/>
    <w:rsid w:val="0027033E"/>
    <w:rsid w:val="00270A83"/>
    <w:rsid w:val="00270B6C"/>
    <w:rsid w:val="00270C3C"/>
    <w:rsid w:val="00270CA4"/>
    <w:rsid w:val="00271628"/>
    <w:rsid w:val="00272907"/>
    <w:rsid w:val="00272F29"/>
    <w:rsid w:val="00277711"/>
    <w:rsid w:val="0027781F"/>
    <w:rsid w:val="00277DB7"/>
    <w:rsid w:val="00280078"/>
    <w:rsid w:val="00280C41"/>
    <w:rsid w:val="002814E4"/>
    <w:rsid w:val="002832E2"/>
    <w:rsid w:val="002841E6"/>
    <w:rsid w:val="0028528C"/>
    <w:rsid w:val="002852DF"/>
    <w:rsid w:val="0028536A"/>
    <w:rsid w:val="002858E4"/>
    <w:rsid w:val="00286592"/>
    <w:rsid w:val="00286708"/>
    <w:rsid w:val="0028692C"/>
    <w:rsid w:val="00287EDF"/>
    <w:rsid w:val="00290470"/>
    <w:rsid w:val="00291129"/>
    <w:rsid w:val="00291A43"/>
    <w:rsid w:val="00291E44"/>
    <w:rsid w:val="00292654"/>
    <w:rsid w:val="00293370"/>
    <w:rsid w:val="0029405E"/>
    <w:rsid w:val="002946D0"/>
    <w:rsid w:val="00295CD5"/>
    <w:rsid w:val="00296183"/>
    <w:rsid w:val="00296B94"/>
    <w:rsid w:val="00297AE0"/>
    <w:rsid w:val="002A0AF3"/>
    <w:rsid w:val="002A1351"/>
    <w:rsid w:val="002A399F"/>
    <w:rsid w:val="002A4231"/>
    <w:rsid w:val="002A4A07"/>
    <w:rsid w:val="002A4E95"/>
    <w:rsid w:val="002A52A9"/>
    <w:rsid w:val="002A603E"/>
    <w:rsid w:val="002A6256"/>
    <w:rsid w:val="002A6D7D"/>
    <w:rsid w:val="002A7102"/>
    <w:rsid w:val="002A75A7"/>
    <w:rsid w:val="002A7E75"/>
    <w:rsid w:val="002B0083"/>
    <w:rsid w:val="002B0530"/>
    <w:rsid w:val="002B05C4"/>
    <w:rsid w:val="002B0937"/>
    <w:rsid w:val="002B1A2F"/>
    <w:rsid w:val="002B25E5"/>
    <w:rsid w:val="002B3007"/>
    <w:rsid w:val="002B3975"/>
    <w:rsid w:val="002B3C2A"/>
    <w:rsid w:val="002B403E"/>
    <w:rsid w:val="002B4770"/>
    <w:rsid w:val="002B4811"/>
    <w:rsid w:val="002B5452"/>
    <w:rsid w:val="002B594E"/>
    <w:rsid w:val="002B603F"/>
    <w:rsid w:val="002B68A6"/>
    <w:rsid w:val="002B71D2"/>
    <w:rsid w:val="002C0A51"/>
    <w:rsid w:val="002C0E07"/>
    <w:rsid w:val="002C168C"/>
    <w:rsid w:val="002C170E"/>
    <w:rsid w:val="002C2427"/>
    <w:rsid w:val="002C2F91"/>
    <w:rsid w:val="002C442D"/>
    <w:rsid w:val="002C448F"/>
    <w:rsid w:val="002C60D2"/>
    <w:rsid w:val="002C6153"/>
    <w:rsid w:val="002C728E"/>
    <w:rsid w:val="002C7CA4"/>
    <w:rsid w:val="002D155D"/>
    <w:rsid w:val="002D1671"/>
    <w:rsid w:val="002D19A0"/>
    <w:rsid w:val="002D24A1"/>
    <w:rsid w:val="002D3A84"/>
    <w:rsid w:val="002D3F54"/>
    <w:rsid w:val="002D4005"/>
    <w:rsid w:val="002D420F"/>
    <w:rsid w:val="002D4FA2"/>
    <w:rsid w:val="002D5FD9"/>
    <w:rsid w:val="002D6751"/>
    <w:rsid w:val="002D6C0F"/>
    <w:rsid w:val="002D7650"/>
    <w:rsid w:val="002E0277"/>
    <w:rsid w:val="002E0836"/>
    <w:rsid w:val="002E097E"/>
    <w:rsid w:val="002E0CB4"/>
    <w:rsid w:val="002E19EA"/>
    <w:rsid w:val="002E22B1"/>
    <w:rsid w:val="002E319F"/>
    <w:rsid w:val="002E4CD9"/>
    <w:rsid w:val="002E62E8"/>
    <w:rsid w:val="002E6796"/>
    <w:rsid w:val="002E750A"/>
    <w:rsid w:val="002E7523"/>
    <w:rsid w:val="002E7545"/>
    <w:rsid w:val="002E774B"/>
    <w:rsid w:val="002F009B"/>
    <w:rsid w:val="002F070D"/>
    <w:rsid w:val="002F07F6"/>
    <w:rsid w:val="002F117A"/>
    <w:rsid w:val="002F11AE"/>
    <w:rsid w:val="002F1839"/>
    <w:rsid w:val="002F223F"/>
    <w:rsid w:val="002F30CB"/>
    <w:rsid w:val="002F3B44"/>
    <w:rsid w:val="002F4898"/>
    <w:rsid w:val="002F5440"/>
    <w:rsid w:val="002F57BE"/>
    <w:rsid w:val="002F5CB4"/>
    <w:rsid w:val="002F5F27"/>
    <w:rsid w:val="002F6115"/>
    <w:rsid w:val="002F6907"/>
    <w:rsid w:val="002F719F"/>
    <w:rsid w:val="002F727A"/>
    <w:rsid w:val="0030176E"/>
    <w:rsid w:val="003024EA"/>
    <w:rsid w:val="00302C07"/>
    <w:rsid w:val="003054D9"/>
    <w:rsid w:val="003058F0"/>
    <w:rsid w:val="00306871"/>
    <w:rsid w:val="00306AD8"/>
    <w:rsid w:val="00306BA6"/>
    <w:rsid w:val="00306F28"/>
    <w:rsid w:val="003073E8"/>
    <w:rsid w:val="00307531"/>
    <w:rsid w:val="003079A2"/>
    <w:rsid w:val="003101BB"/>
    <w:rsid w:val="003104B6"/>
    <w:rsid w:val="003111CD"/>
    <w:rsid w:val="00311F21"/>
    <w:rsid w:val="00312138"/>
    <w:rsid w:val="003133B5"/>
    <w:rsid w:val="00313881"/>
    <w:rsid w:val="0031547C"/>
    <w:rsid w:val="00315FA0"/>
    <w:rsid w:val="00316269"/>
    <w:rsid w:val="00316DE5"/>
    <w:rsid w:val="00317259"/>
    <w:rsid w:val="00317557"/>
    <w:rsid w:val="0032153C"/>
    <w:rsid w:val="003217EA"/>
    <w:rsid w:val="0032274C"/>
    <w:rsid w:val="003232BF"/>
    <w:rsid w:val="0032400A"/>
    <w:rsid w:val="003241CF"/>
    <w:rsid w:val="00326015"/>
    <w:rsid w:val="00326059"/>
    <w:rsid w:val="00326325"/>
    <w:rsid w:val="00326434"/>
    <w:rsid w:val="00326533"/>
    <w:rsid w:val="00326E78"/>
    <w:rsid w:val="003327EC"/>
    <w:rsid w:val="00332BFC"/>
    <w:rsid w:val="00333C44"/>
    <w:rsid w:val="00334BE0"/>
    <w:rsid w:val="00334FD2"/>
    <w:rsid w:val="0033506F"/>
    <w:rsid w:val="00335AE6"/>
    <w:rsid w:val="00335AF7"/>
    <w:rsid w:val="00340EE1"/>
    <w:rsid w:val="003425A8"/>
    <w:rsid w:val="003427E9"/>
    <w:rsid w:val="00342827"/>
    <w:rsid w:val="00343B48"/>
    <w:rsid w:val="00344096"/>
    <w:rsid w:val="003443E6"/>
    <w:rsid w:val="0034637E"/>
    <w:rsid w:val="00346BE0"/>
    <w:rsid w:val="003470E7"/>
    <w:rsid w:val="0034761C"/>
    <w:rsid w:val="0035009E"/>
    <w:rsid w:val="00350CEC"/>
    <w:rsid w:val="00350DF2"/>
    <w:rsid w:val="00351255"/>
    <w:rsid w:val="0035304C"/>
    <w:rsid w:val="00353790"/>
    <w:rsid w:val="00353914"/>
    <w:rsid w:val="00353FA6"/>
    <w:rsid w:val="00354C21"/>
    <w:rsid w:val="0035528A"/>
    <w:rsid w:val="003560A8"/>
    <w:rsid w:val="00356440"/>
    <w:rsid w:val="00356D7C"/>
    <w:rsid w:val="00357975"/>
    <w:rsid w:val="00360322"/>
    <w:rsid w:val="003606E5"/>
    <w:rsid w:val="00361311"/>
    <w:rsid w:val="0036139F"/>
    <w:rsid w:val="003614E6"/>
    <w:rsid w:val="00361561"/>
    <w:rsid w:val="00362243"/>
    <w:rsid w:val="00362E76"/>
    <w:rsid w:val="0036336D"/>
    <w:rsid w:val="00364E92"/>
    <w:rsid w:val="0036655F"/>
    <w:rsid w:val="003669D4"/>
    <w:rsid w:val="00367441"/>
    <w:rsid w:val="00367DB5"/>
    <w:rsid w:val="00370FF7"/>
    <w:rsid w:val="003714D5"/>
    <w:rsid w:val="003718A7"/>
    <w:rsid w:val="003719CE"/>
    <w:rsid w:val="00371A44"/>
    <w:rsid w:val="003724AA"/>
    <w:rsid w:val="00372FF8"/>
    <w:rsid w:val="0037341D"/>
    <w:rsid w:val="0037475A"/>
    <w:rsid w:val="00374D1C"/>
    <w:rsid w:val="00375373"/>
    <w:rsid w:val="00375C8B"/>
    <w:rsid w:val="0037689E"/>
    <w:rsid w:val="00376A32"/>
    <w:rsid w:val="003817C0"/>
    <w:rsid w:val="00381807"/>
    <w:rsid w:val="003819E8"/>
    <w:rsid w:val="00383619"/>
    <w:rsid w:val="00383D4C"/>
    <w:rsid w:val="00384C3B"/>
    <w:rsid w:val="0038541E"/>
    <w:rsid w:val="0038579E"/>
    <w:rsid w:val="0038588A"/>
    <w:rsid w:val="00386696"/>
    <w:rsid w:val="00386A90"/>
    <w:rsid w:val="00386F64"/>
    <w:rsid w:val="003871B4"/>
    <w:rsid w:val="00387252"/>
    <w:rsid w:val="00390430"/>
    <w:rsid w:val="003926F1"/>
    <w:rsid w:val="00393304"/>
    <w:rsid w:val="00393484"/>
    <w:rsid w:val="003941FC"/>
    <w:rsid w:val="003945F0"/>
    <w:rsid w:val="00395BF2"/>
    <w:rsid w:val="00395CD0"/>
    <w:rsid w:val="00395EC5"/>
    <w:rsid w:val="0039645A"/>
    <w:rsid w:val="0039672D"/>
    <w:rsid w:val="003A06EC"/>
    <w:rsid w:val="003A16B0"/>
    <w:rsid w:val="003A1809"/>
    <w:rsid w:val="003A19C0"/>
    <w:rsid w:val="003A2A67"/>
    <w:rsid w:val="003A319E"/>
    <w:rsid w:val="003A37FD"/>
    <w:rsid w:val="003A481D"/>
    <w:rsid w:val="003B04F6"/>
    <w:rsid w:val="003B06D4"/>
    <w:rsid w:val="003B0C6E"/>
    <w:rsid w:val="003B11C0"/>
    <w:rsid w:val="003B28AC"/>
    <w:rsid w:val="003B39D3"/>
    <w:rsid w:val="003C356F"/>
    <w:rsid w:val="003C3D42"/>
    <w:rsid w:val="003C4F9D"/>
    <w:rsid w:val="003C52E7"/>
    <w:rsid w:val="003C546A"/>
    <w:rsid w:val="003C5DCD"/>
    <w:rsid w:val="003C7BC6"/>
    <w:rsid w:val="003D0397"/>
    <w:rsid w:val="003D10A8"/>
    <w:rsid w:val="003D12CD"/>
    <w:rsid w:val="003D1D8E"/>
    <w:rsid w:val="003D21D7"/>
    <w:rsid w:val="003D2481"/>
    <w:rsid w:val="003D3DC8"/>
    <w:rsid w:val="003D42F8"/>
    <w:rsid w:val="003D4805"/>
    <w:rsid w:val="003D4AC7"/>
    <w:rsid w:val="003D5254"/>
    <w:rsid w:val="003D5340"/>
    <w:rsid w:val="003D5D27"/>
    <w:rsid w:val="003E1477"/>
    <w:rsid w:val="003E2397"/>
    <w:rsid w:val="003E297D"/>
    <w:rsid w:val="003E38AB"/>
    <w:rsid w:val="003E3B2F"/>
    <w:rsid w:val="003E3E01"/>
    <w:rsid w:val="003E403F"/>
    <w:rsid w:val="003E4352"/>
    <w:rsid w:val="003E469A"/>
    <w:rsid w:val="003E46E3"/>
    <w:rsid w:val="003E4BC2"/>
    <w:rsid w:val="003E500F"/>
    <w:rsid w:val="003E5C5F"/>
    <w:rsid w:val="003E673F"/>
    <w:rsid w:val="003E6B85"/>
    <w:rsid w:val="003E7158"/>
    <w:rsid w:val="003E752D"/>
    <w:rsid w:val="003E76B0"/>
    <w:rsid w:val="003F0250"/>
    <w:rsid w:val="003F1B18"/>
    <w:rsid w:val="003F2A79"/>
    <w:rsid w:val="003F2E7F"/>
    <w:rsid w:val="003F311B"/>
    <w:rsid w:val="003F33B3"/>
    <w:rsid w:val="003F35D6"/>
    <w:rsid w:val="003F4A49"/>
    <w:rsid w:val="003F54B2"/>
    <w:rsid w:val="003F55C3"/>
    <w:rsid w:val="003F603A"/>
    <w:rsid w:val="003F60AF"/>
    <w:rsid w:val="003F7476"/>
    <w:rsid w:val="003F78D9"/>
    <w:rsid w:val="004008A3"/>
    <w:rsid w:val="004012E4"/>
    <w:rsid w:val="00402E9B"/>
    <w:rsid w:val="00403A33"/>
    <w:rsid w:val="00404859"/>
    <w:rsid w:val="00404974"/>
    <w:rsid w:val="00405723"/>
    <w:rsid w:val="00405811"/>
    <w:rsid w:val="00405814"/>
    <w:rsid w:val="0040581B"/>
    <w:rsid w:val="0040638B"/>
    <w:rsid w:val="004067CC"/>
    <w:rsid w:val="00406C1D"/>
    <w:rsid w:val="00410B63"/>
    <w:rsid w:val="004128C0"/>
    <w:rsid w:val="004132E5"/>
    <w:rsid w:val="00413EAC"/>
    <w:rsid w:val="0041407A"/>
    <w:rsid w:val="00414B65"/>
    <w:rsid w:val="004150DF"/>
    <w:rsid w:val="00415D57"/>
    <w:rsid w:val="00415F1E"/>
    <w:rsid w:val="00416AD5"/>
    <w:rsid w:val="00417D83"/>
    <w:rsid w:val="004201DA"/>
    <w:rsid w:val="00420C02"/>
    <w:rsid w:val="0042181F"/>
    <w:rsid w:val="00421E50"/>
    <w:rsid w:val="00422277"/>
    <w:rsid w:val="004254A5"/>
    <w:rsid w:val="00425837"/>
    <w:rsid w:val="00425A84"/>
    <w:rsid w:val="00426001"/>
    <w:rsid w:val="004261F0"/>
    <w:rsid w:val="00426BC6"/>
    <w:rsid w:val="0042798E"/>
    <w:rsid w:val="00430DA4"/>
    <w:rsid w:val="00432BB1"/>
    <w:rsid w:val="00433D9F"/>
    <w:rsid w:val="0043457D"/>
    <w:rsid w:val="00434E19"/>
    <w:rsid w:val="00436A78"/>
    <w:rsid w:val="00436E05"/>
    <w:rsid w:val="0043731D"/>
    <w:rsid w:val="00440302"/>
    <w:rsid w:val="004415AF"/>
    <w:rsid w:val="0044192C"/>
    <w:rsid w:val="00442006"/>
    <w:rsid w:val="00442C6B"/>
    <w:rsid w:val="00442F7D"/>
    <w:rsid w:val="0044328F"/>
    <w:rsid w:val="00443340"/>
    <w:rsid w:val="0044429D"/>
    <w:rsid w:val="004443E0"/>
    <w:rsid w:val="00444713"/>
    <w:rsid w:val="0044545B"/>
    <w:rsid w:val="00445E82"/>
    <w:rsid w:val="00445ECC"/>
    <w:rsid w:val="00445F76"/>
    <w:rsid w:val="0044677E"/>
    <w:rsid w:val="004477DA"/>
    <w:rsid w:val="00447AD1"/>
    <w:rsid w:val="00452315"/>
    <w:rsid w:val="00452728"/>
    <w:rsid w:val="0045351C"/>
    <w:rsid w:val="00453797"/>
    <w:rsid w:val="00453F3B"/>
    <w:rsid w:val="00454500"/>
    <w:rsid w:val="00454E28"/>
    <w:rsid w:val="00455C6C"/>
    <w:rsid w:val="004565F9"/>
    <w:rsid w:val="0045694C"/>
    <w:rsid w:val="0045730C"/>
    <w:rsid w:val="00457559"/>
    <w:rsid w:val="004576DF"/>
    <w:rsid w:val="00457D40"/>
    <w:rsid w:val="0046055B"/>
    <w:rsid w:val="00460B15"/>
    <w:rsid w:val="00460D04"/>
    <w:rsid w:val="0046184A"/>
    <w:rsid w:val="00461980"/>
    <w:rsid w:val="00461AFB"/>
    <w:rsid w:val="00462AE2"/>
    <w:rsid w:val="00462BE1"/>
    <w:rsid w:val="00462C5F"/>
    <w:rsid w:val="00463749"/>
    <w:rsid w:val="00463B16"/>
    <w:rsid w:val="00464C64"/>
    <w:rsid w:val="004651AC"/>
    <w:rsid w:val="00465411"/>
    <w:rsid w:val="00465767"/>
    <w:rsid w:val="00467069"/>
    <w:rsid w:val="00470B6F"/>
    <w:rsid w:val="004716CD"/>
    <w:rsid w:val="00472D90"/>
    <w:rsid w:val="00473EEE"/>
    <w:rsid w:val="0047547D"/>
    <w:rsid w:val="0047590F"/>
    <w:rsid w:val="0047596C"/>
    <w:rsid w:val="00476D5F"/>
    <w:rsid w:val="00477570"/>
    <w:rsid w:val="00480134"/>
    <w:rsid w:val="0048083A"/>
    <w:rsid w:val="00480BD2"/>
    <w:rsid w:val="00481402"/>
    <w:rsid w:val="00482631"/>
    <w:rsid w:val="00485DDF"/>
    <w:rsid w:val="0048759E"/>
    <w:rsid w:val="004876EF"/>
    <w:rsid w:val="00487D58"/>
    <w:rsid w:val="00490FC0"/>
    <w:rsid w:val="00491A15"/>
    <w:rsid w:val="00491C35"/>
    <w:rsid w:val="004920FF"/>
    <w:rsid w:val="0049234C"/>
    <w:rsid w:val="004924D7"/>
    <w:rsid w:val="00492D81"/>
    <w:rsid w:val="004935B8"/>
    <w:rsid w:val="00493C82"/>
    <w:rsid w:val="00494251"/>
    <w:rsid w:val="00494809"/>
    <w:rsid w:val="004951BD"/>
    <w:rsid w:val="00495489"/>
    <w:rsid w:val="00495B8B"/>
    <w:rsid w:val="004A055C"/>
    <w:rsid w:val="004A136A"/>
    <w:rsid w:val="004A2409"/>
    <w:rsid w:val="004A277B"/>
    <w:rsid w:val="004A2A5D"/>
    <w:rsid w:val="004A2C71"/>
    <w:rsid w:val="004A3429"/>
    <w:rsid w:val="004A35AB"/>
    <w:rsid w:val="004A46BB"/>
    <w:rsid w:val="004A4CC4"/>
    <w:rsid w:val="004A4F13"/>
    <w:rsid w:val="004A5337"/>
    <w:rsid w:val="004A67A6"/>
    <w:rsid w:val="004A693D"/>
    <w:rsid w:val="004A740D"/>
    <w:rsid w:val="004A7E08"/>
    <w:rsid w:val="004B0BA9"/>
    <w:rsid w:val="004B15D1"/>
    <w:rsid w:val="004B27CA"/>
    <w:rsid w:val="004B2A92"/>
    <w:rsid w:val="004B3420"/>
    <w:rsid w:val="004B45B7"/>
    <w:rsid w:val="004B57FE"/>
    <w:rsid w:val="004B595F"/>
    <w:rsid w:val="004B5ED6"/>
    <w:rsid w:val="004B64CA"/>
    <w:rsid w:val="004B670D"/>
    <w:rsid w:val="004B696F"/>
    <w:rsid w:val="004C022F"/>
    <w:rsid w:val="004C0ECC"/>
    <w:rsid w:val="004C2113"/>
    <w:rsid w:val="004C3027"/>
    <w:rsid w:val="004C3095"/>
    <w:rsid w:val="004C3BA5"/>
    <w:rsid w:val="004C4B3B"/>
    <w:rsid w:val="004C4DD7"/>
    <w:rsid w:val="004C50C6"/>
    <w:rsid w:val="004C5489"/>
    <w:rsid w:val="004C54B8"/>
    <w:rsid w:val="004C5990"/>
    <w:rsid w:val="004C5BE3"/>
    <w:rsid w:val="004C5EC1"/>
    <w:rsid w:val="004C6C2B"/>
    <w:rsid w:val="004C7BF3"/>
    <w:rsid w:val="004C7ECE"/>
    <w:rsid w:val="004D0380"/>
    <w:rsid w:val="004D0745"/>
    <w:rsid w:val="004D16C6"/>
    <w:rsid w:val="004D1943"/>
    <w:rsid w:val="004D1A64"/>
    <w:rsid w:val="004D200C"/>
    <w:rsid w:val="004D2695"/>
    <w:rsid w:val="004D3BCD"/>
    <w:rsid w:val="004D3CCF"/>
    <w:rsid w:val="004D408E"/>
    <w:rsid w:val="004D5093"/>
    <w:rsid w:val="004D5673"/>
    <w:rsid w:val="004D6F1A"/>
    <w:rsid w:val="004D6FF3"/>
    <w:rsid w:val="004E103A"/>
    <w:rsid w:val="004E1F5E"/>
    <w:rsid w:val="004E316E"/>
    <w:rsid w:val="004E3514"/>
    <w:rsid w:val="004E3E6A"/>
    <w:rsid w:val="004E7437"/>
    <w:rsid w:val="004E76F5"/>
    <w:rsid w:val="004F0142"/>
    <w:rsid w:val="004F02DD"/>
    <w:rsid w:val="004F0E1F"/>
    <w:rsid w:val="004F0E9C"/>
    <w:rsid w:val="004F14D6"/>
    <w:rsid w:val="004F1F60"/>
    <w:rsid w:val="004F2360"/>
    <w:rsid w:val="004F275E"/>
    <w:rsid w:val="004F41FB"/>
    <w:rsid w:val="004F4946"/>
    <w:rsid w:val="004F5272"/>
    <w:rsid w:val="004F53CC"/>
    <w:rsid w:val="004F6324"/>
    <w:rsid w:val="004F678C"/>
    <w:rsid w:val="004F697A"/>
    <w:rsid w:val="004F7BE2"/>
    <w:rsid w:val="00500551"/>
    <w:rsid w:val="00500816"/>
    <w:rsid w:val="00500F6B"/>
    <w:rsid w:val="00501402"/>
    <w:rsid w:val="005017FF"/>
    <w:rsid w:val="00501E97"/>
    <w:rsid w:val="0050323B"/>
    <w:rsid w:val="00503877"/>
    <w:rsid w:val="00503E6C"/>
    <w:rsid w:val="00504892"/>
    <w:rsid w:val="00504ADC"/>
    <w:rsid w:val="005050EC"/>
    <w:rsid w:val="0050672B"/>
    <w:rsid w:val="00506B3A"/>
    <w:rsid w:val="00506DD5"/>
    <w:rsid w:val="00507825"/>
    <w:rsid w:val="005106F3"/>
    <w:rsid w:val="00510B2C"/>
    <w:rsid w:val="005122F7"/>
    <w:rsid w:val="00512C00"/>
    <w:rsid w:val="00512E31"/>
    <w:rsid w:val="00513682"/>
    <w:rsid w:val="005143D9"/>
    <w:rsid w:val="0051444B"/>
    <w:rsid w:val="00514F93"/>
    <w:rsid w:val="00515331"/>
    <w:rsid w:val="00515BFB"/>
    <w:rsid w:val="00515F6F"/>
    <w:rsid w:val="00516618"/>
    <w:rsid w:val="00516D2C"/>
    <w:rsid w:val="00517054"/>
    <w:rsid w:val="00517C68"/>
    <w:rsid w:val="0052040A"/>
    <w:rsid w:val="00521CFD"/>
    <w:rsid w:val="00522104"/>
    <w:rsid w:val="00522843"/>
    <w:rsid w:val="005232C7"/>
    <w:rsid w:val="00523815"/>
    <w:rsid w:val="00524CF4"/>
    <w:rsid w:val="0052524D"/>
    <w:rsid w:val="005255C6"/>
    <w:rsid w:val="00525BFE"/>
    <w:rsid w:val="005262D8"/>
    <w:rsid w:val="005263EE"/>
    <w:rsid w:val="0052682F"/>
    <w:rsid w:val="00526EC4"/>
    <w:rsid w:val="00527314"/>
    <w:rsid w:val="00527E2E"/>
    <w:rsid w:val="0053050A"/>
    <w:rsid w:val="00531185"/>
    <w:rsid w:val="005334C9"/>
    <w:rsid w:val="00533A24"/>
    <w:rsid w:val="00533C4C"/>
    <w:rsid w:val="00535AAE"/>
    <w:rsid w:val="00536D9E"/>
    <w:rsid w:val="005402C3"/>
    <w:rsid w:val="005413C0"/>
    <w:rsid w:val="00541D0C"/>
    <w:rsid w:val="00541E11"/>
    <w:rsid w:val="0054299D"/>
    <w:rsid w:val="00543313"/>
    <w:rsid w:val="005445BA"/>
    <w:rsid w:val="00545687"/>
    <w:rsid w:val="00545BEA"/>
    <w:rsid w:val="00547052"/>
    <w:rsid w:val="0054716C"/>
    <w:rsid w:val="00551C79"/>
    <w:rsid w:val="005522E1"/>
    <w:rsid w:val="005530C4"/>
    <w:rsid w:val="00553F18"/>
    <w:rsid w:val="00555214"/>
    <w:rsid w:val="0055625F"/>
    <w:rsid w:val="005562F1"/>
    <w:rsid w:val="00556C01"/>
    <w:rsid w:val="00556EFF"/>
    <w:rsid w:val="00557155"/>
    <w:rsid w:val="00557215"/>
    <w:rsid w:val="00557895"/>
    <w:rsid w:val="00560014"/>
    <w:rsid w:val="005638A4"/>
    <w:rsid w:val="00564E19"/>
    <w:rsid w:val="0056590B"/>
    <w:rsid w:val="0057180E"/>
    <w:rsid w:val="00571CE1"/>
    <w:rsid w:val="0057206E"/>
    <w:rsid w:val="00572679"/>
    <w:rsid w:val="005737F9"/>
    <w:rsid w:val="005748E7"/>
    <w:rsid w:val="00575FEA"/>
    <w:rsid w:val="00576725"/>
    <w:rsid w:val="00576F00"/>
    <w:rsid w:val="00576FCA"/>
    <w:rsid w:val="0058005D"/>
    <w:rsid w:val="005800A8"/>
    <w:rsid w:val="00580A7C"/>
    <w:rsid w:val="00581178"/>
    <w:rsid w:val="00581507"/>
    <w:rsid w:val="00581AD7"/>
    <w:rsid w:val="0058218D"/>
    <w:rsid w:val="00583052"/>
    <w:rsid w:val="00583976"/>
    <w:rsid w:val="00583A0B"/>
    <w:rsid w:val="00583BE6"/>
    <w:rsid w:val="00583CF0"/>
    <w:rsid w:val="00584EF0"/>
    <w:rsid w:val="0058502A"/>
    <w:rsid w:val="0058546C"/>
    <w:rsid w:val="005855F7"/>
    <w:rsid w:val="00585C66"/>
    <w:rsid w:val="00586EA3"/>
    <w:rsid w:val="00586F9F"/>
    <w:rsid w:val="00587973"/>
    <w:rsid w:val="00587B5A"/>
    <w:rsid w:val="005907AD"/>
    <w:rsid w:val="005921F8"/>
    <w:rsid w:val="0059300F"/>
    <w:rsid w:val="005930D6"/>
    <w:rsid w:val="00593842"/>
    <w:rsid w:val="00593DA5"/>
    <w:rsid w:val="00593E65"/>
    <w:rsid w:val="005940A5"/>
    <w:rsid w:val="005941C4"/>
    <w:rsid w:val="005942CB"/>
    <w:rsid w:val="005942F8"/>
    <w:rsid w:val="00594CE9"/>
    <w:rsid w:val="00594FB9"/>
    <w:rsid w:val="005960C6"/>
    <w:rsid w:val="00596584"/>
    <w:rsid w:val="00596A86"/>
    <w:rsid w:val="0059767E"/>
    <w:rsid w:val="00597697"/>
    <w:rsid w:val="0059772E"/>
    <w:rsid w:val="00597F15"/>
    <w:rsid w:val="005A039A"/>
    <w:rsid w:val="005A03A4"/>
    <w:rsid w:val="005A162E"/>
    <w:rsid w:val="005A1F58"/>
    <w:rsid w:val="005A247F"/>
    <w:rsid w:val="005A3B7B"/>
    <w:rsid w:val="005A421B"/>
    <w:rsid w:val="005A4824"/>
    <w:rsid w:val="005A4A35"/>
    <w:rsid w:val="005A4AF9"/>
    <w:rsid w:val="005A68DA"/>
    <w:rsid w:val="005A6B75"/>
    <w:rsid w:val="005A6CF7"/>
    <w:rsid w:val="005A6D2D"/>
    <w:rsid w:val="005A725C"/>
    <w:rsid w:val="005B04D2"/>
    <w:rsid w:val="005B14D7"/>
    <w:rsid w:val="005B191B"/>
    <w:rsid w:val="005B244D"/>
    <w:rsid w:val="005B2D59"/>
    <w:rsid w:val="005B5955"/>
    <w:rsid w:val="005B696F"/>
    <w:rsid w:val="005B69A5"/>
    <w:rsid w:val="005B723B"/>
    <w:rsid w:val="005B770F"/>
    <w:rsid w:val="005B7731"/>
    <w:rsid w:val="005B7761"/>
    <w:rsid w:val="005B7E9A"/>
    <w:rsid w:val="005C138A"/>
    <w:rsid w:val="005C1996"/>
    <w:rsid w:val="005C1C54"/>
    <w:rsid w:val="005C403C"/>
    <w:rsid w:val="005C4128"/>
    <w:rsid w:val="005C431C"/>
    <w:rsid w:val="005C4875"/>
    <w:rsid w:val="005C4CD3"/>
    <w:rsid w:val="005C6417"/>
    <w:rsid w:val="005C65FA"/>
    <w:rsid w:val="005C6AB9"/>
    <w:rsid w:val="005C7A20"/>
    <w:rsid w:val="005C7BC8"/>
    <w:rsid w:val="005D1202"/>
    <w:rsid w:val="005D2613"/>
    <w:rsid w:val="005D339A"/>
    <w:rsid w:val="005D4402"/>
    <w:rsid w:val="005D45AB"/>
    <w:rsid w:val="005D47AA"/>
    <w:rsid w:val="005D4A3D"/>
    <w:rsid w:val="005D4FF9"/>
    <w:rsid w:val="005D53A4"/>
    <w:rsid w:val="005D561A"/>
    <w:rsid w:val="005D6A29"/>
    <w:rsid w:val="005D6A64"/>
    <w:rsid w:val="005D7580"/>
    <w:rsid w:val="005D783B"/>
    <w:rsid w:val="005E03BB"/>
    <w:rsid w:val="005E0F53"/>
    <w:rsid w:val="005E13C7"/>
    <w:rsid w:val="005E1C90"/>
    <w:rsid w:val="005E1CDC"/>
    <w:rsid w:val="005E1E1F"/>
    <w:rsid w:val="005E2815"/>
    <w:rsid w:val="005E2D87"/>
    <w:rsid w:val="005E31FE"/>
    <w:rsid w:val="005E433D"/>
    <w:rsid w:val="005E4934"/>
    <w:rsid w:val="005E4BAC"/>
    <w:rsid w:val="005E4F84"/>
    <w:rsid w:val="005E7AB1"/>
    <w:rsid w:val="005E7E9F"/>
    <w:rsid w:val="005F0456"/>
    <w:rsid w:val="005F2067"/>
    <w:rsid w:val="005F24BE"/>
    <w:rsid w:val="005F26DA"/>
    <w:rsid w:val="005F27CF"/>
    <w:rsid w:val="005F2AB6"/>
    <w:rsid w:val="005F3DA2"/>
    <w:rsid w:val="005F4678"/>
    <w:rsid w:val="005F4C38"/>
    <w:rsid w:val="005F4E69"/>
    <w:rsid w:val="005F5B14"/>
    <w:rsid w:val="005F6924"/>
    <w:rsid w:val="005F7B14"/>
    <w:rsid w:val="006001DF"/>
    <w:rsid w:val="00600570"/>
    <w:rsid w:val="0060064E"/>
    <w:rsid w:val="00600B76"/>
    <w:rsid w:val="00601672"/>
    <w:rsid w:val="0060274C"/>
    <w:rsid w:val="00602F4F"/>
    <w:rsid w:val="0060359A"/>
    <w:rsid w:val="00604BA9"/>
    <w:rsid w:val="00604CAD"/>
    <w:rsid w:val="00604FC6"/>
    <w:rsid w:val="006055BD"/>
    <w:rsid w:val="00605CE7"/>
    <w:rsid w:val="00606BE8"/>
    <w:rsid w:val="00610138"/>
    <w:rsid w:val="00611964"/>
    <w:rsid w:val="006132CB"/>
    <w:rsid w:val="00613476"/>
    <w:rsid w:val="00613550"/>
    <w:rsid w:val="006139B1"/>
    <w:rsid w:val="00614434"/>
    <w:rsid w:val="006144E4"/>
    <w:rsid w:val="00614CCC"/>
    <w:rsid w:val="006155F1"/>
    <w:rsid w:val="00615A07"/>
    <w:rsid w:val="0062023C"/>
    <w:rsid w:val="006211CE"/>
    <w:rsid w:val="0062178D"/>
    <w:rsid w:val="00622AE0"/>
    <w:rsid w:val="00625314"/>
    <w:rsid w:val="006275AF"/>
    <w:rsid w:val="0062770D"/>
    <w:rsid w:val="006302CC"/>
    <w:rsid w:val="006304F2"/>
    <w:rsid w:val="00630E0B"/>
    <w:rsid w:val="00631995"/>
    <w:rsid w:val="00633353"/>
    <w:rsid w:val="006336F0"/>
    <w:rsid w:val="00633EA8"/>
    <w:rsid w:val="00634148"/>
    <w:rsid w:val="0063453A"/>
    <w:rsid w:val="0063580C"/>
    <w:rsid w:val="0063615B"/>
    <w:rsid w:val="00636B23"/>
    <w:rsid w:val="006372EB"/>
    <w:rsid w:val="0063752E"/>
    <w:rsid w:val="00637BF0"/>
    <w:rsid w:val="0064019D"/>
    <w:rsid w:val="00641C6F"/>
    <w:rsid w:val="0064454B"/>
    <w:rsid w:val="00644603"/>
    <w:rsid w:val="00644965"/>
    <w:rsid w:val="00644C6A"/>
    <w:rsid w:val="00645070"/>
    <w:rsid w:val="00645994"/>
    <w:rsid w:val="00645F8C"/>
    <w:rsid w:val="0064610A"/>
    <w:rsid w:val="006467CA"/>
    <w:rsid w:val="00647269"/>
    <w:rsid w:val="006474EC"/>
    <w:rsid w:val="006476BE"/>
    <w:rsid w:val="00647E96"/>
    <w:rsid w:val="00647ED3"/>
    <w:rsid w:val="00650CB8"/>
    <w:rsid w:val="006514DB"/>
    <w:rsid w:val="00651B69"/>
    <w:rsid w:val="00651F5B"/>
    <w:rsid w:val="00652121"/>
    <w:rsid w:val="00652340"/>
    <w:rsid w:val="00652C3E"/>
    <w:rsid w:val="0065307C"/>
    <w:rsid w:val="00654283"/>
    <w:rsid w:val="00654924"/>
    <w:rsid w:val="00654DAF"/>
    <w:rsid w:val="00655837"/>
    <w:rsid w:val="00656DA8"/>
    <w:rsid w:val="0065798C"/>
    <w:rsid w:val="00657D35"/>
    <w:rsid w:val="0066083A"/>
    <w:rsid w:val="006609EC"/>
    <w:rsid w:val="00660F1B"/>
    <w:rsid w:val="006610E5"/>
    <w:rsid w:val="006613DD"/>
    <w:rsid w:val="00661F15"/>
    <w:rsid w:val="00663DE7"/>
    <w:rsid w:val="006640C4"/>
    <w:rsid w:val="00665708"/>
    <w:rsid w:val="0066673A"/>
    <w:rsid w:val="00666C24"/>
    <w:rsid w:val="00666DEF"/>
    <w:rsid w:val="00666E8A"/>
    <w:rsid w:val="00667457"/>
    <w:rsid w:val="0066748F"/>
    <w:rsid w:val="0067065B"/>
    <w:rsid w:val="0067097D"/>
    <w:rsid w:val="0067244F"/>
    <w:rsid w:val="00672464"/>
    <w:rsid w:val="0067360B"/>
    <w:rsid w:val="00674214"/>
    <w:rsid w:val="00674899"/>
    <w:rsid w:val="00674E06"/>
    <w:rsid w:val="00675398"/>
    <w:rsid w:val="00675D55"/>
    <w:rsid w:val="0067611A"/>
    <w:rsid w:val="00676D17"/>
    <w:rsid w:val="00676D6C"/>
    <w:rsid w:val="00676E90"/>
    <w:rsid w:val="00677938"/>
    <w:rsid w:val="00677A93"/>
    <w:rsid w:val="00680982"/>
    <w:rsid w:val="00681C36"/>
    <w:rsid w:val="00681CC1"/>
    <w:rsid w:val="00682039"/>
    <w:rsid w:val="006820F8"/>
    <w:rsid w:val="00682EE8"/>
    <w:rsid w:val="00683966"/>
    <w:rsid w:val="00683F27"/>
    <w:rsid w:val="00684F1B"/>
    <w:rsid w:val="00685237"/>
    <w:rsid w:val="006856B4"/>
    <w:rsid w:val="006858FD"/>
    <w:rsid w:val="00685B42"/>
    <w:rsid w:val="00685DF1"/>
    <w:rsid w:val="00687269"/>
    <w:rsid w:val="00690732"/>
    <w:rsid w:val="00690CB3"/>
    <w:rsid w:val="00690E4D"/>
    <w:rsid w:val="00691A32"/>
    <w:rsid w:val="006920C9"/>
    <w:rsid w:val="006927C4"/>
    <w:rsid w:val="00692955"/>
    <w:rsid w:val="00693507"/>
    <w:rsid w:val="00693896"/>
    <w:rsid w:val="00694F84"/>
    <w:rsid w:val="0069608E"/>
    <w:rsid w:val="0069682C"/>
    <w:rsid w:val="00696A4C"/>
    <w:rsid w:val="00697CAA"/>
    <w:rsid w:val="006A0428"/>
    <w:rsid w:val="006A1DF0"/>
    <w:rsid w:val="006A1FB1"/>
    <w:rsid w:val="006A2DAE"/>
    <w:rsid w:val="006A5D30"/>
    <w:rsid w:val="006A60AB"/>
    <w:rsid w:val="006A74C7"/>
    <w:rsid w:val="006A7AC2"/>
    <w:rsid w:val="006B042A"/>
    <w:rsid w:val="006B0765"/>
    <w:rsid w:val="006B1527"/>
    <w:rsid w:val="006B2291"/>
    <w:rsid w:val="006B22A1"/>
    <w:rsid w:val="006B2351"/>
    <w:rsid w:val="006B23BD"/>
    <w:rsid w:val="006B23E1"/>
    <w:rsid w:val="006B29E5"/>
    <w:rsid w:val="006B2C77"/>
    <w:rsid w:val="006B3555"/>
    <w:rsid w:val="006B38EC"/>
    <w:rsid w:val="006B39BD"/>
    <w:rsid w:val="006B3A5E"/>
    <w:rsid w:val="006B407E"/>
    <w:rsid w:val="006B5361"/>
    <w:rsid w:val="006B63EB"/>
    <w:rsid w:val="006B737E"/>
    <w:rsid w:val="006C052C"/>
    <w:rsid w:val="006C092C"/>
    <w:rsid w:val="006C0A6B"/>
    <w:rsid w:val="006C13BA"/>
    <w:rsid w:val="006C19A1"/>
    <w:rsid w:val="006C19DB"/>
    <w:rsid w:val="006C1A5E"/>
    <w:rsid w:val="006C1F66"/>
    <w:rsid w:val="006C2B9A"/>
    <w:rsid w:val="006C2FB1"/>
    <w:rsid w:val="006C4916"/>
    <w:rsid w:val="006C4F88"/>
    <w:rsid w:val="006C5618"/>
    <w:rsid w:val="006C59BC"/>
    <w:rsid w:val="006C6628"/>
    <w:rsid w:val="006C71A9"/>
    <w:rsid w:val="006C71AD"/>
    <w:rsid w:val="006C796F"/>
    <w:rsid w:val="006C7A31"/>
    <w:rsid w:val="006D03B4"/>
    <w:rsid w:val="006D2E57"/>
    <w:rsid w:val="006D34DD"/>
    <w:rsid w:val="006D52D9"/>
    <w:rsid w:val="006D684B"/>
    <w:rsid w:val="006D7B38"/>
    <w:rsid w:val="006E0A4A"/>
    <w:rsid w:val="006E1AF3"/>
    <w:rsid w:val="006E382B"/>
    <w:rsid w:val="006E44A8"/>
    <w:rsid w:val="006E52FD"/>
    <w:rsid w:val="006E5352"/>
    <w:rsid w:val="006E63C6"/>
    <w:rsid w:val="006E7171"/>
    <w:rsid w:val="006E7B0A"/>
    <w:rsid w:val="006E7EE4"/>
    <w:rsid w:val="006E7F93"/>
    <w:rsid w:val="006F2544"/>
    <w:rsid w:val="006F28D3"/>
    <w:rsid w:val="006F2E81"/>
    <w:rsid w:val="006F2EB5"/>
    <w:rsid w:val="006F5C3D"/>
    <w:rsid w:val="006F75C1"/>
    <w:rsid w:val="006F78B1"/>
    <w:rsid w:val="00700833"/>
    <w:rsid w:val="00700BD1"/>
    <w:rsid w:val="00701B96"/>
    <w:rsid w:val="007025B6"/>
    <w:rsid w:val="00702639"/>
    <w:rsid w:val="00703762"/>
    <w:rsid w:val="007039F6"/>
    <w:rsid w:val="00703DE4"/>
    <w:rsid w:val="00705C06"/>
    <w:rsid w:val="0070636A"/>
    <w:rsid w:val="00706DB3"/>
    <w:rsid w:val="00706E75"/>
    <w:rsid w:val="007077B2"/>
    <w:rsid w:val="00707B5D"/>
    <w:rsid w:val="00710C51"/>
    <w:rsid w:val="0071155A"/>
    <w:rsid w:val="007117D2"/>
    <w:rsid w:val="00711B07"/>
    <w:rsid w:val="00712B6D"/>
    <w:rsid w:val="007130BB"/>
    <w:rsid w:val="0071352B"/>
    <w:rsid w:val="00713BD9"/>
    <w:rsid w:val="007140DC"/>
    <w:rsid w:val="00714540"/>
    <w:rsid w:val="00714FC8"/>
    <w:rsid w:val="00715FA3"/>
    <w:rsid w:val="00716E58"/>
    <w:rsid w:val="00720D08"/>
    <w:rsid w:val="007217B7"/>
    <w:rsid w:val="0072272F"/>
    <w:rsid w:val="00722766"/>
    <w:rsid w:val="00722901"/>
    <w:rsid w:val="00722CAB"/>
    <w:rsid w:val="00722E3C"/>
    <w:rsid w:val="00722E48"/>
    <w:rsid w:val="007231EB"/>
    <w:rsid w:val="007243ED"/>
    <w:rsid w:val="007261B5"/>
    <w:rsid w:val="00727DB6"/>
    <w:rsid w:val="007314DA"/>
    <w:rsid w:val="00732006"/>
    <w:rsid w:val="0073241D"/>
    <w:rsid w:val="00732A2F"/>
    <w:rsid w:val="00733E8B"/>
    <w:rsid w:val="0073564E"/>
    <w:rsid w:val="00737863"/>
    <w:rsid w:val="00737A90"/>
    <w:rsid w:val="00737D11"/>
    <w:rsid w:val="00737F7F"/>
    <w:rsid w:val="00740C2B"/>
    <w:rsid w:val="007410F9"/>
    <w:rsid w:val="007412FE"/>
    <w:rsid w:val="00741303"/>
    <w:rsid w:val="007413FE"/>
    <w:rsid w:val="0074172E"/>
    <w:rsid w:val="00741B3A"/>
    <w:rsid w:val="00741F7C"/>
    <w:rsid w:val="007424FD"/>
    <w:rsid w:val="007425F7"/>
    <w:rsid w:val="00743129"/>
    <w:rsid w:val="007434EA"/>
    <w:rsid w:val="00743A81"/>
    <w:rsid w:val="00744F6C"/>
    <w:rsid w:val="00745A46"/>
    <w:rsid w:val="007468C3"/>
    <w:rsid w:val="007478B0"/>
    <w:rsid w:val="00750081"/>
    <w:rsid w:val="00752012"/>
    <w:rsid w:val="00752493"/>
    <w:rsid w:val="007525D4"/>
    <w:rsid w:val="007536EA"/>
    <w:rsid w:val="0075436B"/>
    <w:rsid w:val="00754A1B"/>
    <w:rsid w:val="00754FEA"/>
    <w:rsid w:val="0075506B"/>
    <w:rsid w:val="00755DC7"/>
    <w:rsid w:val="00756215"/>
    <w:rsid w:val="007562D0"/>
    <w:rsid w:val="0075699C"/>
    <w:rsid w:val="007571E0"/>
    <w:rsid w:val="00757411"/>
    <w:rsid w:val="00757738"/>
    <w:rsid w:val="00757B7E"/>
    <w:rsid w:val="007602C4"/>
    <w:rsid w:val="00761402"/>
    <w:rsid w:val="007622DA"/>
    <w:rsid w:val="00762363"/>
    <w:rsid w:val="00762A7A"/>
    <w:rsid w:val="00762A7F"/>
    <w:rsid w:val="007631E3"/>
    <w:rsid w:val="00763361"/>
    <w:rsid w:val="00763645"/>
    <w:rsid w:val="0076519B"/>
    <w:rsid w:val="0076611E"/>
    <w:rsid w:val="007668FF"/>
    <w:rsid w:val="00766CD3"/>
    <w:rsid w:val="00767049"/>
    <w:rsid w:val="00767A13"/>
    <w:rsid w:val="00770CAD"/>
    <w:rsid w:val="007727F4"/>
    <w:rsid w:val="00774067"/>
    <w:rsid w:val="00780216"/>
    <w:rsid w:val="00780767"/>
    <w:rsid w:val="00780BE5"/>
    <w:rsid w:val="00781BB9"/>
    <w:rsid w:val="00782F8C"/>
    <w:rsid w:val="007835E7"/>
    <w:rsid w:val="00785029"/>
    <w:rsid w:val="0078550B"/>
    <w:rsid w:val="00785C14"/>
    <w:rsid w:val="007863CD"/>
    <w:rsid w:val="00787812"/>
    <w:rsid w:val="00787B14"/>
    <w:rsid w:val="00790555"/>
    <w:rsid w:val="00790819"/>
    <w:rsid w:val="00791244"/>
    <w:rsid w:val="00791669"/>
    <w:rsid w:val="007924B7"/>
    <w:rsid w:val="0079259D"/>
    <w:rsid w:val="0079316E"/>
    <w:rsid w:val="00794283"/>
    <w:rsid w:val="007953CD"/>
    <w:rsid w:val="00796024"/>
    <w:rsid w:val="00796336"/>
    <w:rsid w:val="0079689B"/>
    <w:rsid w:val="00796B09"/>
    <w:rsid w:val="00796B44"/>
    <w:rsid w:val="00796E3E"/>
    <w:rsid w:val="007972B4"/>
    <w:rsid w:val="007975AA"/>
    <w:rsid w:val="007A0D42"/>
    <w:rsid w:val="007A22E0"/>
    <w:rsid w:val="007A2874"/>
    <w:rsid w:val="007A382A"/>
    <w:rsid w:val="007A3E2E"/>
    <w:rsid w:val="007A42F8"/>
    <w:rsid w:val="007A4BAF"/>
    <w:rsid w:val="007A506F"/>
    <w:rsid w:val="007A5CE6"/>
    <w:rsid w:val="007A5D09"/>
    <w:rsid w:val="007A5F69"/>
    <w:rsid w:val="007A6758"/>
    <w:rsid w:val="007A6875"/>
    <w:rsid w:val="007A7804"/>
    <w:rsid w:val="007A7A29"/>
    <w:rsid w:val="007B09BB"/>
    <w:rsid w:val="007B0D30"/>
    <w:rsid w:val="007B2972"/>
    <w:rsid w:val="007B30B2"/>
    <w:rsid w:val="007B32A7"/>
    <w:rsid w:val="007B3622"/>
    <w:rsid w:val="007B3E19"/>
    <w:rsid w:val="007B4148"/>
    <w:rsid w:val="007B5632"/>
    <w:rsid w:val="007B6654"/>
    <w:rsid w:val="007B67CC"/>
    <w:rsid w:val="007B72B1"/>
    <w:rsid w:val="007C011D"/>
    <w:rsid w:val="007C0217"/>
    <w:rsid w:val="007C02E9"/>
    <w:rsid w:val="007C05B0"/>
    <w:rsid w:val="007C0BCE"/>
    <w:rsid w:val="007C2E55"/>
    <w:rsid w:val="007C2F50"/>
    <w:rsid w:val="007C318F"/>
    <w:rsid w:val="007C3ECD"/>
    <w:rsid w:val="007C4865"/>
    <w:rsid w:val="007C4C95"/>
    <w:rsid w:val="007C4E47"/>
    <w:rsid w:val="007C56D7"/>
    <w:rsid w:val="007C6D59"/>
    <w:rsid w:val="007D0BE0"/>
    <w:rsid w:val="007D1041"/>
    <w:rsid w:val="007D1365"/>
    <w:rsid w:val="007D16C7"/>
    <w:rsid w:val="007D186C"/>
    <w:rsid w:val="007D1AD1"/>
    <w:rsid w:val="007D21F2"/>
    <w:rsid w:val="007D267E"/>
    <w:rsid w:val="007D28EC"/>
    <w:rsid w:val="007D3229"/>
    <w:rsid w:val="007D3877"/>
    <w:rsid w:val="007D3979"/>
    <w:rsid w:val="007D4C86"/>
    <w:rsid w:val="007D58E2"/>
    <w:rsid w:val="007D6248"/>
    <w:rsid w:val="007D6A89"/>
    <w:rsid w:val="007D729C"/>
    <w:rsid w:val="007E1820"/>
    <w:rsid w:val="007E1A82"/>
    <w:rsid w:val="007E1CC2"/>
    <w:rsid w:val="007E219E"/>
    <w:rsid w:val="007E2209"/>
    <w:rsid w:val="007E275C"/>
    <w:rsid w:val="007E2F10"/>
    <w:rsid w:val="007E34B5"/>
    <w:rsid w:val="007E3DC8"/>
    <w:rsid w:val="007E42C4"/>
    <w:rsid w:val="007E45B6"/>
    <w:rsid w:val="007F058A"/>
    <w:rsid w:val="007F14A0"/>
    <w:rsid w:val="007F15CC"/>
    <w:rsid w:val="007F1A9F"/>
    <w:rsid w:val="007F2F89"/>
    <w:rsid w:val="007F3B4A"/>
    <w:rsid w:val="007F4B97"/>
    <w:rsid w:val="007F4C6B"/>
    <w:rsid w:val="007F5001"/>
    <w:rsid w:val="007F6271"/>
    <w:rsid w:val="007F67D8"/>
    <w:rsid w:val="007F6C9C"/>
    <w:rsid w:val="007F7D04"/>
    <w:rsid w:val="0080028E"/>
    <w:rsid w:val="008007F4"/>
    <w:rsid w:val="0080253B"/>
    <w:rsid w:val="0080349E"/>
    <w:rsid w:val="008041F7"/>
    <w:rsid w:val="00804559"/>
    <w:rsid w:val="00804EA5"/>
    <w:rsid w:val="00805155"/>
    <w:rsid w:val="00805444"/>
    <w:rsid w:val="0080544C"/>
    <w:rsid w:val="00806591"/>
    <w:rsid w:val="00806A42"/>
    <w:rsid w:val="00807342"/>
    <w:rsid w:val="00807634"/>
    <w:rsid w:val="00807A1B"/>
    <w:rsid w:val="0081006E"/>
    <w:rsid w:val="00810DF8"/>
    <w:rsid w:val="00810F3F"/>
    <w:rsid w:val="008118B1"/>
    <w:rsid w:val="008118D4"/>
    <w:rsid w:val="00811D6C"/>
    <w:rsid w:val="00811E95"/>
    <w:rsid w:val="00811EF4"/>
    <w:rsid w:val="00813385"/>
    <w:rsid w:val="008137DB"/>
    <w:rsid w:val="00814437"/>
    <w:rsid w:val="008158E9"/>
    <w:rsid w:val="00816A8A"/>
    <w:rsid w:val="00816DA9"/>
    <w:rsid w:val="008176D8"/>
    <w:rsid w:val="00820559"/>
    <w:rsid w:val="00820AA7"/>
    <w:rsid w:val="00820B73"/>
    <w:rsid w:val="00820C6F"/>
    <w:rsid w:val="00821B35"/>
    <w:rsid w:val="00821F2C"/>
    <w:rsid w:val="00822398"/>
    <w:rsid w:val="00822628"/>
    <w:rsid w:val="0082370A"/>
    <w:rsid w:val="008250A7"/>
    <w:rsid w:val="00825255"/>
    <w:rsid w:val="00827437"/>
    <w:rsid w:val="008314AE"/>
    <w:rsid w:val="00831D39"/>
    <w:rsid w:val="00832932"/>
    <w:rsid w:val="00832AE3"/>
    <w:rsid w:val="00832EEF"/>
    <w:rsid w:val="008330C5"/>
    <w:rsid w:val="0083391D"/>
    <w:rsid w:val="00833BF7"/>
    <w:rsid w:val="00833C7E"/>
    <w:rsid w:val="00834715"/>
    <w:rsid w:val="008353A7"/>
    <w:rsid w:val="0083630B"/>
    <w:rsid w:val="00836CDA"/>
    <w:rsid w:val="00840240"/>
    <w:rsid w:val="00840694"/>
    <w:rsid w:val="00840F09"/>
    <w:rsid w:val="00841DD9"/>
    <w:rsid w:val="00841EEB"/>
    <w:rsid w:val="008421F3"/>
    <w:rsid w:val="00842348"/>
    <w:rsid w:val="008424B9"/>
    <w:rsid w:val="00843798"/>
    <w:rsid w:val="00843A58"/>
    <w:rsid w:val="00844642"/>
    <w:rsid w:val="0084509C"/>
    <w:rsid w:val="008459A2"/>
    <w:rsid w:val="00845C59"/>
    <w:rsid w:val="00845E2A"/>
    <w:rsid w:val="00847206"/>
    <w:rsid w:val="00847217"/>
    <w:rsid w:val="008502CD"/>
    <w:rsid w:val="008505A2"/>
    <w:rsid w:val="00850943"/>
    <w:rsid w:val="00850C7D"/>
    <w:rsid w:val="0085197B"/>
    <w:rsid w:val="00851CC6"/>
    <w:rsid w:val="00851F22"/>
    <w:rsid w:val="0085290C"/>
    <w:rsid w:val="008532C3"/>
    <w:rsid w:val="00853EC7"/>
    <w:rsid w:val="008546B0"/>
    <w:rsid w:val="00854A38"/>
    <w:rsid w:val="00854D4C"/>
    <w:rsid w:val="00854FA9"/>
    <w:rsid w:val="00855496"/>
    <w:rsid w:val="008558B4"/>
    <w:rsid w:val="00855E0E"/>
    <w:rsid w:val="00856F94"/>
    <w:rsid w:val="008570F1"/>
    <w:rsid w:val="00857DB1"/>
    <w:rsid w:val="00860897"/>
    <w:rsid w:val="00860A88"/>
    <w:rsid w:val="00861633"/>
    <w:rsid w:val="00862180"/>
    <w:rsid w:val="008622EA"/>
    <w:rsid w:val="00862FC1"/>
    <w:rsid w:val="0086370C"/>
    <w:rsid w:val="00863DD5"/>
    <w:rsid w:val="00863EEA"/>
    <w:rsid w:val="00864526"/>
    <w:rsid w:val="008676B5"/>
    <w:rsid w:val="00867ECC"/>
    <w:rsid w:val="0087041A"/>
    <w:rsid w:val="00870B71"/>
    <w:rsid w:val="00871395"/>
    <w:rsid w:val="008715F0"/>
    <w:rsid w:val="008720CD"/>
    <w:rsid w:val="00872713"/>
    <w:rsid w:val="0087354C"/>
    <w:rsid w:val="0087362F"/>
    <w:rsid w:val="00873698"/>
    <w:rsid w:val="008740C0"/>
    <w:rsid w:val="00874420"/>
    <w:rsid w:val="00874703"/>
    <w:rsid w:val="008762AA"/>
    <w:rsid w:val="008768CD"/>
    <w:rsid w:val="00880262"/>
    <w:rsid w:val="0088070F"/>
    <w:rsid w:val="00880DF3"/>
    <w:rsid w:val="00881F77"/>
    <w:rsid w:val="00882844"/>
    <w:rsid w:val="00882C1D"/>
    <w:rsid w:val="008841F3"/>
    <w:rsid w:val="0088457D"/>
    <w:rsid w:val="00884B08"/>
    <w:rsid w:val="00885161"/>
    <w:rsid w:val="00890294"/>
    <w:rsid w:val="00891622"/>
    <w:rsid w:val="00891BC8"/>
    <w:rsid w:val="00892F69"/>
    <w:rsid w:val="00893EA1"/>
    <w:rsid w:val="00894138"/>
    <w:rsid w:val="00894AE5"/>
    <w:rsid w:val="00895356"/>
    <w:rsid w:val="008956B7"/>
    <w:rsid w:val="00895EC1"/>
    <w:rsid w:val="0089646B"/>
    <w:rsid w:val="00896EB0"/>
    <w:rsid w:val="00897801"/>
    <w:rsid w:val="00897ADF"/>
    <w:rsid w:val="008A0AEF"/>
    <w:rsid w:val="008A1237"/>
    <w:rsid w:val="008A1765"/>
    <w:rsid w:val="008A1B47"/>
    <w:rsid w:val="008A249B"/>
    <w:rsid w:val="008A2527"/>
    <w:rsid w:val="008A3DF2"/>
    <w:rsid w:val="008A48E7"/>
    <w:rsid w:val="008A4F68"/>
    <w:rsid w:val="008A55DC"/>
    <w:rsid w:val="008A6389"/>
    <w:rsid w:val="008A67FA"/>
    <w:rsid w:val="008B06EB"/>
    <w:rsid w:val="008B0D5E"/>
    <w:rsid w:val="008B1786"/>
    <w:rsid w:val="008B252A"/>
    <w:rsid w:val="008B2C8D"/>
    <w:rsid w:val="008B2CFF"/>
    <w:rsid w:val="008B33DE"/>
    <w:rsid w:val="008B4AA8"/>
    <w:rsid w:val="008B4FF9"/>
    <w:rsid w:val="008B51A6"/>
    <w:rsid w:val="008B5D33"/>
    <w:rsid w:val="008B6ADA"/>
    <w:rsid w:val="008B71ED"/>
    <w:rsid w:val="008C05C0"/>
    <w:rsid w:val="008C1683"/>
    <w:rsid w:val="008C1BA2"/>
    <w:rsid w:val="008C1DFB"/>
    <w:rsid w:val="008C27F9"/>
    <w:rsid w:val="008C417A"/>
    <w:rsid w:val="008C442F"/>
    <w:rsid w:val="008C552F"/>
    <w:rsid w:val="008C6097"/>
    <w:rsid w:val="008C6ADD"/>
    <w:rsid w:val="008C7C70"/>
    <w:rsid w:val="008C7EFE"/>
    <w:rsid w:val="008D0F57"/>
    <w:rsid w:val="008D0FB5"/>
    <w:rsid w:val="008D17D0"/>
    <w:rsid w:val="008D25CC"/>
    <w:rsid w:val="008D2812"/>
    <w:rsid w:val="008D4572"/>
    <w:rsid w:val="008D4A96"/>
    <w:rsid w:val="008D54CF"/>
    <w:rsid w:val="008D577B"/>
    <w:rsid w:val="008D6896"/>
    <w:rsid w:val="008D6AE7"/>
    <w:rsid w:val="008D6F48"/>
    <w:rsid w:val="008D718A"/>
    <w:rsid w:val="008D7DAD"/>
    <w:rsid w:val="008E072E"/>
    <w:rsid w:val="008E0E27"/>
    <w:rsid w:val="008E121C"/>
    <w:rsid w:val="008E15CF"/>
    <w:rsid w:val="008E24F6"/>
    <w:rsid w:val="008E30E3"/>
    <w:rsid w:val="008E5809"/>
    <w:rsid w:val="008E665B"/>
    <w:rsid w:val="008E6829"/>
    <w:rsid w:val="008E6BB8"/>
    <w:rsid w:val="008E6DBC"/>
    <w:rsid w:val="008E74A8"/>
    <w:rsid w:val="008E7CEB"/>
    <w:rsid w:val="008E7EF4"/>
    <w:rsid w:val="008F0B82"/>
    <w:rsid w:val="008F1A82"/>
    <w:rsid w:val="008F2116"/>
    <w:rsid w:val="008F21B3"/>
    <w:rsid w:val="008F2604"/>
    <w:rsid w:val="008F37D7"/>
    <w:rsid w:val="008F3853"/>
    <w:rsid w:val="008F43E2"/>
    <w:rsid w:val="008F494D"/>
    <w:rsid w:val="008F4C0C"/>
    <w:rsid w:val="008F5E59"/>
    <w:rsid w:val="008F63DA"/>
    <w:rsid w:val="008F6528"/>
    <w:rsid w:val="008F7AF1"/>
    <w:rsid w:val="008F7F31"/>
    <w:rsid w:val="009003D2"/>
    <w:rsid w:val="009018FC"/>
    <w:rsid w:val="009035EC"/>
    <w:rsid w:val="00903B95"/>
    <w:rsid w:val="00903FED"/>
    <w:rsid w:val="00904728"/>
    <w:rsid w:val="009054C0"/>
    <w:rsid w:val="00905AE4"/>
    <w:rsid w:val="009065EF"/>
    <w:rsid w:val="009067B6"/>
    <w:rsid w:val="009069BA"/>
    <w:rsid w:val="00907DC9"/>
    <w:rsid w:val="00910E8E"/>
    <w:rsid w:val="009110E8"/>
    <w:rsid w:val="00911E20"/>
    <w:rsid w:val="0091284B"/>
    <w:rsid w:val="00913135"/>
    <w:rsid w:val="00913FAC"/>
    <w:rsid w:val="0091407F"/>
    <w:rsid w:val="0091463C"/>
    <w:rsid w:val="00914E26"/>
    <w:rsid w:val="009153F4"/>
    <w:rsid w:val="00916DDB"/>
    <w:rsid w:val="00916FB1"/>
    <w:rsid w:val="00917711"/>
    <w:rsid w:val="00917964"/>
    <w:rsid w:val="0092050A"/>
    <w:rsid w:val="009205EB"/>
    <w:rsid w:val="00920838"/>
    <w:rsid w:val="00920F87"/>
    <w:rsid w:val="009233D2"/>
    <w:rsid w:val="00923801"/>
    <w:rsid w:val="00923B0B"/>
    <w:rsid w:val="00923B9B"/>
    <w:rsid w:val="00924347"/>
    <w:rsid w:val="009246AF"/>
    <w:rsid w:val="00924C4D"/>
    <w:rsid w:val="00925ACF"/>
    <w:rsid w:val="00925B48"/>
    <w:rsid w:val="00926B60"/>
    <w:rsid w:val="0093041E"/>
    <w:rsid w:val="009307A9"/>
    <w:rsid w:val="00931160"/>
    <w:rsid w:val="0093118A"/>
    <w:rsid w:val="00931848"/>
    <w:rsid w:val="009318DF"/>
    <w:rsid w:val="009338F8"/>
    <w:rsid w:val="0093456D"/>
    <w:rsid w:val="00934FAE"/>
    <w:rsid w:val="009365D9"/>
    <w:rsid w:val="0093797C"/>
    <w:rsid w:val="009403BE"/>
    <w:rsid w:val="00941262"/>
    <w:rsid w:val="00941AB1"/>
    <w:rsid w:val="00942F23"/>
    <w:rsid w:val="0094404C"/>
    <w:rsid w:val="009444F5"/>
    <w:rsid w:val="009459C3"/>
    <w:rsid w:val="00945CEC"/>
    <w:rsid w:val="00945F3D"/>
    <w:rsid w:val="00947944"/>
    <w:rsid w:val="009503F2"/>
    <w:rsid w:val="00950793"/>
    <w:rsid w:val="009509D4"/>
    <w:rsid w:val="0095159E"/>
    <w:rsid w:val="00952694"/>
    <w:rsid w:val="00952FB4"/>
    <w:rsid w:val="00953D4F"/>
    <w:rsid w:val="0095412C"/>
    <w:rsid w:val="00954243"/>
    <w:rsid w:val="00955197"/>
    <w:rsid w:val="0095783C"/>
    <w:rsid w:val="00957DEF"/>
    <w:rsid w:val="00960874"/>
    <w:rsid w:val="00961E94"/>
    <w:rsid w:val="0096229B"/>
    <w:rsid w:val="0096230C"/>
    <w:rsid w:val="0096347C"/>
    <w:rsid w:val="009648B3"/>
    <w:rsid w:val="009651F0"/>
    <w:rsid w:val="009652F0"/>
    <w:rsid w:val="00965B71"/>
    <w:rsid w:val="00966137"/>
    <w:rsid w:val="009665DA"/>
    <w:rsid w:val="0096718E"/>
    <w:rsid w:val="009678E6"/>
    <w:rsid w:val="00967F0A"/>
    <w:rsid w:val="009701E8"/>
    <w:rsid w:val="0097082B"/>
    <w:rsid w:val="00970F70"/>
    <w:rsid w:val="00970FC6"/>
    <w:rsid w:val="0097204E"/>
    <w:rsid w:val="0097303C"/>
    <w:rsid w:val="00974017"/>
    <w:rsid w:val="00974338"/>
    <w:rsid w:val="009762F1"/>
    <w:rsid w:val="00976861"/>
    <w:rsid w:val="00976B3C"/>
    <w:rsid w:val="009800A9"/>
    <w:rsid w:val="009802FB"/>
    <w:rsid w:val="00980FA5"/>
    <w:rsid w:val="00981539"/>
    <w:rsid w:val="00983341"/>
    <w:rsid w:val="00983AA2"/>
    <w:rsid w:val="00984784"/>
    <w:rsid w:val="0098484B"/>
    <w:rsid w:val="00985926"/>
    <w:rsid w:val="0098633E"/>
    <w:rsid w:val="0098688C"/>
    <w:rsid w:val="009874C9"/>
    <w:rsid w:val="00987689"/>
    <w:rsid w:val="00990181"/>
    <w:rsid w:val="00990216"/>
    <w:rsid w:val="009909A2"/>
    <w:rsid w:val="009919B9"/>
    <w:rsid w:val="0099200A"/>
    <w:rsid w:val="00992D08"/>
    <w:rsid w:val="00992E56"/>
    <w:rsid w:val="00993903"/>
    <w:rsid w:val="00994256"/>
    <w:rsid w:val="00995A02"/>
    <w:rsid w:val="009966CD"/>
    <w:rsid w:val="00996730"/>
    <w:rsid w:val="0099702F"/>
    <w:rsid w:val="009972A2"/>
    <w:rsid w:val="00997D83"/>
    <w:rsid w:val="009A07FD"/>
    <w:rsid w:val="009A178D"/>
    <w:rsid w:val="009A19B3"/>
    <w:rsid w:val="009A1AFC"/>
    <w:rsid w:val="009A1E35"/>
    <w:rsid w:val="009A225A"/>
    <w:rsid w:val="009A2800"/>
    <w:rsid w:val="009A2DF4"/>
    <w:rsid w:val="009A35C3"/>
    <w:rsid w:val="009A3B8D"/>
    <w:rsid w:val="009A5763"/>
    <w:rsid w:val="009A5794"/>
    <w:rsid w:val="009A635F"/>
    <w:rsid w:val="009A6447"/>
    <w:rsid w:val="009A6ECA"/>
    <w:rsid w:val="009A729F"/>
    <w:rsid w:val="009A7438"/>
    <w:rsid w:val="009B03AD"/>
    <w:rsid w:val="009B0ABA"/>
    <w:rsid w:val="009B15C2"/>
    <w:rsid w:val="009B252D"/>
    <w:rsid w:val="009B2CF1"/>
    <w:rsid w:val="009B40FA"/>
    <w:rsid w:val="009B4BD5"/>
    <w:rsid w:val="009B670A"/>
    <w:rsid w:val="009B67B3"/>
    <w:rsid w:val="009C03E5"/>
    <w:rsid w:val="009C1FF6"/>
    <w:rsid w:val="009C3D1B"/>
    <w:rsid w:val="009C3D7A"/>
    <w:rsid w:val="009C4C1C"/>
    <w:rsid w:val="009C5072"/>
    <w:rsid w:val="009C6783"/>
    <w:rsid w:val="009C69C4"/>
    <w:rsid w:val="009C76D0"/>
    <w:rsid w:val="009D011D"/>
    <w:rsid w:val="009D02C5"/>
    <w:rsid w:val="009D0ACB"/>
    <w:rsid w:val="009D0CE0"/>
    <w:rsid w:val="009D2A7B"/>
    <w:rsid w:val="009D3762"/>
    <w:rsid w:val="009D39C0"/>
    <w:rsid w:val="009D5700"/>
    <w:rsid w:val="009D5E28"/>
    <w:rsid w:val="009D7BF5"/>
    <w:rsid w:val="009D7E92"/>
    <w:rsid w:val="009E0469"/>
    <w:rsid w:val="009E1EBE"/>
    <w:rsid w:val="009E2223"/>
    <w:rsid w:val="009E2A35"/>
    <w:rsid w:val="009E3270"/>
    <w:rsid w:val="009E3429"/>
    <w:rsid w:val="009E3BB3"/>
    <w:rsid w:val="009E470E"/>
    <w:rsid w:val="009E5212"/>
    <w:rsid w:val="009E6066"/>
    <w:rsid w:val="009E6CBC"/>
    <w:rsid w:val="009E7174"/>
    <w:rsid w:val="009E7668"/>
    <w:rsid w:val="009F02F4"/>
    <w:rsid w:val="009F0721"/>
    <w:rsid w:val="009F0A0D"/>
    <w:rsid w:val="009F0D0A"/>
    <w:rsid w:val="009F444F"/>
    <w:rsid w:val="009F5772"/>
    <w:rsid w:val="009F5C05"/>
    <w:rsid w:val="009F5E38"/>
    <w:rsid w:val="009F6150"/>
    <w:rsid w:val="009F6A65"/>
    <w:rsid w:val="009F6BD4"/>
    <w:rsid w:val="009F6CAF"/>
    <w:rsid w:val="009F75D5"/>
    <w:rsid w:val="00A01063"/>
    <w:rsid w:val="00A0189A"/>
    <w:rsid w:val="00A021FF"/>
    <w:rsid w:val="00A03037"/>
    <w:rsid w:val="00A03512"/>
    <w:rsid w:val="00A03B87"/>
    <w:rsid w:val="00A05229"/>
    <w:rsid w:val="00A05287"/>
    <w:rsid w:val="00A054D7"/>
    <w:rsid w:val="00A05548"/>
    <w:rsid w:val="00A06A96"/>
    <w:rsid w:val="00A07F7E"/>
    <w:rsid w:val="00A10F9F"/>
    <w:rsid w:val="00A10FA4"/>
    <w:rsid w:val="00A11BF9"/>
    <w:rsid w:val="00A12176"/>
    <w:rsid w:val="00A125FC"/>
    <w:rsid w:val="00A12B45"/>
    <w:rsid w:val="00A14466"/>
    <w:rsid w:val="00A147AF"/>
    <w:rsid w:val="00A14AEB"/>
    <w:rsid w:val="00A1514D"/>
    <w:rsid w:val="00A15D36"/>
    <w:rsid w:val="00A16E0F"/>
    <w:rsid w:val="00A1729C"/>
    <w:rsid w:val="00A179E7"/>
    <w:rsid w:val="00A17A89"/>
    <w:rsid w:val="00A20500"/>
    <w:rsid w:val="00A20C88"/>
    <w:rsid w:val="00A22189"/>
    <w:rsid w:val="00A223DD"/>
    <w:rsid w:val="00A22E4E"/>
    <w:rsid w:val="00A234B2"/>
    <w:rsid w:val="00A23DD1"/>
    <w:rsid w:val="00A24B61"/>
    <w:rsid w:val="00A27A62"/>
    <w:rsid w:val="00A305B9"/>
    <w:rsid w:val="00A306BB"/>
    <w:rsid w:val="00A311E7"/>
    <w:rsid w:val="00A32A76"/>
    <w:rsid w:val="00A3424C"/>
    <w:rsid w:val="00A3537C"/>
    <w:rsid w:val="00A35633"/>
    <w:rsid w:val="00A358F8"/>
    <w:rsid w:val="00A35BE1"/>
    <w:rsid w:val="00A36320"/>
    <w:rsid w:val="00A37FED"/>
    <w:rsid w:val="00A4009F"/>
    <w:rsid w:val="00A403D2"/>
    <w:rsid w:val="00A40625"/>
    <w:rsid w:val="00A40E95"/>
    <w:rsid w:val="00A41A9A"/>
    <w:rsid w:val="00A41CD0"/>
    <w:rsid w:val="00A420FC"/>
    <w:rsid w:val="00A4358E"/>
    <w:rsid w:val="00A43BD4"/>
    <w:rsid w:val="00A44049"/>
    <w:rsid w:val="00A4497B"/>
    <w:rsid w:val="00A44990"/>
    <w:rsid w:val="00A45067"/>
    <w:rsid w:val="00A45BC6"/>
    <w:rsid w:val="00A45C89"/>
    <w:rsid w:val="00A471EE"/>
    <w:rsid w:val="00A4743C"/>
    <w:rsid w:val="00A47E64"/>
    <w:rsid w:val="00A50391"/>
    <w:rsid w:val="00A505B2"/>
    <w:rsid w:val="00A51C48"/>
    <w:rsid w:val="00A5257F"/>
    <w:rsid w:val="00A543F9"/>
    <w:rsid w:val="00A5577E"/>
    <w:rsid w:val="00A57AB9"/>
    <w:rsid w:val="00A60435"/>
    <w:rsid w:val="00A6062C"/>
    <w:rsid w:val="00A609B4"/>
    <w:rsid w:val="00A6150F"/>
    <w:rsid w:val="00A6174F"/>
    <w:rsid w:val="00A6188F"/>
    <w:rsid w:val="00A61983"/>
    <w:rsid w:val="00A61ADC"/>
    <w:rsid w:val="00A62203"/>
    <w:rsid w:val="00A627AB"/>
    <w:rsid w:val="00A63166"/>
    <w:rsid w:val="00A6469C"/>
    <w:rsid w:val="00A65358"/>
    <w:rsid w:val="00A668D8"/>
    <w:rsid w:val="00A70410"/>
    <w:rsid w:val="00A74267"/>
    <w:rsid w:val="00A75C62"/>
    <w:rsid w:val="00A76431"/>
    <w:rsid w:val="00A773B5"/>
    <w:rsid w:val="00A77E08"/>
    <w:rsid w:val="00A77F32"/>
    <w:rsid w:val="00A8026D"/>
    <w:rsid w:val="00A808B1"/>
    <w:rsid w:val="00A81A14"/>
    <w:rsid w:val="00A81C0A"/>
    <w:rsid w:val="00A822CB"/>
    <w:rsid w:val="00A82D0D"/>
    <w:rsid w:val="00A838D8"/>
    <w:rsid w:val="00A83AD0"/>
    <w:rsid w:val="00A84006"/>
    <w:rsid w:val="00A842D8"/>
    <w:rsid w:val="00A85B01"/>
    <w:rsid w:val="00A85FB7"/>
    <w:rsid w:val="00A86211"/>
    <w:rsid w:val="00A87346"/>
    <w:rsid w:val="00A9018A"/>
    <w:rsid w:val="00A90E03"/>
    <w:rsid w:val="00A918F1"/>
    <w:rsid w:val="00A931FA"/>
    <w:rsid w:val="00A9351D"/>
    <w:rsid w:val="00A93F83"/>
    <w:rsid w:val="00A941C9"/>
    <w:rsid w:val="00A96BE5"/>
    <w:rsid w:val="00A96C45"/>
    <w:rsid w:val="00A974BB"/>
    <w:rsid w:val="00A978E6"/>
    <w:rsid w:val="00AA0836"/>
    <w:rsid w:val="00AA086D"/>
    <w:rsid w:val="00AA131E"/>
    <w:rsid w:val="00AA19C3"/>
    <w:rsid w:val="00AA243E"/>
    <w:rsid w:val="00AA3C69"/>
    <w:rsid w:val="00AA3D8D"/>
    <w:rsid w:val="00AA4600"/>
    <w:rsid w:val="00AA46E3"/>
    <w:rsid w:val="00AA5259"/>
    <w:rsid w:val="00AA68F1"/>
    <w:rsid w:val="00AA69AE"/>
    <w:rsid w:val="00AA69D5"/>
    <w:rsid w:val="00AA73BC"/>
    <w:rsid w:val="00AA750F"/>
    <w:rsid w:val="00AB0B98"/>
    <w:rsid w:val="00AB105A"/>
    <w:rsid w:val="00AB3DBD"/>
    <w:rsid w:val="00AB440A"/>
    <w:rsid w:val="00AB471A"/>
    <w:rsid w:val="00AB4792"/>
    <w:rsid w:val="00AB62CF"/>
    <w:rsid w:val="00AB6457"/>
    <w:rsid w:val="00AB6654"/>
    <w:rsid w:val="00AB67CF"/>
    <w:rsid w:val="00AB6BD1"/>
    <w:rsid w:val="00AB7810"/>
    <w:rsid w:val="00AB7996"/>
    <w:rsid w:val="00AB7A25"/>
    <w:rsid w:val="00AC068A"/>
    <w:rsid w:val="00AC0BDC"/>
    <w:rsid w:val="00AC0E3E"/>
    <w:rsid w:val="00AC0F7F"/>
    <w:rsid w:val="00AC113E"/>
    <w:rsid w:val="00AC1A3F"/>
    <w:rsid w:val="00AC1EB3"/>
    <w:rsid w:val="00AC29AC"/>
    <w:rsid w:val="00AC37CD"/>
    <w:rsid w:val="00AC4413"/>
    <w:rsid w:val="00AC442C"/>
    <w:rsid w:val="00AC447D"/>
    <w:rsid w:val="00AC482A"/>
    <w:rsid w:val="00AC4F4F"/>
    <w:rsid w:val="00AC5F84"/>
    <w:rsid w:val="00AC6009"/>
    <w:rsid w:val="00AC6409"/>
    <w:rsid w:val="00AC64FA"/>
    <w:rsid w:val="00AC6A39"/>
    <w:rsid w:val="00AC6A45"/>
    <w:rsid w:val="00AC7CFA"/>
    <w:rsid w:val="00AD0020"/>
    <w:rsid w:val="00AD06A0"/>
    <w:rsid w:val="00AD204F"/>
    <w:rsid w:val="00AD22F5"/>
    <w:rsid w:val="00AD2A60"/>
    <w:rsid w:val="00AD318B"/>
    <w:rsid w:val="00AD3274"/>
    <w:rsid w:val="00AD342B"/>
    <w:rsid w:val="00AD413A"/>
    <w:rsid w:val="00AD44C4"/>
    <w:rsid w:val="00AD4D4E"/>
    <w:rsid w:val="00AD5260"/>
    <w:rsid w:val="00AD5267"/>
    <w:rsid w:val="00AD5705"/>
    <w:rsid w:val="00AD5C48"/>
    <w:rsid w:val="00AD70D1"/>
    <w:rsid w:val="00AD72E1"/>
    <w:rsid w:val="00AD7E55"/>
    <w:rsid w:val="00AE023A"/>
    <w:rsid w:val="00AE1993"/>
    <w:rsid w:val="00AE1BDA"/>
    <w:rsid w:val="00AE1CA8"/>
    <w:rsid w:val="00AE1F42"/>
    <w:rsid w:val="00AE3346"/>
    <w:rsid w:val="00AE4076"/>
    <w:rsid w:val="00AE420B"/>
    <w:rsid w:val="00AE502A"/>
    <w:rsid w:val="00AE5B50"/>
    <w:rsid w:val="00AE6015"/>
    <w:rsid w:val="00AE6324"/>
    <w:rsid w:val="00AE6904"/>
    <w:rsid w:val="00AE6E1A"/>
    <w:rsid w:val="00AE7AA7"/>
    <w:rsid w:val="00AF02A7"/>
    <w:rsid w:val="00AF033B"/>
    <w:rsid w:val="00AF197E"/>
    <w:rsid w:val="00AF298E"/>
    <w:rsid w:val="00AF33DD"/>
    <w:rsid w:val="00AF3802"/>
    <w:rsid w:val="00AF4064"/>
    <w:rsid w:val="00AF4405"/>
    <w:rsid w:val="00AF47DF"/>
    <w:rsid w:val="00AF6AA3"/>
    <w:rsid w:val="00AF7528"/>
    <w:rsid w:val="00AF7849"/>
    <w:rsid w:val="00AF7D0F"/>
    <w:rsid w:val="00B000C4"/>
    <w:rsid w:val="00B00278"/>
    <w:rsid w:val="00B00606"/>
    <w:rsid w:val="00B00A13"/>
    <w:rsid w:val="00B00E69"/>
    <w:rsid w:val="00B01A13"/>
    <w:rsid w:val="00B02033"/>
    <w:rsid w:val="00B0216B"/>
    <w:rsid w:val="00B02D8F"/>
    <w:rsid w:val="00B03633"/>
    <w:rsid w:val="00B03FD0"/>
    <w:rsid w:val="00B049E5"/>
    <w:rsid w:val="00B04AD4"/>
    <w:rsid w:val="00B054D9"/>
    <w:rsid w:val="00B05FF1"/>
    <w:rsid w:val="00B103AF"/>
    <w:rsid w:val="00B10520"/>
    <w:rsid w:val="00B10FC4"/>
    <w:rsid w:val="00B114E6"/>
    <w:rsid w:val="00B11C01"/>
    <w:rsid w:val="00B1334E"/>
    <w:rsid w:val="00B1535C"/>
    <w:rsid w:val="00B159E3"/>
    <w:rsid w:val="00B15DE9"/>
    <w:rsid w:val="00B163E6"/>
    <w:rsid w:val="00B16802"/>
    <w:rsid w:val="00B16DCF"/>
    <w:rsid w:val="00B171B3"/>
    <w:rsid w:val="00B20926"/>
    <w:rsid w:val="00B20AC0"/>
    <w:rsid w:val="00B20F70"/>
    <w:rsid w:val="00B2146F"/>
    <w:rsid w:val="00B217F5"/>
    <w:rsid w:val="00B21AD6"/>
    <w:rsid w:val="00B2205D"/>
    <w:rsid w:val="00B23401"/>
    <w:rsid w:val="00B23937"/>
    <w:rsid w:val="00B239C9"/>
    <w:rsid w:val="00B2442C"/>
    <w:rsid w:val="00B24F90"/>
    <w:rsid w:val="00B26012"/>
    <w:rsid w:val="00B26532"/>
    <w:rsid w:val="00B304F2"/>
    <w:rsid w:val="00B305CC"/>
    <w:rsid w:val="00B30620"/>
    <w:rsid w:val="00B342C2"/>
    <w:rsid w:val="00B346E5"/>
    <w:rsid w:val="00B34710"/>
    <w:rsid w:val="00B35D18"/>
    <w:rsid w:val="00B36095"/>
    <w:rsid w:val="00B37155"/>
    <w:rsid w:val="00B372B3"/>
    <w:rsid w:val="00B402F4"/>
    <w:rsid w:val="00B40924"/>
    <w:rsid w:val="00B4107A"/>
    <w:rsid w:val="00B410D9"/>
    <w:rsid w:val="00B41A75"/>
    <w:rsid w:val="00B420F7"/>
    <w:rsid w:val="00B42337"/>
    <w:rsid w:val="00B42654"/>
    <w:rsid w:val="00B4280E"/>
    <w:rsid w:val="00B44B4B"/>
    <w:rsid w:val="00B45400"/>
    <w:rsid w:val="00B454CF"/>
    <w:rsid w:val="00B463DC"/>
    <w:rsid w:val="00B4649B"/>
    <w:rsid w:val="00B4766A"/>
    <w:rsid w:val="00B47BB0"/>
    <w:rsid w:val="00B500B6"/>
    <w:rsid w:val="00B50BC4"/>
    <w:rsid w:val="00B515B5"/>
    <w:rsid w:val="00B51747"/>
    <w:rsid w:val="00B51D33"/>
    <w:rsid w:val="00B523AA"/>
    <w:rsid w:val="00B530FD"/>
    <w:rsid w:val="00B53632"/>
    <w:rsid w:val="00B545DC"/>
    <w:rsid w:val="00B5525B"/>
    <w:rsid w:val="00B553FA"/>
    <w:rsid w:val="00B55E15"/>
    <w:rsid w:val="00B56311"/>
    <w:rsid w:val="00B565E3"/>
    <w:rsid w:val="00B603CE"/>
    <w:rsid w:val="00B605F5"/>
    <w:rsid w:val="00B6135D"/>
    <w:rsid w:val="00B61F0A"/>
    <w:rsid w:val="00B63706"/>
    <w:rsid w:val="00B64032"/>
    <w:rsid w:val="00B65B55"/>
    <w:rsid w:val="00B7182B"/>
    <w:rsid w:val="00B724E5"/>
    <w:rsid w:val="00B72738"/>
    <w:rsid w:val="00B73864"/>
    <w:rsid w:val="00B73EB5"/>
    <w:rsid w:val="00B74326"/>
    <w:rsid w:val="00B74E05"/>
    <w:rsid w:val="00B764BA"/>
    <w:rsid w:val="00B76767"/>
    <w:rsid w:val="00B76BCF"/>
    <w:rsid w:val="00B76C6A"/>
    <w:rsid w:val="00B77376"/>
    <w:rsid w:val="00B77740"/>
    <w:rsid w:val="00B77934"/>
    <w:rsid w:val="00B77E52"/>
    <w:rsid w:val="00B80683"/>
    <w:rsid w:val="00B80FAA"/>
    <w:rsid w:val="00B816C1"/>
    <w:rsid w:val="00B83682"/>
    <w:rsid w:val="00B856A6"/>
    <w:rsid w:val="00B857A0"/>
    <w:rsid w:val="00B85807"/>
    <w:rsid w:val="00B86E71"/>
    <w:rsid w:val="00B871EB"/>
    <w:rsid w:val="00B8740A"/>
    <w:rsid w:val="00B90399"/>
    <w:rsid w:val="00B90846"/>
    <w:rsid w:val="00B90A7D"/>
    <w:rsid w:val="00B92FCD"/>
    <w:rsid w:val="00B9303B"/>
    <w:rsid w:val="00B93F92"/>
    <w:rsid w:val="00B96175"/>
    <w:rsid w:val="00B974C9"/>
    <w:rsid w:val="00B978F1"/>
    <w:rsid w:val="00B97B23"/>
    <w:rsid w:val="00B97BC7"/>
    <w:rsid w:val="00BA0D85"/>
    <w:rsid w:val="00BA1162"/>
    <w:rsid w:val="00BA235B"/>
    <w:rsid w:val="00BA2F8F"/>
    <w:rsid w:val="00BA30A0"/>
    <w:rsid w:val="00BA3B61"/>
    <w:rsid w:val="00BA3CD8"/>
    <w:rsid w:val="00BA5C1D"/>
    <w:rsid w:val="00BA5C9D"/>
    <w:rsid w:val="00BA5F99"/>
    <w:rsid w:val="00BA69C4"/>
    <w:rsid w:val="00BA6F37"/>
    <w:rsid w:val="00BB042C"/>
    <w:rsid w:val="00BB048C"/>
    <w:rsid w:val="00BB140D"/>
    <w:rsid w:val="00BB1FBD"/>
    <w:rsid w:val="00BB2E46"/>
    <w:rsid w:val="00BB319E"/>
    <w:rsid w:val="00BB337E"/>
    <w:rsid w:val="00BB362A"/>
    <w:rsid w:val="00BB4495"/>
    <w:rsid w:val="00BB4CE4"/>
    <w:rsid w:val="00BB52C6"/>
    <w:rsid w:val="00BB550E"/>
    <w:rsid w:val="00BB587F"/>
    <w:rsid w:val="00BB5F88"/>
    <w:rsid w:val="00BB67C1"/>
    <w:rsid w:val="00BB7B83"/>
    <w:rsid w:val="00BB7E6C"/>
    <w:rsid w:val="00BC0A53"/>
    <w:rsid w:val="00BC0FBD"/>
    <w:rsid w:val="00BC10DA"/>
    <w:rsid w:val="00BC31CD"/>
    <w:rsid w:val="00BC3E93"/>
    <w:rsid w:val="00BC413E"/>
    <w:rsid w:val="00BC431C"/>
    <w:rsid w:val="00BC4621"/>
    <w:rsid w:val="00BC4F2B"/>
    <w:rsid w:val="00BC51C1"/>
    <w:rsid w:val="00BC53AC"/>
    <w:rsid w:val="00BC6261"/>
    <w:rsid w:val="00BC6A95"/>
    <w:rsid w:val="00BC7F51"/>
    <w:rsid w:val="00BD0258"/>
    <w:rsid w:val="00BD07F9"/>
    <w:rsid w:val="00BD1052"/>
    <w:rsid w:val="00BD2933"/>
    <w:rsid w:val="00BD318D"/>
    <w:rsid w:val="00BD3440"/>
    <w:rsid w:val="00BD367B"/>
    <w:rsid w:val="00BD36BD"/>
    <w:rsid w:val="00BD371A"/>
    <w:rsid w:val="00BD371E"/>
    <w:rsid w:val="00BD3959"/>
    <w:rsid w:val="00BD3D1F"/>
    <w:rsid w:val="00BD543F"/>
    <w:rsid w:val="00BD6626"/>
    <w:rsid w:val="00BD7715"/>
    <w:rsid w:val="00BD7C50"/>
    <w:rsid w:val="00BE012D"/>
    <w:rsid w:val="00BE0653"/>
    <w:rsid w:val="00BE1248"/>
    <w:rsid w:val="00BE1C1D"/>
    <w:rsid w:val="00BE1F03"/>
    <w:rsid w:val="00BE21C9"/>
    <w:rsid w:val="00BE2DB4"/>
    <w:rsid w:val="00BE3A94"/>
    <w:rsid w:val="00BE4010"/>
    <w:rsid w:val="00BE4949"/>
    <w:rsid w:val="00BE5406"/>
    <w:rsid w:val="00BE594F"/>
    <w:rsid w:val="00BE6749"/>
    <w:rsid w:val="00BE7055"/>
    <w:rsid w:val="00BE734B"/>
    <w:rsid w:val="00BE7778"/>
    <w:rsid w:val="00BF0302"/>
    <w:rsid w:val="00BF0717"/>
    <w:rsid w:val="00BF093A"/>
    <w:rsid w:val="00BF0B0C"/>
    <w:rsid w:val="00BF0C78"/>
    <w:rsid w:val="00BF125E"/>
    <w:rsid w:val="00BF13B0"/>
    <w:rsid w:val="00BF1B54"/>
    <w:rsid w:val="00BF2B2C"/>
    <w:rsid w:val="00BF3A96"/>
    <w:rsid w:val="00BF4247"/>
    <w:rsid w:val="00BF48E1"/>
    <w:rsid w:val="00BF48FD"/>
    <w:rsid w:val="00BF4AB5"/>
    <w:rsid w:val="00BF4C78"/>
    <w:rsid w:val="00BF4C80"/>
    <w:rsid w:val="00BF6913"/>
    <w:rsid w:val="00BF7002"/>
    <w:rsid w:val="00C009A7"/>
    <w:rsid w:val="00C02809"/>
    <w:rsid w:val="00C02A45"/>
    <w:rsid w:val="00C03003"/>
    <w:rsid w:val="00C03E96"/>
    <w:rsid w:val="00C046BD"/>
    <w:rsid w:val="00C05235"/>
    <w:rsid w:val="00C05583"/>
    <w:rsid w:val="00C057A1"/>
    <w:rsid w:val="00C069ED"/>
    <w:rsid w:val="00C07B6C"/>
    <w:rsid w:val="00C07DCD"/>
    <w:rsid w:val="00C10077"/>
    <w:rsid w:val="00C102DD"/>
    <w:rsid w:val="00C104A4"/>
    <w:rsid w:val="00C119C0"/>
    <w:rsid w:val="00C126A4"/>
    <w:rsid w:val="00C133ED"/>
    <w:rsid w:val="00C13568"/>
    <w:rsid w:val="00C13964"/>
    <w:rsid w:val="00C13B69"/>
    <w:rsid w:val="00C14EFB"/>
    <w:rsid w:val="00C16F8D"/>
    <w:rsid w:val="00C17647"/>
    <w:rsid w:val="00C17832"/>
    <w:rsid w:val="00C206E8"/>
    <w:rsid w:val="00C206EE"/>
    <w:rsid w:val="00C226BD"/>
    <w:rsid w:val="00C226D0"/>
    <w:rsid w:val="00C22848"/>
    <w:rsid w:val="00C233E3"/>
    <w:rsid w:val="00C235D8"/>
    <w:rsid w:val="00C23C30"/>
    <w:rsid w:val="00C23E4C"/>
    <w:rsid w:val="00C24783"/>
    <w:rsid w:val="00C24B78"/>
    <w:rsid w:val="00C250F7"/>
    <w:rsid w:val="00C26AB2"/>
    <w:rsid w:val="00C26BCC"/>
    <w:rsid w:val="00C273B1"/>
    <w:rsid w:val="00C30457"/>
    <w:rsid w:val="00C30487"/>
    <w:rsid w:val="00C30904"/>
    <w:rsid w:val="00C309B6"/>
    <w:rsid w:val="00C31866"/>
    <w:rsid w:val="00C31E77"/>
    <w:rsid w:val="00C329D0"/>
    <w:rsid w:val="00C32F30"/>
    <w:rsid w:val="00C33817"/>
    <w:rsid w:val="00C33CED"/>
    <w:rsid w:val="00C33E91"/>
    <w:rsid w:val="00C346D6"/>
    <w:rsid w:val="00C348E3"/>
    <w:rsid w:val="00C37C33"/>
    <w:rsid w:val="00C40D14"/>
    <w:rsid w:val="00C4150F"/>
    <w:rsid w:val="00C41CA7"/>
    <w:rsid w:val="00C426E8"/>
    <w:rsid w:val="00C42C29"/>
    <w:rsid w:val="00C42DE4"/>
    <w:rsid w:val="00C433F7"/>
    <w:rsid w:val="00C43832"/>
    <w:rsid w:val="00C448C2"/>
    <w:rsid w:val="00C44DA8"/>
    <w:rsid w:val="00C45BB1"/>
    <w:rsid w:val="00C479BB"/>
    <w:rsid w:val="00C47D62"/>
    <w:rsid w:val="00C50250"/>
    <w:rsid w:val="00C509DA"/>
    <w:rsid w:val="00C514E1"/>
    <w:rsid w:val="00C52068"/>
    <w:rsid w:val="00C5270F"/>
    <w:rsid w:val="00C528EF"/>
    <w:rsid w:val="00C528FD"/>
    <w:rsid w:val="00C52985"/>
    <w:rsid w:val="00C5354E"/>
    <w:rsid w:val="00C5406C"/>
    <w:rsid w:val="00C5434F"/>
    <w:rsid w:val="00C545A6"/>
    <w:rsid w:val="00C54680"/>
    <w:rsid w:val="00C548A4"/>
    <w:rsid w:val="00C54DBA"/>
    <w:rsid w:val="00C55743"/>
    <w:rsid w:val="00C559E3"/>
    <w:rsid w:val="00C55BC0"/>
    <w:rsid w:val="00C56F8B"/>
    <w:rsid w:val="00C601E0"/>
    <w:rsid w:val="00C60EE4"/>
    <w:rsid w:val="00C6265E"/>
    <w:rsid w:val="00C630B1"/>
    <w:rsid w:val="00C655A1"/>
    <w:rsid w:val="00C66466"/>
    <w:rsid w:val="00C67256"/>
    <w:rsid w:val="00C67A71"/>
    <w:rsid w:val="00C67C2B"/>
    <w:rsid w:val="00C67EFA"/>
    <w:rsid w:val="00C67FF1"/>
    <w:rsid w:val="00C70173"/>
    <w:rsid w:val="00C70308"/>
    <w:rsid w:val="00C70E01"/>
    <w:rsid w:val="00C70F2C"/>
    <w:rsid w:val="00C713E7"/>
    <w:rsid w:val="00C71504"/>
    <w:rsid w:val="00C74BEC"/>
    <w:rsid w:val="00C75343"/>
    <w:rsid w:val="00C76E5F"/>
    <w:rsid w:val="00C76ED3"/>
    <w:rsid w:val="00C77491"/>
    <w:rsid w:val="00C7786B"/>
    <w:rsid w:val="00C77D7C"/>
    <w:rsid w:val="00C77F38"/>
    <w:rsid w:val="00C81EE7"/>
    <w:rsid w:val="00C826E0"/>
    <w:rsid w:val="00C828B0"/>
    <w:rsid w:val="00C828B2"/>
    <w:rsid w:val="00C82B5F"/>
    <w:rsid w:val="00C83215"/>
    <w:rsid w:val="00C83317"/>
    <w:rsid w:val="00C839FF"/>
    <w:rsid w:val="00C84109"/>
    <w:rsid w:val="00C845B4"/>
    <w:rsid w:val="00C845E8"/>
    <w:rsid w:val="00C84764"/>
    <w:rsid w:val="00C8525B"/>
    <w:rsid w:val="00C856DC"/>
    <w:rsid w:val="00C864F8"/>
    <w:rsid w:val="00C86890"/>
    <w:rsid w:val="00C86DAB"/>
    <w:rsid w:val="00C87CCF"/>
    <w:rsid w:val="00C90642"/>
    <w:rsid w:val="00C9249E"/>
    <w:rsid w:val="00C92C52"/>
    <w:rsid w:val="00C93302"/>
    <w:rsid w:val="00C93DCD"/>
    <w:rsid w:val="00C93EA5"/>
    <w:rsid w:val="00C9424F"/>
    <w:rsid w:val="00C94294"/>
    <w:rsid w:val="00C94D1E"/>
    <w:rsid w:val="00C9516A"/>
    <w:rsid w:val="00C9595F"/>
    <w:rsid w:val="00C95B15"/>
    <w:rsid w:val="00C9615F"/>
    <w:rsid w:val="00C96882"/>
    <w:rsid w:val="00C96A24"/>
    <w:rsid w:val="00C9704E"/>
    <w:rsid w:val="00CA15F4"/>
    <w:rsid w:val="00CA216C"/>
    <w:rsid w:val="00CA32EB"/>
    <w:rsid w:val="00CA3790"/>
    <w:rsid w:val="00CA391B"/>
    <w:rsid w:val="00CA49A6"/>
    <w:rsid w:val="00CA4E80"/>
    <w:rsid w:val="00CA6FE6"/>
    <w:rsid w:val="00CA7D55"/>
    <w:rsid w:val="00CB0623"/>
    <w:rsid w:val="00CB0B33"/>
    <w:rsid w:val="00CB10F2"/>
    <w:rsid w:val="00CB1675"/>
    <w:rsid w:val="00CB1694"/>
    <w:rsid w:val="00CB204B"/>
    <w:rsid w:val="00CB20F3"/>
    <w:rsid w:val="00CB2190"/>
    <w:rsid w:val="00CB2671"/>
    <w:rsid w:val="00CB2A3F"/>
    <w:rsid w:val="00CB2B09"/>
    <w:rsid w:val="00CB3703"/>
    <w:rsid w:val="00CB4A78"/>
    <w:rsid w:val="00CB4C4D"/>
    <w:rsid w:val="00CB59D7"/>
    <w:rsid w:val="00CB689A"/>
    <w:rsid w:val="00CB71E2"/>
    <w:rsid w:val="00CB788B"/>
    <w:rsid w:val="00CB78A6"/>
    <w:rsid w:val="00CC1044"/>
    <w:rsid w:val="00CC1B70"/>
    <w:rsid w:val="00CC1FB5"/>
    <w:rsid w:val="00CC205D"/>
    <w:rsid w:val="00CC2701"/>
    <w:rsid w:val="00CC56D1"/>
    <w:rsid w:val="00CC68A1"/>
    <w:rsid w:val="00CC7032"/>
    <w:rsid w:val="00CD0D8B"/>
    <w:rsid w:val="00CD12C5"/>
    <w:rsid w:val="00CD1669"/>
    <w:rsid w:val="00CD302B"/>
    <w:rsid w:val="00CD3AC0"/>
    <w:rsid w:val="00CD3CA5"/>
    <w:rsid w:val="00CD4C86"/>
    <w:rsid w:val="00CD6D7D"/>
    <w:rsid w:val="00CD6FDD"/>
    <w:rsid w:val="00CD7719"/>
    <w:rsid w:val="00CD7C7C"/>
    <w:rsid w:val="00CE1CE7"/>
    <w:rsid w:val="00CE2B29"/>
    <w:rsid w:val="00CE2D4C"/>
    <w:rsid w:val="00CE4212"/>
    <w:rsid w:val="00CE65E5"/>
    <w:rsid w:val="00CE6E92"/>
    <w:rsid w:val="00CF030E"/>
    <w:rsid w:val="00CF046A"/>
    <w:rsid w:val="00CF08E8"/>
    <w:rsid w:val="00CF171C"/>
    <w:rsid w:val="00CF1872"/>
    <w:rsid w:val="00CF2334"/>
    <w:rsid w:val="00CF2B22"/>
    <w:rsid w:val="00CF313B"/>
    <w:rsid w:val="00CF3273"/>
    <w:rsid w:val="00CF3572"/>
    <w:rsid w:val="00CF39AA"/>
    <w:rsid w:val="00CF424E"/>
    <w:rsid w:val="00CF46F4"/>
    <w:rsid w:val="00CF57A7"/>
    <w:rsid w:val="00CF5847"/>
    <w:rsid w:val="00CF5E05"/>
    <w:rsid w:val="00CF611F"/>
    <w:rsid w:val="00CF63BD"/>
    <w:rsid w:val="00CF69B0"/>
    <w:rsid w:val="00CF7EE7"/>
    <w:rsid w:val="00D000B7"/>
    <w:rsid w:val="00D005B3"/>
    <w:rsid w:val="00D00A2C"/>
    <w:rsid w:val="00D01B10"/>
    <w:rsid w:val="00D01F63"/>
    <w:rsid w:val="00D02E64"/>
    <w:rsid w:val="00D02FC4"/>
    <w:rsid w:val="00D0407F"/>
    <w:rsid w:val="00D05BC9"/>
    <w:rsid w:val="00D0650E"/>
    <w:rsid w:val="00D06682"/>
    <w:rsid w:val="00D070EF"/>
    <w:rsid w:val="00D071D0"/>
    <w:rsid w:val="00D07A59"/>
    <w:rsid w:val="00D10181"/>
    <w:rsid w:val="00D117EF"/>
    <w:rsid w:val="00D13C11"/>
    <w:rsid w:val="00D146A4"/>
    <w:rsid w:val="00D14A99"/>
    <w:rsid w:val="00D15337"/>
    <w:rsid w:val="00D1578D"/>
    <w:rsid w:val="00D15C87"/>
    <w:rsid w:val="00D16196"/>
    <w:rsid w:val="00D161F2"/>
    <w:rsid w:val="00D16293"/>
    <w:rsid w:val="00D162B5"/>
    <w:rsid w:val="00D167A9"/>
    <w:rsid w:val="00D17917"/>
    <w:rsid w:val="00D17D05"/>
    <w:rsid w:val="00D2144A"/>
    <w:rsid w:val="00D21A9F"/>
    <w:rsid w:val="00D21C67"/>
    <w:rsid w:val="00D21D3F"/>
    <w:rsid w:val="00D21FB4"/>
    <w:rsid w:val="00D21FDE"/>
    <w:rsid w:val="00D223A4"/>
    <w:rsid w:val="00D22776"/>
    <w:rsid w:val="00D22EEE"/>
    <w:rsid w:val="00D22F04"/>
    <w:rsid w:val="00D2312D"/>
    <w:rsid w:val="00D236CD"/>
    <w:rsid w:val="00D25665"/>
    <w:rsid w:val="00D25999"/>
    <w:rsid w:val="00D2708F"/>
    <w:rsid w:val="00D2723F"/>
    <w:rsid w:val="00D314D0"/>
    <w:rsid w:val="00D315BD"/>
    <w:rsid w:val="00D31918"/>
    <w:rsid w:val="00D31B58"/>
    <w:rsid w:val="00D32FF5"/>
    <w:rsid w:val="00D3388E"/>
    <w:rsid w:val="00D33A7C"/>
    <w:rsid w:val="00D33E38"/>
    <w:rsid w:val="00D342D2"/>
    <w:rsid w:val="00D343EA"/>
    <w:rsid w:val="00D346E9"/>
    <w:rsid w:val="00D34CF9"/>
    <w:rsid w:val="00D3530D"/>
    <w:rsid w:val="00D368ED"/>
    <w:rsid w:val="00D36B88"/>
    <w:rsid w:val="00D37BBF"/>
    <w:rsid w:val="00D37DFD"/>
    <w:rsid w:val="00D37E2A"/>
    <w:rsid w:val="00D37FC3"/>
    <w:rsid w:val="00D4008F"/>
    <w:rsid w:val="00D408CF"/>
    <w:rsid w:val="00D410A8"/>
    <w:rsid w:val="00D41C50"/>
    <w:rsid w:val="00D42157"/>
    <w:rsid w:val="00D42879"/>
    <w:rsid w:val="00D4338F"/>
    <w:rsid w:val="00D439A0"/>
    <w:rsid w:val="00D445BF"/>
    <w:rsid w:val="00D445FC"/>
    <w:rsid w:val="00D44762"/>
    <w:rsid w:val="00D45C05"/>
    <w:rsid w:val="00D47593"/>
    <w:rsid w:val="00D47E92"/>
    <w:rsid w:val="00D50EFC"/>
    <w:rsid w:val="00D5149D"/>
    <w:rsid w:val="00D51E85"/>
    <w:rsid w:val="00D52D6F"/>
    <w:rsid w:val="00D53FA0"/>
    <w:rsid w:val="00D55572"/>
    <w:rsid w:val="00D557E7"/>
    <w:rsid w:val="00D57AC9"/>
    <w:rsid w:val="00D6097A"/>
    <w:rsid w:val="00D60ECE"/>
    <w:rsid w:val="00D62E52"/>
    <w:rsid w:val="00D633C6"/>
    <w:rsid w:val="00D636CF"/>
    <w:rsid w:val="00D63779"/>
    <w:rsid w:val="00D638C3"/>
    <w:rsid w:val="00D63D67"/>
    <w:rsid w:val="00D63DBA"/>
    <w:rsid w:val="00D64DB7"/>
    <w:rsid w:val="00D656FE"/>
    <w:rsid w:val="00D6657D"/>
    <w:rsid w:val="00D66CF8"/>
    <w:rsid w:val="00D673C7"/>
    <w:rsid w:val="00D70E4B"/>
    <w:rsid w:val="00D70E61"/>
    <w:rsid w:val="00D714A1"/>
    <w:rsid w:val="00D72963"/>
    <w:rsid w:val="00D72EC9"/>
    <w:rsid w:val="00D72EF9"/>
    <w:rsid w:val="00D738D4"/>
    <w:rsid w:val="00D74095"/>
    <w:rsid w:val="00D74BC8"/>
    <w:rsid w:val="00D75260"/>
    <w:rsid w:val="00D76D38"/>
    <w:rsid w:val="00D77AA1"/>
    <w:rsid w:val="00D802EC"/>
    <w:rsid w:val="00D80910"/>
    <w:rsid w:val="00D827CE"/>
    <w:rsid w:val="00D83040"/>
    <w:rsid w:val="00D837C4"/>
    <w:rsid w:val="00D83E00"/>
    <w:rsid w:val="00D84011"/>
    <w:rsid w:val="00D8455E"/>
    <w:rsid w:val="00D84C58"/>
    <w:rsid w:val="00D85575"/>
    <w:rsid w:val="00D85F05"/>
    <w:rsid w:val="00D8666D"/>
    <w:rsid w:val="00D87A34"/>
    <w:rsid w:val="00D92B41"/>
    <w:rsid w:val="00D92F21"/>
    <w:rsid w:val="00D9472E"/>
    <w:rsid w:val="00D94EFC"/>
    <w:rsid w:val="00D9514A"/>
    <w:rsid w:val="00D95B73"/>
    <w:rsid w:val="00D969F9"/>
    <w:rsid w:val="00D97B33"/>
    <w:rsid w:val="00D97D3D"/>
    <w:rsid w:val="00D97DB5"/>
    <w:rsid w:val="00DA055C"/>
    <w:rsid w:val="00DA0985"/>
    <w:rsid w:val="00DA10B6"/>
    <w:rsid w:val="00DA19AB"/>
    <w:rsid w:val="00DA217B"/>
    <w:rsid w:val="00DA2E77"/>
    <w:rsid w:val="00DA4A09"/>
    <w:rsid w:val="00DA5AAD"/>
    <w:rsid w:val="00DA5AC2"/>
    <w:rsid w:val="00DA5D80"/>
    <w:rsid w:val="00DA6789"/>
    <w:rsid w:val="00DA77B8"/>
    <w:rsid w:val="00DB047C"/>
    <w:rsid w:val="00DB0A2F"/>
    <w:rsid w:val="00DB0D43"/>
    <w:rsid w:val="00DB18C3"/>
    <w:rsid w:val="00DB1D1F"/>
    <w:rsid w:val="00DB2302"/>
    <w:rsid w:val="00DB2B22"/>
    <w:rsid w:val="00DB3B68"/>
    <w:rsid w:val="00DB4FB4"/>
    <w:rsid w:val="00DB5412"/>
    <w:rsid w:val="00DB7199"/>
    <w:rsid w:val="00DB725F"/>
    <w:rsid w:val="00DB7977"/>
    <w:rsid w:val="00DB7AD9"/>
    <w:rsid w:val="00DB7DFB"/>
    <w:rsid w:val="00DC0C2D"/>
    <w:rsid w:val="00DC34B0"/>
    <w:rsid w:val="00DC38E1"/>
    <w:rsid w:val="00DC49D3"/>
    <w:rsid w:val="00DC5282"/>
    <w:rsid w:val="00DC55BD"/>
    <w:rsid w:val="00DC5B45"/>
    <w:rsid w:val="00DC621A"/>
    <w:rsid w:val="00DC648B"/>
    <w:rsid w:val="00DC6CD7"/>
    <w:rsid w:val="00DC6EAD"/>
    <w:rsid w:val="00DC72F5"/>
    <w:rsid w:val="00DD079A"/>
    <w:rsid w:val="00DD07BD"/>
    <w:rsid w:val="00DD2413"/>
    <w:rsid w:val="00DD2663"/>
    <w:rsid w:val="00DD27D3"/>
    <w:rsid w:val="00DD3433"/>
    <w:rsid w:val="00DD63EC"/>
    <w:rsid w:val="00DD769B"/>
    <w:rsid w:val="00DD7E6D"/>
    <w:rsid w:val="00DE0B01"/>
    <w:rsid w:val="00DE2CBE"/>
    <w:rsid w:val="00DE312D"/>
    <w:rsid w:val="00DE369D"/>
    <w:rsid w:val="00DE39D5"/>
    <w:rsid w:val="00DE3D75"/>
    <w:rsid w:val="00DE433C"/>
    <w:rsid w:val="00DE440C"/>
    <w:rsid w:val="00DE45FD"/>
    <w:rsid w:val="00DE4F07"/>
    <w:rsid w:val="00DE59E2"/>
    <w:rsid w:val="00DE5DB7"/>
    <w:rsid w:val="00DE5EC4"/>
    <w:rsid w:val="00DE6077"/>
    <w:rsid w:val="00DE6EE2"/>
    <w:rsid w:val="00DE77D5"/>
    <w:rsid w:val="00DF05DD"/>
    <w:rsid w:val="00DF0B68"/>
    <w:rsid w:val="00DF0B96"/>
    <w:rsid w:val="00DF0CF5"/>
    <w:rsid w:val="00DF21D9"/>
    <w:rsid w:val="00DF2458"/>
    <w:rsid w:val="00DF29FE"/>
    <w:rsid w:val="00DF3463"/>
    <w:rsid w:val="00DF35C7"/>
    <w:rsid w:val="00DF38AE"/>
    <w:rsid w:val="00DF3AB1"/>
    <w:rsid w:val="00DF5467"/>
    <w:rsid w:val="00DF5574"/>
    <w:rsid w:val="00DF5C01"/>
    <w:rsid w:val="00DF6611"/>
    <w:rsid w:val="00DF6DDE"/>
    <w:rsid w:val="00DF7387"/>
    <w:rsid w:val="00DF7833"/>
    <w:rsid w:val="00DF7DF6"/>
    <w:rsid w:val="00E00293"/>
    <w:rsid w:val="00E00464"/>
    <w:rsid w:val="00E01469"/>
    <w:rsid w:val="00E01660"/>
    <w:rsid w:val="00E01A32"/>
    <w:rsid w:val="00E030A8"/>
    <w:rsid w:val="00E035BC"/>
    <w:rsid w:val="00E06038"/>
    <w:rsid w:val="00E06B1E"/>
    <w:rsid w:val="00E077E5"/>
    <w:rsid w:val="00E07A09"/>
    <w:rsid w:val="00E07A2A"/>
    <w:rsid w:val="00E100F1"/>
    <w:rsid w:val="00E10410"/>
    <w:rsid w:val="00E10451"/>
    <w:rsid w:val="00E11E59"/>
    <w:rsid w:val="00E12306"/>
    <w:rsid w:val="00E12C47"/>
    <w:rsid w:val="00E134F4"/>
    <w:rsid w:val="00E142C3"/>
    <w:rsid w:val="00E14704"/>
    <w:rsid w:val="00E15D75"/>
    <w:rsid w:val="00E17551"/>
    <w:rsid w:val="00E213B6"/>
    <w:rsid w:val="00E22450"/>
    <w:rsid w:val="00E23245"/>
    <w:rsid w:val="00E24837"/>
    <w:rsid w:val="00E252A4"/>
    <w:rsid w:val="00E255AA"/>
    <w:rsid w:val="00E26047"/>
    <w:rsid w:val="00E266A8"/>
    <w:rsid w:val="00E26B2D"/>
    <w:rsid w:val="00E26ED8"/>
    <w:rsid w:val="00E27FB2"/>
    <w:rsid w:val="00E30192"/>
    <w:rsid w:val="00E31442"/>
    <w:rsid w:val="00E331C3"/>
    <w:rsid w:val="00E33B55"/>
    <w:rsid w:val="00E351A0"/>
    <w:rsid w:val="00E36A02"/>
    <w:rsid w:val="00E402DE"/>
    <w:rsid w:val="00E40BEE"/>
    <w:rsid w:val="00E40F37"/>
    <w:rsid w:val="00E420CD"/>
    <w:rsid w:val="00E42225"/>
    <w:rsid w:val="00E426D4"/>
    <w:rsid w:val="00E42976"/>
    <w:rsid w:val="00E4361B"/>
    <w:rsid w:val="00E442AF"/>
    <w:rsid w:val="00E44C69"/>
    <w:rsid w:val="00E44E56"/>
    <w:rsid w:val="00E4629B"/>
    <w:rsid w:val="00E467F5"/>
    <w:rsid w:val="00E469B4"/>
    <w:rsid w:val="00E473E5"/>
    <w:rsid w:val="00E47B76"/>
    <w:rsid w:val="00E47DC6"/>
    <w:rsid w:val="00E501B7"/>
    <w:rsid w:val="00E50398"/>
    <w:rsid w:val="00E51A93"/>
    <w:rsid w:val="00E5208D"/>
    <w:rsid w:val="00E52189"/>
    <w:rsid w:val="00E5356D"/>
    <w:rsid w:val="00E539E8"/>
    <w:rsid w:val="00E55E29"/>
    <w:rsid w:val="00E6062E"/>
    <w:rsid w:val="00E6106D"/>
    <w:rsid w:val="00E61A2A"/>
    <w:rsid w:val="00E61B50"/>
    <w:rsid w:val="00E621BA"/>
    <w:rsid w:val="00E625BE"/>
    <w:rsid w:val="00E63F62"/>
    <w:rsid w:val="00E644D0"/>
    <w:rsid w:val="00E645DD"/>
    <w:rsid w:val="00E649A8"/>
    <w:rsid w:val="00E64D77"/>
    <w:rsid w:val="00E70E07"/>
    <w:rsid w:val="00E72220"/>
    <w:rsid w:val="00E728D9"/>
    <w:rsid w:val="00E73D6C"/>
    <w:rsid w:val="00E73DA0"/>
    <w:rsid w:val="00E7430F"/>
    <w:rsid w:val="00E74C0D"/>
    <w:rsid w:val="00E74F71"/>
    <w:rsid w:val="00E7523E"/>
    <w:rsid w:val="00E75542"/>
    <w:rsid w:val="00E757EF"/>
    <w:rsid w:val="00E75E87"/>
    <w:rsid w:val="00E76AA9"/>
    <w:rsid w:val="00E77990"/>
    <w:rsid w:val="00E80419"/>
    <w:rsid w:val="00E80A36"/>
    <w:rsid w:val="00E82952"/>
    <w:rsid w:val="00E82ED5"/>
    <w:rsid w:val="00E83C0D"/>
    <w:rsid w:val="00E83D6C"/>
    <w:rsid w:val="00E84317"/>
    <w:rsid w:val="00E862D1"/>
    <w:rsid w:val="00E865B4"/>
    <w:rsid w:val="00E86AFD"/>
    <w:rsid w:val="00E879D0"/>
    <w:rsid w:val="00E87FE1"/>
    <w:rsid w:val="00E9033F"/>
    <w:rsid w:val="00E90552"/>
    <w:rsid w:val="00E90A95"/>
    <w:rsid w:val="00E93569"/>
    <w:rsid w:val="00E948ED"/>
    <w:rsid w:val="00E94E25"/>
    <w:rsid w:val="00E95212"/>
    <w:rsid w:val="00E95E33"/>
    <w:rsid w:val="00E96ED1"/>
    <w:rsid w:val="00EA04A3"/>
    <w:rsid w:val="00EA1D4D"/>
    <w:rsid w:val="00EA288C"/>
    <w:rsid w:val="00EA3A13"/>
    <w:rsid w:val="00EA3D10"/>
    <w:rsid w:val="00EA3F54"/>
    <w:rsid w:val="00EA42FC"/>
    <w:rsid w:val="00EA49F9"/>
    <w:rsid w:val="00EA548E"/>
    <w:rsid w:val="00EA665A"/>
    <w:rsid w:val="00EA7366"/>
    <w:rsid w:val="00EA76E9"/>
    <w:rsid w:val="00EB0543"/>
    <w:rsid w:val="00EB0AAB"/>
    <w:rsid w:val="00EB312B"/>
    <w:rsid w:val="00EB3E3D"/>
    <w:rsid w:val="00EB4980"/>
    <w:rsid w:val="00EB5E19"/>
    <w:rsid w:val="00EB64FD"/>
    <w:rsid w:val="00EB657E"/>
    <w:rsid w:val="00EB7611"/>
    <w:rsid w:val="00EB7643"/>
    <w:rsid w:val="00EB7D03"/>
    <w:rsid w:val="00EB7EF8"/>
    <w:rsid w:val="00EC08B3"/>
    <w:rsid w:val="00EC0C9D"/>
    <w:rsid w:val="00EC0F97"/>
    <w:rsid w:val="00EC1449"/>
    <w:rsid w:val="00EC1CBA"/>
    <w:rsid w:val="00EC2A2D"/>
    <w:rsid w:val="00EC2C95"/>
    <w:rsid w:val="00EC386D"/>
    <w:rsid w:val="00EC3C6B"/>
    <w:rsid w:val="00EC4A80"/>
    <w:rsid w:val="00EC50B7"/>
    <w:rsid w:val="00EC5377"/>
    <w:rsid w:val="00EC5BC9"/>
    <w:rsid w:val="00EC5DA4"/>
    <w:rsid w:val="00EC76D7"/>
    <w:rsid w:val="00EC78CE"/>
    <w:rsid w:val="00EC7A06"/>
    <w:rsid w:val="00EC7FF1"/>
    <w:rsid w:val="00ED0126"/>
    <w:rsid w:val="00ED216E"/>
    <w:rsid w:val="00ED23D2"/>
    <w:rsid w:val="00ED350A"/>
    <w:rsid w:val="00ED40CC"/>
    <w:rsid w:val="00ED4897"/>
    <w:rsid w:val="00ED4B11"/>
    <w:rsid w:val="00ED5C0D"/>
    <w:rsid w:val="00ED5EB8"/>
    <w:rsid w:val="00ED678B"/>
    <w:rsid w:val="00ED7072"/>
    <w:rsid w:val="00ED7796"/>
    <w:rsid w:val="00ED7E55"/>
    <w:rsid w:val="00EE08BA"/>
    <w:rsid w:val="00EE0951"/>
    <w:rsid w:val="00EE09C8"/>
    <w:rsid w:val="00EE1631"/>
    <w:rsid w:val="00EE1E6D"/>
    <w:rsid w:val="00EE275E"/>
    <w:rsid w:val="00EE2B3B"/>
    <w:rsid w:val="00EE2CFA"/>
    <w:rsid w:val="00EE3C16"/>
    <w:rsid w:val="00EE5A0D"/>
    <w:rsid w:val="00EE65D9"/>
    <w:rsid w:val="00EE705E"/>
    <w:rsid w:val="00EF0AEE"/>
    <w:rsid w:val="00EF232C"/>
    <w:rsid w:val="00EF3BB6"/>
    <w:rsid w:val="00EF4BD2"/>
    <w:rsid w:val="00EF54DB"/>
    <w:rsid w:val="00EF587B"/>
    <w:rsid w:val="00EF5BA3"/>
    <w:rsid w:val="00EF6778"/>
    <w:rsid w:val="00EF6B20"/>
    <w:rsid w:val="00EF6E36"/>
    <w:rsid w:val="00EF72CA"/>
    <w:rsid w:val="00EF74E9"/>
    <w:rsid w:val="00EF7B01"/>
    <w:rsid w:val="00F0054D"/>
    <w:rsid w:val="00F014F1"/>
    <w:rsid w:val="00F01F24"/>
    <w:rsid w:val="00F026A9"/>
    <w:rsid w:val="00F027F5"/>
    <w:rsid w:val="00F02961"/>
    <w:rsid w:val="00F042AC"/>
    <w:rsid w:val="00F048B6"/>
    <w:rsid w:val="00F04F9C"/>
    <w:rsid w:val="00F06B9D"/>
    <w:rsid w:val="00F07D30"/>
    <w:rsid w:val="00F07F65"/>
    <w:rsid w:val="00F10349"/>
    <w:rsid w:val="00F116C7"/>
    <w:rsid w:val="00F11BC3"/>
    <w:rsid w:val="00F12260"/>
    <w:rsid w:val="00F129D8"/>
    <w:rsid w:val="00F13422"/>
    <w:rsid w:val="00F144A0"/>
    <w:rsid w:val="00F148A4"/>
    <w:rsid w:val="00F14A0F"/>
    <w:rsid w:val="00F16801"/>
    <w:rsid w:val="00F16899"/>
    <w:rsid w:val="00F16CAE"/>
    <w:rsid w:val="00F16CF3"/>
    <w:rsid w:val="00F16FF3"/>
    <w:rsid w:val="00F2138E"/>
    <w:rsid w:val="00F221A7"/>
    <w:rsid w:val="00F230A0"/>
    <w:rsid w:val="00F24FC1"/>
    <w:rsid w:val="00F2533B"/>
    <w:rsid w:val="00F2592B"/>
    <w:rsid w:val="00F25E7E"/>
    <w:rsid w:val="00F26C8C"/>
    <w:rsid w:val="00F26D68"/>
    <w:rsid w:val="00F26E0C"/>
    <w:rsid w:val="00F26F6D"/>
    <w:rsid w:val="00F26FDE"/>
    <w:rsid w:val="00F27159"/>
    <w:rsid w:val="00F2727E"/>
    <w:rsid w:val="00F273B6"/>
    <w:rsid w:val="00F278C5"/>
    <w:rsid w:val="00F27A4E"/>
    <w:rsid w:val="00F30010"/>
    <w:rsid w:val="00F31B11"/>
    <w:rsid w:val="00F3259D"/>
    <w:rsid w:val="00F3542D"/>
    <w:rsid w:val="00F355CE"/>
    <w:rsid w:val="00F3608C"/>
    <w:rsid w:val="00F3641F"/>
    <w:rsid w:val="00F36532"/>
    <w:rsid w:val="00F37F37"/>
    <w:rsid w:val="00F4000D"/>
    <w:rsid w:val="00F408E7"/>
    <w:rsid w:val="00F40B65"/>
    <w:rsid w:val="00F41CFF"/>
    <w:rsid w:val="00F43273"/>
    <w:rsid w:val="00F439B4"/>
    <w:rsid w:val="00F444C9"/>
    <w:rsid w:val="00F44648"/>
    <w:rsid w:val="00F44B1F"/>
    <w:rsid w:val="00F45088"/>
    <w:rsid w:val="00F452EB"/>
    <w:rsid w:val="00F45AED"/>
    <w:rsid w:val="00F46823"/>
    <w:rsid w:val="00F46BCA"/>
    <w:rsid w:val="00F4750D"/>
    <w:rsid w:val="00F47B1D"/>
    <w:rsid w:val="00F507DA"/>
    <w:rsid w:val="00F508DC"/>
    <w:rsid w:val="00F51004"/>
    <w:rsid w:val="00F514BD"/>
    <w:rsid w:val="00F515A0"/>
    <w:rsid w:val="00F5179A"/>
    <w:rsid w:val="00F52CA5"/>
    <w:rsid w:val="00F53CC0"/>
    <w:rsid w:val="00F53FFB"/>
    <w:rsid w:val="00F54184"/>
    <w:rsid w:val="00F54816"/>
    <w:rsid w:val="00F54CAF"/>
    <w:rsid w:val="00F54D70"/>
    <w:rsid w:val="00F54FDD"/>
    <w:rsid w:val="00F555E4"/>
    <w:rsid w:val="00F55728"/>
    <w:rsid w:val="00F560F7"/>
    <w:rsid w:val="00F56246"/>
    <w:rsid w:val="00F56483"/>
    <w:rsid w:val="00F56ACE"/>
    <w:rsid w:val="00F56D7C"/>
    <w:rsid w:val="00F576BC"/>
    <w:rsid w:val="00F60522"/>
    <w:rsid w:val="00F6154C"/>
    <w:rsid w:val="00F615F3"/>
    <w:rsid w:val="00F61841"/>
    <w:rsid w:val="00F61E41"/>
    <w:rsid w:val="00F62185"/>
    <w:rsid w:val="00F626C4"/>
    <w:rsid w:val="00F630DC"/>
    <w:rsid w:val="00F63409"/>
    <w:rsid w:val="00F63F46"/>
    <w:rsid w:val="00F64023"/>
    <w:rsid w:val="00F64187"/>
    <w:rsid w:val="00F64354"/>
    <w:rsid w:val="00F643FE"/>
    <w:rsid w:val="00F648B2"/>
    <w:rsid w:val="00F649CC"/>
    <w:rsid w:val="00F65935"/>
    <w:rsid w:val="00F66905"/>
    <w:rsid w:val="00F672FC"/>
    <w:rsid w:val="00F70382"/>
    <w:rsid w:val="00F70666"/>
    <w:rsid w:val="00F70978"/>
    <w:rsid w:val="00F70FA7"/>
    <w:rsid w:val="00F71355"/>
    <w:rsid w:val="00F71567"/>
    <w:rsid w:val="00F71581"/>
    <w:rsid w:val="00F71ACC"/>
    <w:rsid w:val="00F71BA1"/>
    <w:rsid w:val="00F72552"/>
    <w:rsid w:val="00F73A00"/>
    <w:rsid w:val="00F74370"/>
    <w:rsid w:val="00F744C7"/>
    <w:rsid w:val="00F75CD8"/>
    <w:rsid w:val="00F7686D"/>
    <w:rsid w:val="00F77693"/>
    <w:rsid w:val="00F8000F"/>
    <w:rsid w:val="00F80701"/>
    <w:rsid w:val="00F82442"/>
    <w:rsid w:val="00F82853"/>
    <w:rsid w:val="00F82B4D"/>
    <w:rsid w:val="00F82FB4"/>
    <w:rsid w:val="00F83164"/>
    <w:rsid w:val="00F846DC"/>
    <w:rsid w:val="00F85B2D"/>
    <w:rsid w:val="00F85B63"/>
    <w:rsid w:val="00F85B90"/>
    <w:rsid w:val="00F85F0C"/>
    <w:rsid w:val="00F8636F"/>
    <w:rsid w:val="00F875AE"/>
    <w:rsid w:val="00F904D1"/>
    <w:rsid w:val="00F9067A"/>
    <w:rsid w:val="00F90B87"/>
    <w:rsid w:val="00F90E75"/>
    <w:rsid w:val="00F91249"/>
    <w:rsid w:val="00F916B2"/>
    <w:rsid w:val="00F91A17"/>
    <w:rsid w:val="00F91D18"/>
    <w:rsid w:val="00F92BF9"/>
    <w:rsid w:val="00F939EA"/>
    <w:rsid w:val="00F93C29"/>
    <w:rsid w:val="00F944EE"/>
    <w:rsid w:val="00F94B67"/>
    <w:rsid w:val="00F94D5F"/>
    <w:rsid w:val="00F95F3E"/>
    <w:rsid w:val="00F961DE"/>
    <w:rsid w:val="00F9622B"/>
    <w:rsid w:val="00F96809"/>
    <w:rsid w:val="00F977DE"/>
    <w:rsid w:val="00F97AFE"/>
    <w:rsid w:val="00FA014D"/>
    <w:rsid w:val="00FA093E"/>
    <w:rsid w:val="00FA1255"/>
    <w:rsid w:val="00FA143A"/>
    <w:rsid w:val="00FA1775"/>
    <w:rsid w:val="00FA2638"/>
    <w:rsid w:val="00FA28E2"/>
    <w:rsid w:val="00FA3061"/>
    <w:rsid w:val="00FA3808"/>
    <w:rsid w:val="00FA637D"/>
    <w:rsid w:val="00FA672F"/>
    <w:rsid w:val="00FA6B34"/>
    <w:rsid w:val="00FA7853"/>
    <w:rsid w:val="00FA7906"/>
    <w:rsid w:val="00FB0F0D"/>
    <w:rsid w:val="00FB3177"/>
    <w:rsid w:val="00FB37FD"/>
    <w:rsid w:val="00FB3AC4"/>
    <w:rsid w:val="00FB3CD5"/>
    <w:rsid w:val="00FB404B"/>
    <w:rsid w:val="00FB7246"/>
    <w:rsid w:val="00FB7268"/>
    <w:rsid w:val="00FC244A"/>
    <w:rsid w:val="00FC5C75"/>
    <w:rsid w:val="00FC798D"/>
    <w:rsid w:val="00FC7EEE"/>
    <w:rsid w:val="00FD034E"/>
    <w:rsid w:val="00FD0552"/>
    <w:rsid w:val="00FD08B2"/>
    <w:rsid w:val="00FD0920"/>
    <w:rsid w:val="00FD0B3D"/>
    <w:rsid w:val="00FD1585"/>
    <w:rsid w:val="00FD1598"/>
    <w:rsid w:val="00FD166A"/>
    <w:rsid w:val="00FD19C0"/>
    <w:rsid w:val="00FD1B41"/>
    <w:rsid w:val="00FD1F33"/>
    <w:rsid w:val="00FD21FF"/>
    <w:rsid w:val="00FD2E42"/>
    <w:rsid w:val="00FD345E"/>
    <w:rsid w:val="00FD4611"/>
    <w:rsid w:val="00FD52B5"/>
    <w:rsid w:val="00FD54D9"/>
    <w:rsid w:val="00FD5B79"/>
    <w:rsid w:val="00FD6C50"/>
    <w:rsid w:val="00FD6DB7"/>
    <w:rsid w:val="00FD6F16"/>
    <w:rsid w:val="00FD7DAA"/>
    <w:rsid w:val="00FD7EC9"/>
    <w:rsid w:val="00FE1681"/>
    <w:rsid w:val="00FE213C"/>
    <w:rsid w:val="00FE2BC6"/>
    <w:rsid w:val="00FE42E3"/>
    <w:rsid w:val="00FE45E9"/>
    <w:rsid w:val="00FE4A66"/>
    <w:rsid w:val="00FE56DE"/>
    <w:rsid w:val="00FE6FB1"/>
    <w:rsid w:val="00FE741E"/>
    <w:rsid w:val="00FF09EE"/>
    <w:rsid w:val="00FF1410"/>
    <w:rsid w:val="00FF1AB8"/>
    <w:rsid w:val="00FF1F82"/>
    <w:rsid w:val="00FF3A87"/>
    <w:rsid w:val="00FF49FC"/>
    <w:rsid w:val="00FF4A4A"/>
    <w:rsid w:val="00FF4CA5"/>
    <w:rsid w:val="00FF65A8"/>
    <w:rsid w:val="00FF709D"/>
    <w:rsid w:val="00FF7612"/>
    <w:rsid w:val="00FF7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16BD2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738"/>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B595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aliases w:val="bt"/>
    <w:basedOn w:val="a"/>
    <w:link w:val="a6"/>
    <w:unhideWhenUsed/>
    <w:qFormat/>
    <w:rsid w:val="00F2727E"/>
    <w:pPr>
      <w:spacing w:after="120"/>
    </w:pPr>
  </w:style>
  <w:style w:type="character" w:customStyle="1" w:styleId="a6">
    <w:name w:val="Основной текст Знак"/>
    <w:aliases w:val="bt Знак"/>
    <w:basedOn w:val="a0"/>
    <w:link w:val="a5"/>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qFormat/>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0177E1"/>
  </w:style>
  <w:style w:type="paragraph" w:styleId="ad">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Footnote Text Char"/>
    <w:basedOn w:val="a"/>
    <w:link w:val="ae"/>
    <w:uiPriority w:val="99"/>
    <w:qFormat/>
    <w:rsid w:val="000177E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d"/>
    <w:uiPriority w:val="99"/>
    <w:qFormat/>
    <w:rsid w:val="000177E1"/>
    <w:rPr>
      <w:rFonts w:ascii="Times New Roman" w:eastAsia="Times New Roman" w:hAnsi="Times New Roman" w:cs="Times New Roman"/>
      <w:sz w:val="20"/>
      <w:szCs w:val="20"/>
      <w:lang w:eastAsia="ru-RU"/>
    </w:rPr>
  </w:style>
  <w:style w:type="character" w:styleId="af">
    <w:name w:val="footnote reference"/>
    <w:aliases w:val="Знак сноски 1,Знак сноски-FN,Ciae niinee-FN,Referencia nota al pie,Ссылка на сноску 45,Appel note de bas de page,текст сноски"/>
    <w:uiPriority w:val="99"/>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qFormat/>
    <w:rsid w:val="00E75E8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lang w:eastAsia="ru-RU"/>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3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link w:val="ConsPlusNormal0"/>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29405E"/>
    <w:rPr>
      <w:rFonts w:ascii="Times New Roman" w:hAnsi="Times New Roman" w:cs="Times New Roman"/>
      <w:sz w:val="28"/>
      <w:szCs w:val="28"/>
    </w:rPr>
  </w:style>
  <w:style w:type="table" w:customStyle="1" w:styleId="30">
    <w:name w:val="Сетка таблицы3"/>
    <w:basedOn w:val="a1"/>
    <w:next w:val="af2"/>
    <w:uiPriority w:val="59"/>
    <w:rsid w:val="00A7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qFormat/>
    <w:rsid w:val="00805155"/>
    <w:pPr>
      <w:spacing w:after="0" w:line="240" w:lineRule="auto"/>
      <w:jc w:val="center"/>
    </w:pPr>
    <w:rPr>
      <w:rFonts w:ascii="Times New Roman" w:eastAsia="Times New Roman" w:hAnsi="Times New Roman" w:cs="Times New Roman"/>
      <w:b/>
      <w:sz w:val="32"/>
      <w:szCs w:val="20"/>
      <w:lang w:val="x-none" w:eastAsia="ru-RU"/>
    </w:rPr>
  </w:style>
  <w:style w:type="character" w:customStyle="1" w:styleId="af8">
    <w:name w:val="Название Знак"/>
    <w:basedOn w:val="a0"/>
    <w:link w:val="af7"/>
    <w:rsid w:val="00805155"/>
    <w:rPr>
      <w:rFonts w:ascii="Times New Roman" w:eastAsia="Times New Roman" w:hAnsi="Times New Roman" w:cs="Times New Roman"/>
      <w:b/>
      <w:sz w:val="32"/>
      <w:szCs w:val="20"/>
      <w:lang w:val="x-none" w:eastAsia="ru-RU"/>
    </w:rPr>
  </w:style>
  <w:style w:type="table" w:customStyle="1" w:styleId="4">
    <w:name w:val="Сетка таблицы4"/>
    <w:basedOn w:val="a1"/>
    <w:next w:val="af2"/>
    <w:uiPriority w:val="59"/>
    <w:rsid w:val="00513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2"/>
    <w:uiPriority w:val="59"/>
    <w:rsid w:val="003E7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Plain Text"/>
    <w:basedOn w:val="a"/>
    <w:link w:val="afa"/>
    <w:uiPriority w:val="99"/>
    <w:unhideWhenUsed/>
    <w:qFormat/>
    <w:rsid w:val="00EE705E"/>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qFormat/>
    <w:rsid w:val="00EE705E"/>
    <w:rPr>
      <w:rFonts w:ascii="Calibri" w:eastAsia="Calibri" w:hAnsi="Calibri" w:cs="Times New Roman"/>
      <w:szCs w:val="21"/>
    </w:rPr>
  </w:style>
  <w:style w:type="character" w:customStyle="1" w:styleId="22">
    <w:name w:val="Основной текст (2)_"/>
    <w:basedOn w:val="a0"/>
    <w:link w:val="23"/>
    <w:rsid w:val="00EE705E"/>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EE705E"/>
    <w:pPr>
      <w:widowControl w:val="0"/>
      <w:shd w:val="clear" w:color="auto" w:fill="FFFFFF"/>
      <w:spacing w:after="0" w:line="322" w:lineRule="exact"/>
      <w:jc w:val="center"/>
    </w:pPr>
    <w:rPr>
      <w:rFonts w:ascii="Times New Roman" w:eastAsia="Times New Roman" w:hAnsi="Times New Roman" w:cs="Times New Roman"/>
      <w:sz w:val="28"/>
      <w:szCs w:val="28"/>
    </w:rPr>
  </w:style>
  <w:style w:type="character" w:customStyle="1" w:styleId="20">
    <w:name w:val="Заголовок 2 Знак"/>
    <w:basedOn w:val="a0"/>
    <w:link w:val="2"/>
    <w:uiPriority w:val="9"/>
    <w:rsid w:val="005B5955"/>
    <w:rPr>
      <w:rFonts w:ascii="Times New Roman" w:eastAsia="Times New Roman" w:hAnsi="Times New Roman" w:cs="Times New Roman"/>
      <w:b/>
      <w:bCs/>
      <w:sz w:val="36"/>
      <w:szCs w:val="36"/>
      <w:lang w:eastAsia="ru-RU"/>
    </w:rPr>
  </w:style>
  <w:style w:type="paragraph" w:styleId="25">
    <w:name w:val="Body Text Indent 2"/>
    <w:basedOn w:val="a"/>
    <w:link w:val="26"/>
    <w:uiPriority w:val="99"/>
    <w:unhideWhenUsed/>
    <w:rsid w:val="005B5955"/>
    <w:pPr>
      <w:widowControl w:val="0"/>
      <w:spacing w:after="0" w:line="360" w:lineRule="auto"/>
      <w:ind w:firstLine="709"/>
      <w:jc w:val="both"/>
    </w:pPr>
    <w:rPr>
      <w:rFonts w:ascii="Times New Roman" w:eastAsia="Calibri" w:hAnsi="Times New Roman" w:cs="Times New Roman"/>
      <w:sz w:val="28"/>
      <w:szCs w:val="28"/>
    </w:rPr>
  </w:style>
  <w:style w:type="character" w:customStyle="1" w:styleId="26">
    <w:name w:val="Основной текст с отступом 2 Знак"/>
    <w:basedOn w:val="a0"/>
    <w:link w:val="25"/>
    <w:uiPriority w:val="99"/>
    <w:rsid w:val="005B5955"/>
    <w:rPr>
      <w:rFonts w:ascii="Times New Roman" w:eastAsia="Calibri" w:hAnsi="Times New Roman" w:cs="Times New Roman"/>
      <w:sz w:val="28"/>
      <w:szCs w:val="28"/>
    </w:rPr>
  </w:style>
  <w:style w:type="paragraph" w:customStyle="1" w:styleId="ConsPlusNonformat">
    <w:name w:val="ConsPlusNonformat"/>
    <w:rsid w:val="005B595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6">
    <w:name w:val="Сетка таблицы6"/>
    <w:basedOn w:val="a1"/>
    <w:next w:val="af2"/>
    <w:uiPriority w:val="59"/>
    <w:rsid w:val="004A7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h-link">
    <w:name w:val="resh-link"/>
    <w:basedOn w:val="a0"/>
    <w:rsid w:val="00593DA5"/>
  </w:style>
  <w:style w:type="character" w:customStyle="1" w:styleId="csfc2ac2711">
    <w:name w:val="csfc2ac2711"/>
    <w:rsid w:val="00F515A0"/>
    <w:rPr>
      <w:rFonts w:ascii="Calibri" w:hAnsi="Calibri" w:hint="default"/>
      <w:b w:val="0"/>
      <w:bCs w:val="0"/>
      <w:i w:val="0"/>
      <w:iCs w:val="0"/>
      <w:color w:val="000000"/>
      <w:sz w:val="28"/>
      <w:szCs w:val="28"/>
      <w:shd w:val="clear" w:color="auto" w:fill="auto"/>
    </w:rPr>
  </w:style>
  <w:style w:type="paragraph" w:customStyle="1" w:styleId="s3mailrucssattributepostfixmailrucssattributepostfix">
    <w:name w:val="s3mailrucssattributepostfixmailrucssattributepostfix"/>
    <w:basedOn w:val="a"/>
    <w:rsid w:val="00D36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trong"/>
    <w:basedOn w:val="a0"/>
    <w:uiPriority w:val="22"/>
    <w:qFormat/>
    <w:rsid w:val="00D368ED"/>
    <w:rPr>
      <w:b/>
      <w:bCs/>
    </w:rPr>
  </w:style>
  <w:style w:type="character" w:customStyle="1" w:styleId="st">
    <w:name w:val="st"/>
    <w:basedOn w:val="a0"/>
    <w:rsid w:val="008D2812"/>
  </w:style>
  <w:style w:type="paragraph" w:styleId="afc">
    <w:name w:val="No Spacing"/>
    <w:link w:val="afd"/>
    <w:uiPriority w:val="1"/>
    <w:qFormat/>
    <w:rsid w:val="00ED7072"/>
    <w:pPr>
      <w:spacing w:after="0" w:line="240" w:lineRule="auto"/>
    </w:pPr>
  </w:style>
  <w:style w:type="character" w:customStyle="1" w:styleId="afd">
    <w:name w:val="Без интервала Знак"/>
    <w:link w:val="afc"/>
    <w:uiPriority w:val="1"/>
    <w:rsid w:val="00ED7072"/>
  </w:style>
  <w:style w:type="paragraph" w:styleId="afe">
    <w:name w:val="endnote text"/>
    <w:basedOn w:val="a"/>
    <w:link w:val="aff"/>
    <w:uiPriority w:val="99"/>
    <w:semiHidden/>
    <w:unhideWhenUsed/>
    <w:rsid w:val="00152BC4"/>
    <w:pPr>
      <w:spacing w:after="0" w:line="240" w:lineRule="auto"/>
    </w:pPr>
    <w:rPr>
      <w:sz w:val="20"/>
      <w:szCs w:val="20"/>
    </w:rPr>
  </w:style>
  <w:style w:type="character" w:customStyle="1" w:styleId="aff">
    <w:name w:val="Текст концевой сноски Знак"/>
    <w:basedOn w:val="a0"/>
    <w:link w:val="afe"/>
    <w:uiPriority w:val="99"/>
    <w:semiHidden/>
    <w:rsid w:val="00152BC4"/>
    <w:rPr>
      <w:sz w:val="20"/>
      <w:szCs w:val="20"/>
    </w:rPr>
  </w:style>
  <w:style w:type="character" w:styleId="aff0">
    <w:name w:val="endnote reference"/>
    <w:basedOn w:val="a0"/>
    <w:uiPriority w:val="99"/>
    <w:semiHidden/>
    <w:unhideWhenUsed/>
    <w:rsid w:val="00152BC4"/>
    <w:rPr>
      <w:vertAlign w:val="superscript"/>
    </w:rPr>
  </w:style>
  <w:style w:type="character" w:styleId="aff1">
    <w:name w:val="Emphasis"/>
    <w:basedOn w:val="a0"/>
    <w:uiPriority w:val="20"/>
    <w:qFormat/>
    <w:rsid w:val="000E4D85"/>
    <w:rPr>
      <w:i/>
      <w:iCs/>
    </w:rPr>
  </w:style>
  <w:style w:type="paragraph" w:customStyle="1" w:styleId="s3">
    <w:name w:val="s3"/>
    <w:basedOn w:val="a"/>
    <w:rsid w:val="00306B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306BA6"/>
  </w:style>
  <w:style w:type="character" w:customStyle="1" w:styleId="s4">
    <w:name w:val="s4"/>
    <w:basedOn w:val="a0"/>
    <w:rsid w:val="00306BA6"/>
  </w:style>
  <w:style w:type="character" w:customStyle="1" w:styleId="s6">
    <w:name w:val="s6"/>
    <w:basedOn w:val="a0"/>
    <w:rsid w:val="00306BA6"/>
  </w:style>
  <w:style w:type="character" w:customStyle="1" w:styleId="s8">
    <w:name w:val="s8"/>
    <w:basedOn w:val="a0"/>
    <w:rsid w:val="00306BA6"/>
  </w:style>
  <w:style w:type="character" w:customStyle="1" w:styleId="s9">
    <w:name w:val="s9"/>
    <w:basedOn w:val="a0"/>
    <w:rsid w:val="00306BA6"/>
  </w:style>
  <w:style w:type="character" w:customStyle="1" w:styleId="norss">
    <w:name w:val="no_rss"/>
    <w:basedOn w:val="a0"/>
    <w:rsid w:val="00306BA6"/>
  </w:style>
  <w:style w:type="table" w:customStyle="1" w:styleId="7">
    <w:name w:val="Сетка таблицы7"/>
    <w:basedOn w:val="a1"/>
    <w:next w:val="af2"/>
    <w:uiPriority w:val="59"/>
    <w:rsid w:val="0005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Сноска (6)_"/>
    <w:basedOn w:val="a0"/>
    <w:link w:val="61"/>
    <w:rsid w:val="003F60AF"/>
    <w:rPr>
      <w:rFonts w:ascii="Arial Unicode MS" w:eastAsia="Arial Unicode MS" w:hAnsi="Arial Unicode MS" w:cs="Arial Unicode MS"/>
      <w:sz w:val="17"/>
      <w:szCs w:val="17"/>
      <w:shd w:val="clear" w:color="auto" w:fill="FFFFFF"/>
    </w:rPr>
  </w:style>
  <w:style w:type="character" w:customStyle="1" w:styleId="40">
    <w:name w:val="Основной текст (4)_"/>
    <w:basedOn w:val="a0"/>
    <w:link w:val="41"/>
    <w:rsid w:val="003F60AF"/>
    <w:rPr>
      <w:rFonts w:ascii="Times New Roman" w:eastAsia="Times New Roman" w:hAnsi="Times New Roman" w:cs="Times New Roman"/>
      <w:b/>
      <w:bCs/>
      <w:shd w:val="clear" w:color="auto" w:fill="FFFFFF"/>
    </w:rPr>
  </w:style>
  <w:style w:type="character" w:customStyle="1" w:styleId="42">
    <w:name w:val="Основной текст (4) + Не полужирный"/>
    <w:basedOn w:val="40"/>
    <w:rsid w:val="003F60AF"/>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61">
    <w:name w:val="Сноска (6)"/>
    <w:basedOn w:val="a"/>
    <w:link w:val="60"/>
    <w:rsid w:val="003F60AF"/>
    <w:pPr>
      <w:widowControl w:val="0"/>
      <w:shd w:val="clear" w:color="auto" w:fill="FFFFFF"/>
      <w:spacing w:after="0" w:line="206" w:lineRule="exact"/>
    </w:pPr>
    <w:rPr>
      <w:rFonts w:ascii="Arial Unicode MS" w:eastAsia="Arial Unicode MS" w:hAnsi="Arial Unicode MS" w:cs="Arial Unicode MS"/>
      <w:sz w:val="17"/>
      <w:szCs w:val="17"/>
    </w:rPr>
  </w:style>
  <w:style w:type="paragraph" w:customStyle="1" w:styleId="41">
    <w:name w:val="Основной текст (4)"/>
    <w:basedOn w:val="a"/>
    <w:link w:val="40"/>
    <w:rsid w:val="003F60AF"/>
    <w:pPr>
      <w:widowControl w:val="0"/>
      <w:shd w:val="clear" w:color="auto" w:fill="FFFFFF"/>
      <w:spacing w:before="300" w:after="60" w:line="0" w:lineRule="atLeast"/>
      <w:jc w:val="both"/>
    </w:pPr>
    <w:rPr>
      <w:rFonts w:ascii="Times New Roman" w:eastAsia="Times New Roman" w:hAnsi="Times New Roman" w:cs="Times New Roman"/>
      <w:b/>
      <w:bCs/>
    </w:rPr>
  </w:style>
  <w:style w:type="paragraph" w:customStyle="1" w:styleId="western">
    <w:name w:val="western"/>
    <w:basedOn w:val="a"/>
    <w:rsid w:val="003F60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8">
    <w:name w:val="Сетка таблицы8"/>
    <w:basedOn w:val="a1"/>
    <w:next w:val="af2"/>
    <w:uiPriority w:val="59"/>
    <w:rsid w:val="00787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f2"/>
    <w:uiPriority w:val="39"/>
    <w:rsid w:val="003440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2">
    <w:name w:val="Сетка таблицы72"/>
    <w:basedOn w:val="a1"/>
    <w:next w:val="af2"/>
    <w:uiPriority w:val="39"/>
    <w:rsid w:val="003440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
    <w:name w:val="Сетка таблицы81"/>
    <w:basedOn w:val="a1"/>
    <w:next w:val="af2"/>
    <w:uiPriority w:val="39"/>
    <w:rsid w:val="003440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11">
    <w:name w:val="Сетка таблицы711"/>
    <w:basedOn w:val="a1"/>
    <w:next w:val="af2"/>
    <w:uiPriority w:val="59"/>
    <w:rsid w:val="00344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2"/>
    <w:uiPriority w:val="59"/>
    <w:rsid w:val="00344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next w:val="af2"/>
    <w:uiPriority w:val="39"/>
    <w:rsid w:val="008274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
    <w:name w:val="Сетка таблицы82"/>
    <w:basedOn w:val="a1"/>
    <w:next w:val="af2"/>
    <w:uiPriority w:val="39"/>
    <w:rsid w:val="008274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12">
    <w:name w:val="Сетка таблицы712"/>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738"/>
  </w:style>
  <w:style w:type="paragraph" w:styleId="1">
    <w:name w:val="heading 1"/>
    <w:basedOn w:val="a"/>
    <w:next w:val="a"/>
    <w:link w:val="10"/>
    <w:uiPriority w:val="9"/>
    <w:qFormat/>
    <w:rsid w:val="006C0A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B595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E334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4">
    <w:name w:val="Основной текст с отступом 2+4"/>
    <w:basedOn w:val="Default"/>
    <w:next w:val="Default"/>
    <w:rsid w:val="00AE3346"/>
    <w:rPr>
      <w:color w:val="auto"/>
    </w:rPr>
  </w:style>
  <w:style w:type="paragraph" w:styleId="a3">
    <w:name w:val="Balloon Text"/>
    <w:basedOn w:val="a"/>
    <w:link w:val="a4"/>
    <w:uiPriority w:val="99"/>
    <w:semiHidden/>
    <w:unhideWhenUsed/>
    <w:rsid w:val="00586E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EA3"/>
    <w:rPr>
      <w:rFonts w:ascii="Tahoma" w:hAnsi="Tahoma" w:cs="Tahoma"/>
      <w:sz w:val="16"/>
      <w:szCs w:val="16"/>
    </w:rPr>
  </w:style>
  <w:style w:type="paragraph" w:styleId="a5">
    <w:name w:val="Body Text"/>
    <w:aliases w:val="bt"/>
    <w:basedOn w:val="a"/>
    <w:link w:val="a6"/>
    <w:unhideWhenUsed/>
    <w:qFormat/>
    <w:rsid w:val="00F2727E"/>
    <w:pPr>
      <w:spacing w:after="120"/>
    </w:pPr>
  </w:style>
  <w:style w:type="character" w:customStyle="1" w:styleId="a6">
    <w:name w:val="Основной текст Знак"/>
    <w:aliases w:val="bt Знак"/>
    <w:basedOn w:val="a0"/>
    <w:link w:val="a5"/>
    <w:rsid w:val="00F2727E"/>
  </w:style>
  <w:style w:type="paragraph" w:styleId="a7">
    <w:name w:val="Body Text First Indent"/>
    <w:basedOn w:val="a5"/>
    <w:link w:val="a8"/>
    <w:uiPriority w:val="99"/>
    <w:unhideWhenUsed/>
    <w:rsid w:val="00F2727E"/>
    <w:pPr>
      <w:spacing w:after="200"/>
      <w:ind w:firstLine="360"/>
    </w:pPr>
  </w:style>
  <w:style w:type="character" w:customStyle="1" w:styleId="a8">
    <w:name w:val="Красная строка Знак"/>
    <w:basedOn w:val="a6"/>
    <w:link w:val="a7"/>
    <w:uiPriority w:val="99"/>
    <w:rsid w:val="00F2727E"/>
  </w:style>
  <w:style w:type="paragraph" w:styleId="a9">
    <w:name w:val="header"/>
    <w:basedOn w:val="a"/>
    <w:link w:val="aa"/>
    <w:uiPriority w:val="99"/>
    <w:unhideWhenUsed/>
    <w:rsid w:val="000177E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77E1"/>
  </w:style>
  <w:style w:type="paragraph" w:styleId="ab">
    <w:name w:val="footer"/>
    <w:basedOn w:val="a"/>
    <w:link w:val="ac"/>
    <w:uiPriority w:val="99"/>
    <w:unhideWhenUsed/>
    <w:qFormat/>
    <w:rsid w:val="000177E1"/>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0177E1"/>
  </w:style>
  <w:style w:type="paragraph" w:styleId="ad">
    <w:name w:val="footnote text"/>
    <w:aliases w:val="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Texto de nota al pi,Footnote Text Char"/>
    <w:basedOn w:val="a"/>
    <w:link w:val="ae"/>
    <w:uiPriority w:val="99"/>
    <w:qFormat/>
    <w:rsid w:val="000177E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aliases w:val="Текст сноски1 Знак,Текст сноски Знак Знак1 Знак,Текст сноски Знак Знак Знак Знак Знак Знак1,Текст сноски Знак Знак Знак Знак Знак Знак Знак,Текст сноски Знак Знак Знак Знак Знак Знак Знак Знак Знак Знак Знак Знак Знак Зн Знак"/>
    <w:basedOn w:val="a0"/>
    <w:link w:val="ad"/>
    <w:uiPriority w:val="99"/>
    <w:qFormat/>
    <w:rsid w:val="000177E1"/>
    <w:rPr>
      <w:rFonts w:ascii="Times New Roman" w:eastAsia="Times New Roman" w:hAnsi="Times New Roman" w:cs="Times New Roman"/>
      <w:sz w:val="20"/>
      <w:szCs w:val="20"/>
      <w:lang w:eastAsia="ru-RU"/>
    </w:rPr>
  </w:style>
  <w:style w:type="character" w:styleId="af">
    <w:name w:val="footnote reference"/>
    <w:aliases w:val="Знак сноски 1,Знак сноски-FN,Ciae niinee-FN,Referencia nota al pie,Ссылка на сноску 45,Appel note de bas de page,текст сноски"/>
    <w:uiPriority w:val="99"/>
    <w:rsid w:val="000177E1"/>
    <w:rPr>
      <w:vertAlign w:val="superscript"/>
    </w:rPr>
  </w:style>
  <w:style w:type="numbering" w:customStyle="1" w:styleId="11">
    <w:name w:val="Нет списка1"/>
    <w:next w:val="a2"/>
    <w:uiPriority w:val="99"/>
    <w:semiHidden/>
    <w:unhideWhenUsed/>
    <w:rsid w:val="00E75E87"/>
  </w:style>
  <w:style w:type="paragraph" w:styleId="af0">
    <w:name w:val="Normal (Web)"/>
    <w:aliases w:val="Обычный (Web)"/>
    <w:basedOn w:val="a"/>
    <w:uiPriority w:val="99"/>
    <w:qFormat/>
    <w:rsid w:val="00E75E8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2">
    <w:name w:val="Обычный1"/>
    <w:rsid w:val="009E470E"/>
    <w:pPr>
      <w:spacing w:after="0" w:line="240" w:lineRule="auto"/>
    </w:pPr>
    <w:rPr>
      <w:rFonts w:ascii="Times New Roman" w:eastAsia="Times New Roman" w:hAnsi="Times New Roman" w:cs="Times New Roman"/>
      <w:sz w:val="26"/>
      <w:szCs w:val="20"/>
      <w:lang w:eastAsia="ru-RU"/>
    </w:rPr>
  </w:style>
  <w:style w:type="paragraph" w:styleId="af1">
    <w:name w:val="List Paragraph"/>
    <w:basedOn w:val="a"/>
    <w:uiPriority w:val="34"/>
    <w:qFormat/>
    <w:rsid w:val="00593E65"/>
    <w:pPr>
      <w:ind w:left="720"/>
      <w:contextualSpacing/>
    </w:pPr>
  </w:style>
  <w:style w:type="character" w:customStyle="1" w:styleId="FontStyle12">
    <w:name w:val="Font Style12"/>
    <w:basedOn w:val="a0"/>
    <w:rsid w:val="00593E65"/>
    <w:rPr>
      <w:rFonts w:ascii="Times New Roman" w:hAnsi="Times New Roman" w:cs="Times New Roman" w:hint="default"/>
      <w:sz w:val="26"/>
      <w:szCs w:val="26"/>
    </w:rPr>
  </w:style>
  <w:style w:type="table" w:styleId="af2">
    <w:name w:val="Table Grid"/>
    <w:basedOn w:val="a1"/>
    <w:uiPriority w:val="39"/>
    <w:rsid w:val="00C45B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2"/>
    <w:uiPriority w:val="59"/>
    <w:rsid w:val="00C84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C84764"/>
    <w:pPr>
      <w:spacing w:before="100" w:beforeAutospacing="1" w:after="100" w:afterAutospacing="1" w:line="240" w:lineRule="auto"/>
    </w:pPr>
    <w:rPr>
      <w:rFonts w:ascii="Tahoma" w:eastAsia="Times New Roman" w:hAnsi="Tahoma" w:cs="Times New Roman"/>
      <w:sz w:val="20"/>
      <w:szCs w:val="20"/>
      <w:lang w:val="en-US"/>
    </w:rPr>
  </w:style>
  <w:style w:type="character" w:styleId="af3">
    <w:name w:val="Hyperlink"/>
    <w:basedOn w:val="a0"/>
    <w:uiPriority w:val="99"/>
    <w:unhideWhenUsed/>
    <w:rsid w:val="0042181F"/>
    <w:rPr>
      <w:color w:val="0000FF" w:themeColor="hyperlink"/>
      <w:u w:val="single"/>
    </w:rPr>
  </w:style>
  <w:style w:type="paragraph" w:styleId="af4">
    <w:name w:val="Body Text Indent"/>
    <w:basedOn w:val="a"/>
    <w:link w:val="af5"/>
    <w:uiPriority w:val="99"/>
    <w:semiHidden/>
    <w:unhideWhenUsed/>
    <w:rsid w:val="000D23EA"/>
    <w:pPr>
      <w:spacing w:after="120"/>
      <w:ind w:left="283"/>
    </w:pPr>
  </w:style>
  <w:style w:type="character" w:customStyle="1" w:styleId="af5">
    <w:name w:val="Основной текст с отступом Знак"/>
    <w:basedOn w:val="a0"/>
    <w:link w:val="af4"/>
    <w:uiPriority w:val="99"/>
    <w:semiHidden/>
    <w:rsid w:val="000D23EA"/>
  </w:style>
  <w:style w:type="character" w:customStyle="1" w:styleId="10">
    <w:name w:val="Заголовок 1 Знак"/>
    <w:basedOn w:val="a0"/>
    <w:link w:val="1"/>
    <w:uiPriority w:val="9"/>
    <w:rsid w:val="006C0A6B"/>
    <w:rPr>
      <w:rFonts w:asciiTheme="majorHAnsi" w:eastAsiaTheme="majorEastAsia" w:hAnsiTheme="majorHAnsi" w:cstheme="majorBidi"/>
      <w:b/>
      <w:bCs/>
      <w:color w:val="365F91" w:themeColor="accent1" w:themeShade="BF"/>
      <w:sz w:val="28"/>
      <w:szCs w:val="28"/>
    </w:rPr>
  </w:style>
  <w:style w:type="character" w:styleId="af6">
    <w:name w:val="Placeholder Text"/>
    <w:basedOn w:val="a0"/>
    <w:uiPriority w:val="99"/>
    <w:semiHidden/>
    <w:rsid w:val="00EB4980"/>
    <w:rPr>
      <w:color w:val="808080"/>
    </w:rPr>
  </w:style>
  <w:style w:type="paragraph" w:customStyle="1" w:styleId="ConsPlusNormal">
    <w:name w:val="ConsPlusNormal"/>
    <w:link w:val="ConsPlusNormal0"/>
    <w:rsid w:val="00D21FB4"/>
    <w:pPr>
      <w:autoSpaceDE w:val="0"/>
      <w:autoSpaceDN w:val="0"/>
      <w:adjustRightInd w:val="0"/>
      <w:spacing w:after="0" w:line="240" w:lineRule="auto"/>
    </w:pPr>
    <w:rPr>
      <w:rFonts w:ascii="Times New Roman" w:hAnsi="Times New Roman" w:cs="Times New Roman"/>
      <w:sz w:val="28"/>
      <w:szCs w:val="28"/>
    </w:rPr>
  </w:style>
  <w:style w:type="paragraph" w:customStyle="1" w:styleId="tekstob">
    <w:name w:val="tekstob"/>
    <w:basedOn w:val="a"/>
    <w:rsid w:val="00D656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f2"/>
    <w:uiPriority w:val="59"/>
    <w:rsid w:val="00F2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29405E"/>
    <w:rPr>
      <w:rFonts w:ascii="Times New Roman" w:hAnsi="Times New Roman" w:cs="Times New Roman"/>
      <w:sz w:val="28"/>
      <w:szCs w:val="28"/>
    </w:rPr>
  </w:style>
  <w:style w:type="table" w:customStyle="1" w:styleId="30">
    <w:name w:val="Сетка таблицы3"/>
    <w:basedOn w:val="a1"/>
    <w:next w:val="af2"/>
    <w:uiPriority w:val="59"/>
    <w:rsid w:val="00A70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Title"/>
    <w:basedOn w:val="a"/>
    <w:link w:val="af8"/>
    <w:qFormat/>
    <w:rsid w:val="00805155"/>
    <w:pPr>
      <w:spacing w:after="0" w:line="240" w:lineRule="auto"/>
      <w:jc w:val="center"/>
    </w:pPr>
    <w:rPr>
      <w:rFonts w:ascii="Times New Roman" w:eastAsia="Times New Roman" w:hAnsi="Times New Roman" w:cs="Times New Roman"/>
      <w:b/>
      <w:sz w:val="32"/>
      <w:szCs w:val="20"/>
      <w:lang w:val="x-none" w:eastAsia="ru-RU"/>
    </w:rPr>
  </w:style>
  <w:style w:type="character" w:customStyle="1" w:styleId="af8">
    <w:name w:val="Название Знак"/>
    <w:basedOn w:val="a0"/>
    <w:link w:val="af7"/>
    <w:rsid w:val="00805155"/>
    <w:rPr>
      <w:rFonts w:ascii="Times New Roman" w:eastAsia="Times New Roman" w:hAnsi="Times New Roman" w:cs="Times New Roman"/>
      <w:b/>
      <w:sz w:val="32"/>
      <w:szCs w:val="20"/>
      <w:lang w:val="x-none" w:eastAsia="ru-RU"/>
    </w:rPr>
  </w:style>
  <w:style w:type="table" w:customStyle="1" w:styleId="4">
    <w:name w:val="Сетка таблицы4"/>
    <w:basedOn w:val="a1"/>
    <w:next w:val="af2"/>
    <w:uiPriority w:val="59"/>
    <w:rsid w:val="00513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2"/>
    <w:uiPriority w:val="59"/>
    <w:rsid w:val="003E7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Plain Text"/>
    <w:basedOn w:val="a"/>
    <w:link w:val="afa"/>
    <w:uiPriority w:val="99"/>
    <w:unhideWhenUsed/>
    <w:qFormat/>
    <w:rsid w:val="00EE705E"/>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qFormat/>
    <w:rsid w:val="00EE705E"/>
    <w:rPr>
      <w:rFonts w:ascii="Calibri" w:eastAsia="Calibri" w:hAnsi="Calibri" w:cs="Times New Roman"/>
      <w:szCs w:val="21"/>
    </w:rPr>
  </w:style>
  <w:style w:type="character" w:customStyle="1" w:styleId="22">
    <w:name w:val="Основной текст (2)_"/>
    <w:basedOn w:val="a0"/>
    <w:link w:val="23"/>
    <w:rsid w:val="00EE705E"/>
    <w:rPr>
      <w:rFonts w:ascii="Times New Roman" w:eastAsia="Times New Roman" w:hAnsi="Times New Roman" w:cs="Times New Roman"/>
      <w:sz w:val="28"/>
      <w:szCs w:val="28"/>
      <w:shd w:val="clear" w:color="auto" w:fill="FFFFFF"/>
    </w:rPr>
  </w:style>
  <w:style w:type="paragraph" w:customStyle="1" w:styleId="23">
    <w:name w:val="Основной текст (2)"/>
    <w:basedOn w:val="a"/>
    <w:link w:val="22"/>
    <w:rsid w:val="00EE705E"/>
    <w:pPr>
      <w:widowControl w:val="0"/>
      <w:shd w:val="clear" w:color="auto" w:fill="FFFFFF"/>
      <w:spacing w:after="0" w:line="322" w:lineRule="exact"/>
      <w:jc w:val="center"/>
    </w:pPr>
    <w:rPr>
      <w:rFonts w:ascii="Times New Roman" w:eastAsia="Times New Roman" w:hAnsi="Times New Roman" w:cs="Times New Roman"/>
      <w:sz w:val="28"/>
      <w:szCs w:val="28"/>
    </w:rPr>
  </w:style>
  <w:style w:type="character" w:customStyle="1" w:styleId="20">
    <w:name w:val="Заголовок 2 Знак"/>
    <w:basedOn w:val="a0"/>
    <w:link w:val="2"/>
    <w:uiPriority w:val="9"/>
    <w:rsid w:val="005B5955"/>
    <w:rPr>
      <w:rFonts w:ascii="Times New Roman" w:eastAsia="Times New Roman" w:hAnsi="Times New Roman" w:cs="Times New Roman"/>
      <w:b/>
      <w:bCs/>
      <w:sz w:val="36"/>
      <w:szCs w:val="36"/>
      <w:lang w:eastAsia="ru-RU"/>
    </w:rPr>
  </w:style>
  <w:style w:type="paragraph" w:styleId="25">
    <w:name w:val="Body Text Indent 2"/>
    <w:basedOn w:val="a"/>
    <w:link w:val="26"/>
    <w:uiPriority w:val="99"/>
    <w:unhideWhenUsed/>
    <w:rsid w:val="005B5955"/>
    <w:pPr>
      <w:widowControl w:val="0"/>
      <w:spacing w:after="0" w:line="360" w:lineRule="auto"/>
      <w:ind w:firstLine="709"/>
      <w:jc w:val="both"/>
    </w:pPr>
    <w:rPr>
      <w:rFonts w:ascii="Times New Roman" w:eastAsia="Calibri" w:hAnsi="Times New Roman" w:cs="Times New Roman"/>
      <w:sz w:val="28"/>
      <w:szCs w:val="28"/>
    </w:rPr>
  </w:style>
  <w:style w:type="character" w:customStyle="1" w:styleId="26">
    <w:name w:val="Основной текст с отступом 2 Знак"/>
    <w:basedOn w:val="a0"/>
    <w:link w:val="25"/>
    <w:uiPriority w:val="99"/>
    <w:rsid w:val="005B5955"/>
    <w:rPr>
      <w:rFonts w:ascii="Times New Roman" w:eastAsia="Calibri" w:hAnsi="Times New Roman" w:cs="Times New Roman"/>
      <w:sz w:val="28"/>
      <w:szCs w:val="28"/>
    </w:rPr>
  </w:style>
  <w:style w:type="paragraph" w:customStyle="1" w:styleId="ConsPlusNonformat">
    <w:name w:val="ConsPlusNonformat"/>
    <w:rsid w:val="005B595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6">
    <w:name w:val="Сетка таблицы6"/>
    <w:basedOn w:val="a1"/>
    <w:next w:val="af2"/>
    <w:uiPriority w:val="59"/>
    <w:rsid w:val="004A7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h-link">
    <w:name w:val="resh-link"/>
    <w:basedOn w:val="a0"/>
    <w:rsid w:val="00593DA5"/>
  </w:style>
  <w:style w:type="character" w:customStyle="1" w:styleId="csfc2ac2711">
    <w:name w:val="csfc2ac2711"/>
    <w:rsid w:val="00F515A0"/>
    <w:rPr>
      <w:rFonts w:ascii="Calibri" w:hAnsi="Calibri" w:hint="default"/>
      <w:b w:val="0"/>
      <w:bCs w:val="0"/>
      <w:i w:val="0"/>
      <w:iCs w:val="0"/>
      <w:color w:val="000000"/>
      <w:sz w:val="28"/>
      <w:szCs w:val="28"/>
      <w:shd w:val="clear" w:color="auto" w:fill="auto"/>
    </w:rPr>
  </w:style>
  <w:style w:type="paragraph" w:customStyle="1" w:styleId="s3mailrucssattributepostfixmailrucssattributepostfix">
    <w:name w:val="s3mailrucssattributepostfixmailrucssattributepostfix"/>
    <w:basedOn w:val="a"/>
    <w:rsid w:val="00D36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Strong"/>
    <w:basedOn w:val="a0"/>
    <w:uiPriority w:val="22"/>
    <w:qFormat/>
    <w:rsid w:val="00D368ED"/>
    <w:rPr>
      <w:b/>
      <w:bCs/>
    </w:rPr>
  </w:style>
  <w:style w:type="character" w:customStyle="1" w:styleId="st">
    <w:name w:val="st"/>
    <w:basedOn w:val="a0"/>
    <w:rsid w:val="008D2812"/>
  </w:style>
  <w:style w:type="paragraph" w:styleId="afc">
    <w:name w:val="No Spacing"/>
    <w:link w:val="afd"/>
    <w:uiPriority w:val="1"/>
    <w:qFormat/>
    <w:rsid w:val="00ED7072"/>
    <w:pPr>
      <w:spacing w:after="0" w:line="240" w:lineRule="auto"/>
    </w:pPr>
  </w:style>
  <w:style w:type="character" w:customStyle="1" w:styleId="afd">
    <w:name w:val="Без интервала Знак"/>
    <w:link w:val="afc"/>
    <w:uiPriority w:val="1"/>
    <w:rsid w:val="00ED7072"/>
  </w:style>
  <w:style w:type="paragraph" w:styleId="afe">
    <w:name w:val="endnote text"/>
    <w:basedOn w:val="a"/>
    <w:link w:val="aff"/>
    <w:uiPriority w:val="99"/>
    <w:semiHidden/>
    <w:unhideWhenUsed/>
    <w:rsid w:val="00152BC4"/>
    <w:pPr>
      <w:spacing w:after="0" w:line="240" w:lineRule="auto"/>
    </w:pPr>
    <w:rPr>
      <w:sz w:val="20"/>
      <w:szCs w:val="20"/>
    </w:rPr>
  </w:style>
  <w:style w:type="character" w:customStyle="1" w:styleId="aff">
    <w:name w:val="Текст концевой сноски Знак"/>
    <w:basedOn w:val="a0"/>
    <w:link w:val="afe"/>
    <w:uiPriority w:val="99"/>
    <w:semiHidden/>
    <w:rsid w:val="00152BC4"/>
    <w:rPr>
      <w:sz w:val="20"/>
      <w:szCs w:val="20"/>
    </w:rPr>
  </w:style>
  <w:style w:type="character" w:styleId="aff0">
    <w:name w:val="endnote reference"/>
    <w:basedOn w:val="a0"/>
    <w:uiPriority w:val="99"/>
    <w:semiHidden/>
    <w:unhideWhenUsed/>
    <w:rsid w:val="00152BC4"/>
    <w:rPr>
      <w:vertAlign w:val="superscript"/>
    </w:rPr>
  </w:style>
  <w:style w:type="character" w:styleId="aff1">
    <w:name w:val="Emphasis"/>
    <w:basedOn w:val="a0"/>
    <w:uiPriority w:val="20"/>
    <w:qFormat/>
    <w:rsid w:val="000E4D85"/>
    <w:rPr>
      <w:i/>
      <w:iCs/>
    </w:rPr>
  </w:style>
  <w:style w:type="paragraph" w:customStyle="1" w:styleId="s3">
    <w:name w:val="s3"/>
    <w:basedOn w:val="a"/>
    <w:rsid w:val="00306B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306BA6"/>
  </w:style>
  <w:style w:type="character" w:customStyle="1" w:styleId="s4">
    <w:name w:val="s4"/>
    <w:basedOn w:val="a0"/>
    <w:rsid w:val="00306BA6"/>
  </w:style>
  <w:style w:type="character" w:customStyle="1" w:styleId="s6">
    <w:name w:val="s6"/>
    <w:basedOn w:val="a0"/>
    <w:rsid w:val="00306BA6"/>
  </w:style>
  <w:style w:type="character" w:customStyle="1" w:styleId="s8">
    <w:name w:val="s8"/>
    <w:basedOn w:val="a0"/>
    <w:rsid w:val="00306BA6"/>
  </w:style>
  <w:style w:type="character" w:customStyle="1" w:styleId="s9">
    <w:name w:val="s9"/>
    <w:basedOn w:val="a0"/>
    <w:rsid w:val="00306BA6"/>
  </w:style>
  <w:style w:type="character" w:customStyle="1" w:styleId="norss">
    <w:name w:val="no_rss"/>
    <w:basedOn w:val="a0"/>
    <w:rsid w:val="00306BA6"/>
  </w:style>
  <w:style w:type="table" w:customStyle="1" w:styleId="7">
    <w:name w:val="Сетка таблицы7"/>
    <w:basedOn w:val="a1"/>
    <w:next w:val="af2"/>
    <w:uiPriority w:val="59"/>
    <w:rsid w:val="0005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Сноска (6)_"/>
    <w:basedOn w:val="a0"/>
    <w:link w:val="61"/>
    <w:rsid w:val="003F60AF"/>
    <w:rPr>
      <w:rFonts w:ascii="Arial Unicode MS" w:eastAsia="Arial Unicode MS" w:hAnsi="Arial Unicode MS" w:cs="Arial Unicode MS"/>
      <w:sz w:val="17"/>
      <w:szCs w:val="17"/>
      <w:shd w:val="clear" w:color="auto" w:fill="FFFFFF"/>
    </w:rPr>
  </w:style>
  <w:style w:type="character" w:customStyle="1" w:styleId="40">
    <w:name w:val="Основной текст (4)_"/>
    <w:basedOn w:val="a0"/>
    <w:link w:val="41"/>
    <w:rsid w:val="003F60AF"/>
    <w:rPr>
      <w:rFonts w:ascii="Times New Roman" w:eastAsia="Times New Roman" w:hAnsi="Times New Roman" w:cs="Times New Roman"/>
      <w:b/>
      <w:bCs/>
      <w:shd w:val="clear" w:color="auto" w:fill="FFFFFF"/>
    </w:rPr>
  </w:style>
  <w:style w:type="character" w:customStyle="1" w:styleId="42">
    <w:name w:val="Основной текст (4) + Не полужирный"/>
    <w:basedOn w:val="40"/>
    <w:rsid w:val="003F60AF"/>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61">
    <w:name w:val="Сноска (6)"/>
    <w:basedOn w:val="a"/>
    <w:link w:val="60"/>
    <w:rsid w:val="003F60AF"/>
    <w:pPr>
      <w:widowControl w:val="0"/>
      <w:shd w:val="clear" w:color="auto" w:fill="FFFFFF"/>
      <w:spacing w:after="0" w:line="206" w:lineRule="exact"/>
    </w:pPr>
    <w:rPr>
      <w:rFonts w:ascii="Arial Unicode MS" w:eastAsia="Arial Unicode MS" w:hAnsi="Arial Unicode MS" w:cs="Arial Unicode MS"/>
      <w:sz w:val="17"/>
      <w:szCs w:val="17"/>
    </w:rPr>
  </w:style>
  <w:style w:type="paragraph" w:customStyle="1" w:styleId="41">
    <w:name w:val="Основной текст (4)"/>
    <w:basedOn w:val="a"/>
    <w:link w:val="40"/>
    <w:rsid w:val="003F60AF"/>
    <w:pPr>
      <w:widowControl w:val="0"/>
      <w:shd w:val="clear" w:color="auto" w:fill="FFFFFF"/>
      <w:spacing w:before="300" w:after="60" w:line="0" w:lineRule="atLeast"/>
      <w:jc w:val="both"/>
    </w:pPr>
    <w:rPr>
      <w:rFonts w:ascii="Times New Roman" w:eastAsia="Times New Roman" w:hAnsi="Times New Roman" w:cs="Times New Roman"/>
      <w:b/>
      <w:bCs/>
    </w:rPr>
  </w:style>
  <w:style w:type="paragraph" w:customStyle="1" w:styleId="western">
    <w:name w:val="western"/>
    <w:basedOn w:val="a"/>
    <w:rsid w:val="003F60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8">
    <w:name w:val="Сетка таблицы8"/>
    <w:basedOn w:val="a1"/>
    <w:next w:val="af2"/>
    <w:uiPriority w:val="59"/>
    <w:rsid w:val="00787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next w:val="af2"/>
    <w:uiPriority w:val="39"/>
    <w:rsid w:val="003440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2">
    <w:name w:val="Сетка таблицы72"/>
    <w:basedOn w:val="a1"/>
    <w:next w:val="af2"/>
    <w:uiPriority w:val="39"/>
    <w:rsid w:val="003440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
    <w:name w:val="Сетка таблицы81"/>
    <w:basedOn w:val="a1"/>
    <w:next w:val="af2"/>
    <w:uiPriority w:val="39"/>
    <w:rsid w:val="003440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11">
    <w:name w:val="Сетка таблицы711"/>
    <w:basedOn w:val="a1"/>
    <w:next w:val="af2"/>
    <w:uiPriority w:val="59"/>
    <w:rsid w:val="00344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2"/>
    <w:uiPriority w:val="59"/>
    <w:rsid w:val="00344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next w:val="af2"/>
    <w:uiPriority w:val="39"/>
    <w:rsid w:val="008274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2">
    <w:name w:val="Сетка таблицы82"/>
    <w:basedOn w:val="a1"/>
    <w:next w:val="af2"/>
    <w:uiPriority w:val="39"/>
    <w:rsid w:val="008274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12">
    <w:name w:val="Сетка таблицы712"/>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2"/>
    <w:uiPriority w:val="59"/>
    <w:rsid w:val="00827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240005">
      <w:bodyDiv w:val="1"/>
      <w:marLeft w:val="0"/>
      <w:marRight w:val="0"/>
      <w:marTop w:val="0"/>
      <w:marBottom w:val="0"/>
      <w:divBdr>
        <w:top w:val="none" w:sz="0" w:space="0" w:color="auto"/>
        <w:left w:val="none" w:sz="0" w:space="0" w:color="auto"/>
        <w:bottom w:val="none" w:sz="0" w:space="0" w:color="auto"/>
        <w:right w:val="none" w:sz="0" w:space="0" w:color="auto"/>
      </w:divBdr>
    </w:div>
    <w:div w:id="103429559">
      <w:bodyDiv w:val="1"/>
      <w:marLeft w:val="0"/>
      <w:marRight w:val="0"/>
      <w:marTop w:val="0"/>
      <w:marBottom w:val="0"/>
      <w:divBdr>
        <w:top w:val="none" w:sz="0" w:space="0" w:color="auto"/>
        <w:left w:val="none" w:sz="0" w:space="0" w:color="auto"/>
        <w:bottom w:val="none" w:sz="0" w:space="0" w:color="auto"/>
        <w:right w:val="none" w:sz="0" w:space="0" w:color="auto"/>
      </w:divBdr>
    </w:div>
    <w:div w:id="130639815">
      <w:bodyDiv w:val="1"/>
      <w:marLeft w:val="0"/>
      <w:marRight w:val="0"/>
      <w:marTop w:val="0"/>
      <w:marBottom w:val="0"/>
      <w:divBdr>
        <w:top w:val="none" w:sz="0" w:space="0" w:color="auto"/>
        <w:left w:val="none" w:sz="0" w:space="0" w:color="auto"/>
        <w:bottom w:val="none" w:sz="0" w:space="0" w:color="auto"/>
        <w:right w:val="none" w:sz="0" w:space="0" w:color="auto"/>
      </w:divBdr>
    </w:div>
    <w:div w:id="154103943">
      <w:bodyDiv w:val="1"/>
      <w:marLeft w:val="0"/>
      <w:marRight w:val="0"/>
      <w:marTop w:val="0"/>
      <w:marBottom w:val="0"/>
      <w:divBdr>
        <w:top w:val="none" w:sz="0" w:space="0" w:color="auto"/>
        <w:left w:val="none" w:sz="0" w:space="0" w:color="auto"/>
        <w:bottom w:val="none" w:sz="0" w:space="0" w:color="auto"/>
        <w:right w:val="none" w:sz="0" w:space="0" w:color="auto"/>
      </w:divBdr>
    </w:div>
    <w:div w:id="165167765">
      <w:bodyDiv w:val="1"/>
      <w:marLeft w:val="0"/>
      <w:marRight w:val="0"/>
      <w:marTop w:val="0"/>
      <w:marBottom w:val="0"/>
      <w:divBdr>
        <w:top w:val="none" w:sz="0" w:space="0" w:color="auto"/>
        <w:left w:val="none" w:sz="0" w:space="0" w:color="auto"/>
        <w:bottom w:val="none" w:sz="0" w:space="0" w:color="auto"/>
        <w:right w:val="none" w:sz="0" w:space="0" w:color="auto"/>
      </w:divBdr>
    </w:div>
    <w:div w:id="245192880">
      <w:bodyDiv w:val="1"/>
      <w:marLeft w:val="0"/>
      <w:marRight w:val="0"/>
      <w:marTop w:val="0"/>
      <w:marBottom w:val="0"/>
      <w:divBdr>
        <w:top w:val="none" w:sz="0" w:space="0" w:color="auto"/>
        <w:left w:val="none" w:sz="0" w:space="0" w:color="auto"/>
        <w:bottom w:val="none" w:sz="0" w:space="0" w:color="auto"/>
        <w:right w:val="none" w:sz="0" w:space="0" w:color="auto"/>
      </w:divBdr>
    </w:div>
    <w:div w:id="329868733">
      <w:bodyDiv w:val="1"/>
      <w:marLeft w:val="0"/>
      <w:marRight w:val="0"/>
      <w:marTop w:val="0"/>
      <w:marBottom w:val="0"/>
      <w:divBdr>
        <w:top w:val="none" w:sz="0" w:space="0" w:color="auto"/>
        <w:left w:val="none" w:sz="0" w:space="0" w:color="auto"/>
        <w:bottom w:val="none" w:sz="0" w:space="0" w:color="auto"/>
        <w:right w:val="none" w:sz="0" w:space="0" w:color="auto"/>
      </w:divBdr>
    </w:div>
    <w:div w:id="354818205">
      <w:bodyDiv w:val="1"/>
      <w:marLeft w:val="0"/>
      <w:marRight w:val="0"/>
      <w:marTop w:val="0"/>
      <w:marBottom w:val="0"/>
      <w:divBdr>
        <w:top w:val="none" w:sz="0" w:space="0" w:color="auto"/>
        <w:left w:val="none" w:sz="0" w:space="0" w:color="auto"/>
        <w:bottom w:val="none" w:sz="0" w:space="0" w:color="auto"/>
        <w:right w:val="none" w:sz="0" w:space="0" w:color="auto"/>
      </w:divBdr>
    </w:div>
    <w:div w:id="368065987">
      <w:bodyDiv w:val="1"/>
      <w:marLeft w:val="0"/>
      <w:marRight w:val="0"/>
      <w:marTop w:val="0"/>
      <w:marBottom w:val="0"/>
      <w:divBdr>
        <w:top w:val="none" w:sz="0" w:space="0" w:color="auto"/>
        <w:left w:val="none" w:sz="0" w:space="0" w:color="auto"/>
        <w:bottom w:val="none" w:sz="0" w:space="0" w:color="auto"/>
        <w:right w:val="none" w:sz="0" w:space="0" w:color="auto"/>
      </w:divBdr>
    </w:div>
    <w:div w:id="422066214">
      <w:bodyDiv w:val="1"/>
      <w:marLeft w:val="0"/>
      <w:marRight w:val="0"/>
      <w:marTop w:val="0"/>
      <w:marBottom w:val="0"/>
      <w:divBdr>
        <w:top w:val="none" w:sz="0" w:space="0" w:color="auto"/>
        <w:left w:val="none" w:sz="0" w:space="0" w:color="auto"/>
        <w:bottom w:val="none" w:sz="0" w:space="0" w:color="auto"/>
        <w:right w:val="none" w:sz="0" w:space="0" w:color="auto"/>
      </w:divBdr>
    </w:div>
    <w:div w:id="441926151">
      <w:bodyDiv w:val="1"/>
      <w:marLeft w:val="0"/>
      <w:marRight w:val="0"/>
      <w:marTop w:val="0"/>
      <w:marBottom w:val="0"/>
      <w:divBdr>
        <w:top w:val="none" w:sz="0" w:space="0" w:color="auto"/>
        <w:left w:val="none" w:sz="0" w:space="0" w:color="auto"/>
        <w:bottom w:val="none" w:sz="0" w:space="0" w:color="auto"/>
        <w:right w:val="none" w:sz="0" w:space="0" w:color="auto"/>
      </w:divBdr>
    </w:div>
    <w:div w:id="526408263">
      <w:bodyDiv w:val="1"/>
      <w:marLeft w:val="0"/>
      <w:marRight w:val="0"/>
      <w:marTop w:val="0"/>
      <w:marBottom w:val="0"/>
      <w:divBdr>
        <w:top w:val="none" w:sz="0" w:space="0" w:color="auto"/>
        <w:left w:val="none" w:sz="0" w:space="0" w:color="auto"/>
        <w:bottom w:val="none" w:sz="0" w:space="0" w:color="auto"/>
        <w:right w:val="none" w:sz="0" w:space="0" w:color="auto"/>
      </w:divBdr>
    </w:div>
    <w:div w:id="548765373">
      <w:bodyDiv w:val="1"/>
      <w:marLeft w:val="0"/>
      <w:marRight w:val="0"/>
      <w:marTop w:val="0"/>
      <w:marBottom w:val="0"/>
      <w:divBdr>
        <w:top w:val="none" w:sz="0" w:space="0" w:color="auto"/>
        <w:left w:val="none" w:sz="0" w:space="0" w:color="auto"/>
        <w:bottom w:val="none" w:sz="0" w:space="0" w:color="auto"/>
        <w:right w:val="none" w:sz="0" w:space="0" w:color="auto"/>
      </w:divBdr>
    </w:div>
    <w:div w:id="679046030">
      <w:bodyDiv w:val="1"/>
      <w:marLeft w:val="0"/>
      <w:marRight w:val="0"/>
      <w:marTop w:val="0"/>
      <w:marBottom w:val="0"/>
      <w:divBdr>
        <w:top w:val="none" w:sz="0" w:space="0" w:color="auto"/>
        <w:left w:val="none" w:sz="0" w:space="0" w:color="auto"/>
        <w:bottom w:val="none" w:sz="0" w:space="0" w:color="auto"/>
        <w:right w:val="none" w:sz="0" w:space="0" w:color="auto"/>
      </w:divBdr>
    </w:div>
    <w:div w:id="689455630">
      <w:bodyDiv w:val="1"/>
      <w:marLeft w:val="0"/>
      <w:marRight w:val="0"/>
      <w:marTop w:val="0"/>
      <w:marBottom w:val="0"/>
      <w:divBdr>
        <w:top w:val="none" w:sz="0" w:space="0" w:color="auto"/>
        <w:left w:val="none" w:sz="0" w:space="0" w:color="auto"/>
        <w:bottom w:val="none" w:sz="0" w:space="0" w:color="auto"/>
        <w:right w:val="none" w:sz="0" w:space="0" w:color="auto"/>
      </w:divBdr>
    </w:div>
    <w:div w:id="708260787">
      <w:bodyDiv w:val="1"/>
      <w:marLeft w:val="0"/>
      <w:marRight w:val="0"/>
      <w:marTop w:val="0"/>
      <w:marBottom w:val="0"/>
      <w:divBdr>
        <w:top w:val="none" w:sz="0" w:space="0" w:color="auto"/>
        <w:left w:val="none" w:sz="0" w:space="0" w:color="auto"/>
        <w:bottom w:val="none" w:sz="0" w:space="0" w:color="auto"/>
        <w:right w:val="none" w:sz="0" w:space="0" w:color="auto"/>
      </w:divBdr>
    </w:div>
    <w:div w:id="714817527">
      <w:bodyDiv w:val="1"/>
      <w:marLeft w:val="0"/>
      <w:marRight w:val="0"/>
      <w:marTop w:val="0"/>
      <w:marBottom w:val="0"/>
      <w:divBdr>
        <w:top w:val="none" w:sz="0" w:space="0" w:color="auto"/>
        <w:left w:val="none" w:sz="0" w:space="0" w:color="auto"/>
        <w:bottom w:val="none" w:sz="0" w:space="0" w:color="auto"/>
        <w:right w:val="none" w:sz="0" w:space="0" w:color="auto"/>
      </w:divBdr>
    </w:div>
    <w:div w:id="747769798">
      <w:bodyDiv w:val="1"/>
      <w:marLeft w:val="0"/>
      <w:marRight w:val="0"/>
      <w:marTop w:val="0"/>
      <w:marBottom w:val="0"/>
      <w:divBdr>
        <w:top w:val="none" w:sz="0" w:space="0" w:color="auto"/>
        <w:left w:val="none" w:sz="0" w:space="0" w:color="auto"/>
        <w:bottom w:val="none" w:sz="0" w:space="0" w:color="auto"/>
        <w:right w:val="none" w:sz="0" w:space="0" w:color="auto"/>
      </w:divBdr>
    </w:div>
    <w:div w:id="812866335">
      <w:bodyDiv w:val="1"/>
      <w:marLeft w:val="0"/>
      <w:marRight w:val="0"/>
      <w:marTop w:val="0"/>
      <w:marBottom w:val="0"/>
      <w:divBdr>
        <w:top w:val="none" w:sz="0" w:space="0" w:color="auto"/>
        <w:left w:val="none" w:sz="0" w:space="0" w:color="auto"/>
        <w:bottom w:val="none" w:sz="0" w:space="0" w:color="auto"/>
        <w:right w:val="none" w:sz="0" w:space="0" w:color="auto"/>
      </w:divBdr>
    </w:div>
    <w:div w:id="823933743">
      <w:bodyDiv w:val="1"/>
      <w:marLeft w:val="0"/>
      <w:marRight w:val="0"/>
      <w:marTop w:val="0"/>
      <w:marBottom w:val="0"/>
      <w:divBdr>
        <w:top w:val="none" w:sz="0" w:space="0" w:color="auto"/>
        <w:left w:val="none" w:sz="0" w:space="0" w:color="auto"/>
        <w:bottom w:val="none" w:sz="0" w:space="0" w:color="auto"/>
        <w:right w:val="none" w:sz="0" w:space="0" w:color="auto"/>
      </w:divBdr>
    </w:div>
    <w:div w:id="900671672">
      <w:bodyDiv w:val="1"/>
      <w:marLeft w:val="0"/>
      <w:marRight w:val="0"/>
      <w:marTop w:val="0"/>
      <w:marBottom w:val="0"/>
      <w:divBdr>
        <w:top w:val="none" w:sz="0" w:space="0" w:color="auto"/>
        <w:left w:val="none" w:sz="0" w:space="0" w:color="auto"/>
        <w:bottom w:val="none" w:sz="0" w:space="0" w:color="auto"/>
        <w:right w:val="none" w:sz="0" w:space="0" w:color="auto"/>
      </w:divBdr>
    </w:div>
    <w:div w:id="933392580">
      <w:bodyDiv w:val="1"/>
      <w:marLeft w:val="0"/>
      <w:marRight w:val="0"/>
      <w:marTop w:val="0"/>
      <w:marBottom w:val="0"/>
      <w:divBdr>
        <w:top w:val="none" w:sz="0" w:space="0" w:color="auto"/>
        <w:left w:val="none" w:sz="0" w:space="0" w:color="auto"/>
        <w:bottom w:val="none" w:sz="0" w:space="0" w:color="auto"/>
        <w:right w:val="none" w:sz="0" w:space="0" w:color="auto"/>
      </w:divBdr>
    </w:div>
    <w:div w:id="1030300676">
      <w:bodyDiv w:val="1"/>
      <w:marLeft w:val="0"/>
      <w:marRight w:val="0"/>
      <w:marTop w:val="0"/>
      <w:marBottom w:val="0"/>
      <w:divBdr>
        <w:top w:val="none" w:sz="0" w:space="0" w:color="auto"/>
        <w:left w:val="none" w:sz="0" w:space="0" w:color="auto"/>
        <w:bottom w:val="none" w:sz="0" w:space="0" w:color="auto"/>
        <w:right w:val="none" w:sz="0" w:space="0" w:color="auto"/>
      </w:divBdr>
    </w:div>
    <w:div w:id="1032729514">
      <w:bodyDiv w:val="1"/>
      <w:marLeft w:val="0"/>
      <w:marRight w:val="0"/>
      <w:marTop w:val="0"/>
      <w:marBottom w:val="0"/>
      <w:divBdr>
        <w:top w:val="none" w:sz="0" w:space="0" w:color="auto"/>
        <w:left w:val="none" w:sz="0" w:space="0" w:color="auto"/>
        <w:bottom w:val="none" w:sz="0" w:space="0" w:color="auto"/>
        <w:right w:val="none" w:sz="0" w:space="0" w:color="auto"/>
      </w:divBdr>
    </w:div>
    <w:div w:id="1077245369">
      <w:bodyDiv w:val="1"/>
      <w:marLeft w:val="0"/>
      <w:marRight w:val="0"/>
      <w:marTop w:val="0"/>
      <w:marBottom w:val="0"/>
      <w:divBdr>
        <w:top w:val="none" w:sz="0" w:space="0" w:color="auto"/>
        <w:left w:val="none" w:sz="0" w:space="0" w:color="auto"/>
        <w:bottom w:val="none" w:sz="0" w:space="0" w:color="auto"/>
        <w:right w:val="none" w:sz="0" w:space="0" w:color="auto"/>
      </w:divBdr>
    </w:div>
    <w:div w:id="1313295673">
      <w:bodyDiv w:val="1"/>
      <w:marLeft w:val="0"/>
      <w:marRight w:val="0"/>
      <w:marTop w:val="0"/>
      <w:marBottom w:val="0"/>
      <w:divBdr>
        <w:top w:val="none" w:sz="0" w:space="0" w:color="auto"/>
        <w:left w:val="none" w:sz="0" w:space="0" w:color="auto"/>
        <w:bottom w:val="none" w:sz="0" w:space="0" w:color="auto"/>
        <w:right w:val="none" w:sz="0" w:space="0" w:color="auto"/>
      </w:divBdr>
    </w:div>
    <w:div w:id="1367948016">
      <w:bodyDiv w:val="1"/>
      <w:marLeft w:val="0"/>
      <w:marRight w:val="0"/>
      <w:marTop w:val="0"/>
      <w:marBottom w:val="0"/>
      <w:divBdr>
        <w:top w:val="none" w:sz="0" w:space="0" w:color="auto"/>
        <w:left w:val="none" w:sz="0" w:space="0" w:color="auto"/>
        <w:bottom w:val="none" w:sz="0" w:space="0" w:color="auto"/>
        <w:right w:val="none" w:sz="0" w:space="0" w:color="auto"/>
      </w:divBdr>
    </w:div>
    <w:div w:id="1386177503">
      <w:bodyDiv w:val="1"/>
      <w:marLeft w:val="0"/>
      <w:marRight w:val="0"/>
      <w:marTop w:val="0"/>
      <w:marBottom w:val="0"/>
      <w:divBdr>
        <w:top w:val="none" w:sz="0" w:space="0" w:color="auto"/>
        <w:left w:val="none" w:sz="0" w:space="0" w:color="auto"/>
        <w:bottom w:val="none" w:sz="0" w:space="0" w:color="auto"/>
        <w:right w:val="none" w:sz="0" w:space="0" w:color="auto"/>
      </w:divBdr>
    </w:div>
    <w:div w:id="1546213056">
      <w:bodyDiv w:val="1"/>
      <w:marLeft w:val="0"/>
      <w:marRight w:val="0"/>
      <w:marTop w:val="0"/>
      <w:marBottom w:val="0"/>
      <w:divBdr>
        <w:top w:val="none" w:sz="0" w:space="0" w:color="auto"/>
        <w:left w:val="none" w:sz="0" w:space="0" w:color="auto"/>
        <w:bottom w:val="none" w:sz="0" w:space="0" w:color="auto"/>
        <w:right w:val="none" w:sz="0" w:space="0" w:color="auto"/>
      </w:divBdr>
    </w:div>
    <w:div w:id="1598556936">
      <w:bodyDiv w:val="1"/>
      <w:marLeft w:val="0"/>
      <w:marRight w:val="0"/>
      <w:marTop w:val="0"/>
      <w:marBottom w:val="0"/>
      <w:divBdr>
        <w:top w:val="none" w:sz="0" w:space="0" w:color="auto"/>
        <w:left w:val="none" w:sz="0" w:space="0" w:color="auto"/>
        <w:bottom w:val="none" w:sz="0" w:space="0" w:color="auto"/>
        <w:right w:val="none" w:sz="0" w:space="0" w:color="auto"/>
      </w:divBdr>
    </w:div>
    <w:div w:id="1606883499">
      <w:bodyDiv w:val="1"/>
      <w:marLeft w:val="0"/>
      <w:marRight w:val="0"/>
      <w:marTop w:val="0"/>
      <w:marBottom w:val="0"/>
      <w:divBdr>
        <w:top w:val="none" w:sz="0" w:space="0" w:color="auto"/>
        <w:left w:val="none" w:sz="0" w:space="0" w:color="auto"/>
        <w:bottom w:val="none" w:sz="0" w:space="0" w:color="auto"/>
        <w:right w:val="none" w:sz="0" w:space="0" w:color="auto"/>
      </w:divBdr>
    </w:div>
    <w:div w:id="1633052572">
      <w:bodyDiv w:val="1"/>
      <w:marLeft w:val="0"/>
      <w:marRight w:val="0"/>
      <w:marTop w:val="0"/>
      <w:marBottom w:val="0"/>
      <w:divBdr>
        <w:top w:val="none" w:sz="0" w:space="0" w:color="auto"/>
        <w:left w:val="none" w:sz="0" w:space="0" w:color="auto"/>
        <w:bottom w:val="none" w:sz="0" w:space="0" w:color="auto"/>
        <w:right w:val="none" w:sz="0" w:space="0" w:color="auto"/>
      </w:divBdr>
    </w:div>
    <w:div w:id="1658876118">
      <w:bodyDiv w:val="1"/>
      <w:marLeft w:val="0"/>
      <w:marRight w:val="0"/>
      <w:marTop w:val="0"/>
      <w:marBottom w:val="0"/>
      <w:divBdr>
        <w:top w:val="none" w:sz="0" w:space="0" w:color="auto"/>
        <w:left w:val="none" w:sz="0" w:space="0" w:color="auto"/>
        <w:bottom w:val="none" w:sz="0" w:space="0" w:color="auto"/>
        <w:right w:val="none" w:sz="0" w:space="0" w:color="auto"/>
      </w:divBdr>
    </w:div>
    <w:div w:id="1799375193">
      <w:bodyDiv w:val="1"/>
      <w:marLeft w:val="0"/>
      <w:marRight w:val="0"/>
      <w:marTop w:val="0"/>
      <w:marBottom w:val="0"/>
      <w:divBdr>
        <w:top w:val="none" w:sz="0" w:space="0" w:color="auto"/>
        <w:left w:val="none" w:sz="0" w:space="0" w:color="auto"/>
        <w:bottom w:val="none" w:sz="0" w:space="0" w:color="auto"/>
        <w:right w:val="none" w:sz="0" w:space="0" w:color="auto"/>
      </w:divBdr>
    </w:div>
    <w:div w:id="1841501126">
      <w:bodyDiv w:val="1"/>
      <w:marLeft w:val="0"/>
      <w:marRight w:val="0"/>
      <w:marTop w:val="0"/>
      <w:marBottom w:val="0"/>
      <w:divBdr>
        <w:top w:val="none" w:sz="0" w:space="0" w:color="auto"/>
        <w:left w:val="none" w:sz="0" w:space="0" w:color="auto"/>
        <w:bottom w:val="none" w:sz="0" w:space="0" w:color="auto"/>
        <w:right w:val="none" w:sz="0" w:space="0" w:color="auto"/>
      </w:divBdr>
    </w:div>
    <w:div w:id="188587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5.xml"/><Relationship Id="rId39" Type="http://schemas.openxmlformats.org/officeDocument/2006/relationships/hyperlink" Target="https://www.primorsky.ru/regionalnye-proekty/zhile-i-gorodskaya-sreda/" TargetMode="External"/><Relationship Id="rId21" Type="http://schemas.openxmlformats.org/officeDocument/2006/relationships/image" Target="media/image1.png"/><Relationship Id="rId34" Type="http://schemas.openxmlformats.org/officeDocument/2006/relationships/hyperlink" Target="consultantplus://offline/ref=6F763678EDB417CEE84934B9611F6281F1A8CD1239EB1385115E75BAFC26FF78C6C697F2548793EAEC42BDBECA02v2C" TargetMode="External"/><Relationship Id="rId42" Type="http://schemas.openxmlformats.org/officeDocument/2006/relationships/image" Target="media/image8.jpeg"/><Relationship Id="rId47" Type="http://schemas.openxmlformats.org/officeDocument/2006/relationships/image" Target="media/image13.jpeg"/><Relationship Id="rId50" Type="http://schemas.openxmlformats.org/officeDocument/2006/relationships/image" Target="media/image16.jpeg"/><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4.xml"/><Relationship Id="rId33" Type="http://schemas.openxmlformats.org/officeDocument/2006/relationships/image" Target="media/image6.jpeg"/><Relationship Id="rId38" Type="http://schemas.openxmlformats.org/officeDocument/2006/relationships/hyperlink" Target="https://www.primorsky.ru/regionalnye-proekty/zhile-i-gorodskaya-sreda/" TargetMode="External"/><Relationship Id="rId46"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18.xml"/><Relationship Id="rId41" Type="http://schemas.openxmlformats.org/officeDocument/2006/relationships/hyperlink" Target="https://www.primorsky.ru/news/240931/?sphrase_id=5955441"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13.xml"/><Relationship Id="rId32" Type="http://schemas.openxmlformats.org/officeDocument/2006/relationships/image" Target="media/image5.png"/><Relationship Id="rId37" Type="http://schemas.openxmlformats.org/officeDocument/2006/relationships/hyperlink" Target="https://www.primorsky.ru/regionalnye-proekty/zhile-i-gorodskaya-sreda/" TargetMode="External"/><Relationship Id="rId40" Type="http://schemas.openxmlformats.org/officeDocument/2006/relationships/hyperlink" Target="consultantplus://offline/ref=1B54A512AE553660D1CE54AF5BCCCB649A42D214A49306EBE21EA280A89BB4EB481A0044D456707728DDC3117A1F47149974D22C45w8A" TargetMode="External"/><Relationship Id="rId45" Type="http://schemas.openxmlformats.org/officeDocument/2006/relationships/image" Target="media/image11.jpeg"/><Relationship Id="rId53"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hyperlink" Target="https://primorsky.ru/news/242891/" TargetMode="External"/><Relationship Id="rId49" Type="http://schemas.openxmlformats.org/officeDocument/2006/relationships/image" Target="media/image15.jpeg"/><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image" Target="media/image4.jpeg"/><Relationship Id="rId44" Type="http://schemas.openxmlformats.org/officeDocument/2006/relationships/image" Target="media/image10.jpeg"/><Relationship Id="rId52" Type="http://schemas.openxmlformats.org/officeDocument/2006/relationships/hyperlink" Target="consultantplus://offline/ref=6F763678EDB417CEE84934B9611F6281F1A8CD1239EB1385115E75BAFC26FF78C6C697F2548793EAEC42BDBECA02v2C"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5.xml"/><Relationship Id="rId22" Type="http://schemas.openxmlformats.org/officeDocument/2006/relationships/image" Target="media/image2.emf"/><Relationship Id="rId27" Type="http://schemas.openxmlformats.org/officeDocument/2006/relationships/chart" Target="charts/chart16.xml"/><Relationship Id="rId30" Type="http://schemas.openxmlformats.org/officeDocument/2006/relationships/image" Target="media/image3.jpeg"/><Relationship Id="rId35" Type="http://schemas.openxmlformats.org/officeDocument/2006/relationships/image" Target="media/image7.png"/><Relationship Id="rId43" Type="http://schemas.openxmlformats.org/officeDocument/2006/relationships/image" Target="media/image9.png"/><Relationship Id="rId48" Type="http://schemas.openxmlformats.org/officeDocument/2006/relationships/image" Target="media/image14.jpe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19.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3E1FD2EA5FFB5ADE8DE8209C0803175D85DE209CDBF2EB66EA63224C6AC75D634088D8A050CC8C92EB4C20C88EC11DE" TargetMode="External"/><Relationship Id="rId2" Type="http://schemas.openxmlformats.org/officeDocument/2006/relationships/hyperlink" Target="consultantplus://offline/ref=3E1FD2EA5FFB5ADE8DE8209C0803175D85DE209CD9FFEB66EA63224C6AC75D634088D8A050CC8C92EB4C20C88EC11DE" TargetMode="External"/><Relationship Id="rId1" Type="http://schemas.openxmlformats.org/officeDocument/2006/relationships/hyperlink" Target="consultantplus://offline/ref=E82C5A7DC0827ABCB3C33EC48774BDC82D7E0AADE5BB3D44B0EA73FA87E7KDX" TargetMode="External"/><Relationship Id="rId5" Type="http://schemas.openxmlformats.org/officeDocument/2006/relationships/hyperlink" Target="https://primorsky.ru/authorities/executive-agencies/departments/economics/ot.php" TargetMode="External"/><Relationship Id="rId4" Type="http://schemas.openxmlformats.org/officeDocument/2006/relationships/hyperlink" Target="consultantplus://offline/ref=3E1FD2EA5FFB5ADE8DE8209C0803175D85DD269DD6FEEB66EA63224C6AC75D634088D8A050CC8C92EB4C20C88EC11DE"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C:\Users\zavzyataya_sv\Desktop\&#1057;&#1069;&#1056;%20&#1050;&#1085;&#1080;&#1075;&#1072;1_202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2.xml"/><Relationship Id="rId4"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3.xml"/><Relationship Id="rId4"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4.xml"/><Relationship Id="rId4" Type="http://schemas.microsoft.com/office/2011/relationships/chartStyle" Target="style4.xm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5.xml"/><Relationship Id="rId4"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6.xml"/><Relationship Id="rId4"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microsoft.com/office/2011/relationships/chartColorStyle" Target="colors7.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7.xml"/><Relationship Id="rId4"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microsoft.com/office/2011/relationships/chartColorStyle" Target="colors8.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8.xml"/><Relationship Id="rId4"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microsoft.com/office/2011/relationships/chartColorStyle" Target="colors9.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9.xml"/><Relationship Id="rId4"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microsoft.com/office/2011/relationships/chartColorStyle" Target="colors10.xml"/><Relationship Id="rId2" Type="http://schemas.openxmlformats.org/officeDocument/2006/relationships/oleObject" Target="file:///C:\Users\zavzyataya_sv\Desktop\&#1057;&#1069;&#1056;%20&#1050;&#1085;&#1080;&#1075;&#1072;1_2022.xlsx" TargetMode="External"/><Relationship Id="rId1" Type="http://schemas.openxmlformats.org/officeDocument/2006/relationships/themeOverride" Target="../theme/themeOverride10.xml"/><Relationship Id="rId4" Type="http://schemas.microsoft.com/office/2011/relationships/chartStyle" Target="style10.xml"/></Relationships>
</file>

<file path=word/charts/_rels/chart12.xml.rels><?xml version="1.0" encoding="UTF-8" standalone="yes"?>
<Relationships xmlns="http://schemas.openxmlformats.org/package/2006/relationships"><Relationship Id="rId1" Type="http://schemas.openxmlformats.org/officeDocument/2006/relationships/oleObject" Target="file:///C:\Users\zavzyataya_sv\Desktop\&#1044;&#1086;&#1093;&#1086;&#1076;&#1099;%202021&#1076;&#1080;&#1072;&#1075;&#1088;&#1072;&#1084;&#1084;&#1099;.xlsx" TargetMode="External"/></Relationships>
</file>

<file path=word/charts/_rels/chart13.xml.rels><?xml version="1.0" encoding="UTF-8" standalone="yes"?>
<Relationships xmlns="http://schemas.openxmlformats.org/package/2006/relationships"><Relationship Id="rId2" Type="http://schemas.openxmlformats.org/officeDocument/2006/relationships/oleObject" Target="file:///C:\Users\zavzyataya_sv\Desktop\&#1044;&#1086;&#1093;&#1086;&#1076;&#1099;%202021&#1076;&#1080;&#1072;&#1075;&#1088;&#1072;&#1084;&#1084;&#1099;.xlsx" TargetMode="External"/><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zavzyataya_sv\Desktop\&#1044;&#1086;&#1093;&#1086;&#1076;&#1099;%20&#1087;&#1088;&#1086;&#1077;&#1082;&#1090;%202022-2024%20(+2021)%20&#1088;&#1072;&#1073;&#1086;&#1095;&#1072;&#1103;.xlsx" TargetMode="External"/><Relationship Id="rId1" Type="http://schemas.openxmlformats.org/officeDocument/2006/relationships/themeOverride" Target="../theme/themeOverride12.xml"/></Relationships>
</file>

<file path=word/charts/_rels/chart15.xml.rels><?xml version="1.0" encoding="UTF-8" standalone="yes"?>
<Relationships xmlns="http://schemas.openxmlformats.org/package/2006/relationships"><Relationship Id="rId2" Type="http://schemas.openxmlformats.org/officeDocument/2006/relationships/oleObject" Target="file:///C:\Users\zavzyataya_sv\Desktop\&#1044;&#1086;&#1093;&#1086;&#1076;&#1099;%20&#1087;&#1088;&#1086;&#1077;&#1082;&#1090;%202022-2024%20(+2021)%20&#1088;&#1072;&#1073;&#1086;&#1095;&#1072;&#1103;.xlsx" TargetMode="External"/><Relationship Id="rId1" Type="http://schemas.openxmlformats.org/officeDocument/2006/relationships/themeOverride" Target="../theme/themeOverride13.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4.xml"/></Relationships>
</file>

<file path=word/charts/_rels/chart17.xml.rels><?xml version="1.0" encoding="UTF-8" standalone="yes"?>
<Relationships xmlns="http://schemas.openxmlformats.org/package/2006/relationships"><Relationship Id="rId3" Type="http://schemas.microsoft.com/office/2011/relationships/chartColorStyle" Target="colors11.xml"/><Relationship Id="rId2" Type="http://schemas.openxmlformats.org/officeDocument/2006/relationships/oleObject" Target="file:///C:\Users\belokyrova_aa\Desktop\&#1052;&#1086;&#1080;%20&#1076;&#1086;&#1082;&#1091;&#1084;&#1077;&#1085;&#1090;&#1099;\&#1055;&#1056;&#1054;&#1045;&#1050;&#1058;%202022\&#1044;&#1048;&#1040;&#1043;&#1056;.xlsx" TargetMode="External"/><Relationship Id="rId1" Type="http://schemas.openxmlformats.org/officeDocument/2006/relationships/themeOverride" Target="../theme/themeOverride15.xml"/><Relationship Id="rId4" Type="http://schemas.microsoft.com/office/2011/relationships/chartStyle" Target="style11.xml"/></Relationships>
</file>

<file path=word/charts/_rels/chart18.xml.rels><?xml version="1.0" encoding="UTF-8" standalone="yes"?>
<Relationships xmlns="http://schemas.openxmlformats.org/package/2006/relationships"><Relationship Id="rId3" Type="http://schemas.microsoft.com/office/2011/relationships/chartColorStyle" Target="colors12.xml"/><Relationship Id="rId2" Type="http://schemas.openxmlformats.org/officeDocument/2006/relationships/package" Target="../embeddings/Microsoft_Excel_Worksheet2.xlsx"/><Relationship Id="rId1" Type="http://schemas.openxmlformats.org/officeDocument/2006/relationships/themeOverride" Target="../theme/themeOverride16.xml"/><Relationship Id="rId4" Type="http://schemas.microsoft.com/office/2011/relationships/chartStyle" Target="style12.xml"/></Relationships>
</file>

<file path=word/charts/_rels/chart19.xml.rels><?xml version="1.0" encoding="UTF-8" standalone="yes"?>
<Relationships xmlns="http://schemas.openxmlformats.org/package/2006/relationships"><Relationship Id="rId3" Type="http://schemas.microsoft.com/office/2011/relationships/chartColorStyle" Target="colors13.xml"/><Relationship Id="rId2" Type="http://schemas.openxmlformats.org/officeDocument/2006/relationships/oleObject" Target="file:///C:\Users\goncharova_as\Desktop\&#1043;&#1086;&#1089;.%20&#1076;&#1086;&#1083;&#1075;\&#1043;&#1086;&#1089;&#1076;&#1086;&#1083;&#1075;%20&#1076;&#1080;&#1072;&#1075;&#1088;&#1072;&#1084;&#1084;&#1072;.xlsx" TargetMode="External"/><Relationship Id="rId1" Type="http://schemas.openxmlformats.org/officeDocument/2006/relationships/themeOverride" Target="../theme/themeOverride17.xml"/><Relationship Id="rId4"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619698927265307E-2"/>
          <c:y val="3.6161512419643202E-2"/>
          <c:w val="0.84355507019868425"/>
          <c:h val="0.66883207601732997"/>
        </c:manualLayout>
      </c:layout>
      <c:barChart>
        <c:barDir val="col"/>
        <c:grouping val="clustered"/>
        <c:varyColors val="0"/>
        <c:ser>
          <c:idx val="0"/>
          <c:order val="0"/>
          <c:tx>
            <c:strRef>
              <c:f>врп!$B$2</c:f>
              <c:strCache>
                <c:ptCount val="1"/>
                <c:pt idx="0">
                  <c:v>ВРП (млрд рублей), консервативный вариант</c:v>
                </c:pt>
              </c:strCache>
            </c:strRef>
          </c:tx>
          <c:spPr>
            <a:gradFill flip="none" rotWithShape="1">
              <a:gsLst>
                <a:gs pos="50000">
                  <a:srgbClr val="82EEA3"/>
                </a:gs>
                <a:gs pos="0">
                  <a:srgbClr val="24CA38"/>
                </a:gs>
                <a:gs pos="100000">
                  <a:schemeClr val="accent1">
                    <a:tint val="23500"/>
                    <a:satMod val="160000"/>
                  </a:schemeClr>
                </a:gs>
              </a:gsLst>
              <a:path path="circle">
                <a:fillToRect l="100000" t="100000"/>
              </a:path>
              <a:tileRect r="-100000" b="-100000"/>
            </a:gradFill>
            <a:ln>
              <a:solidFill>
                <a:srgbClr val="82EEA3"/>
              </a:solidFill>
            </a:ln>
          </c:spPr>
          <c:invertIfNegative val="0"/>
          <c:dLbls>
            <c:dLbl>
              <c:idx val="0"/>
              <c:layout>
                <c:manualLayout>
                  <c:x val="-1.9597136876054292E-17"/>
                  <c:y val="0.2680202112417107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6E9-4D23-8F3F-458C6C91CC5D}"/>
                </c:ext>
                <c:ext xmlns:c15="http://schemas.microsoft.com/office/drawing/2012/chart" uri="{CE6537A1-D6FC-4f65-9D91-7224C49458BB}"/>
              </c:extLst>
            </c:dLbl>
            <c:dLbl>
              <c:idx val="1"/>
              <c:layout>
                <c:manualLayout>
                  <c:x val="-1.0689470871191877E-2"/>
                  <c:y val="0.2691385497102717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26E9-4D23-8F3F-458C6C91CC5D}"/>
                </c:ext>
                <c:ext xmlns:c15="http://schemas.microsoft.com/office/drawing/2012/chart" uri="{CE6537A1-D6FC-4f65-9D91-7224C49458BB}"/>
              </c:extLst>
            </c:dLbl>
            <c:dLbl>
              <c:idx val="2"/>
              <c:layout>
                <c:manualLayout>
                  <c:x val="-7.9507779325553307E-3"/>
                  <c:y val="0.2497261211913728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6E9-4D23-8F3F-458C6C91CC5D}"/>
                </c:ext>
                <c:ext xmlns:c15="http://schemas.microsoft.com/office/drawing/2012/chart" uri="{CE6537A1-D6FC-4f65-9D91-7224C49458BB}"/>
              </c:extLst>
            </c:dLbl>
            <c:dLbl>
              <c:idx val="3"/>
              <c:layout>
                <c:manualLayout>
                  <c:x val="0"/>
                  <c:y val="0.3557888911265353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6E9-4D23-8F3F-458C6C91CC5D}"/>
                </c:ext>
                <c:ext xmlns:c15="http://schemas.microsoft.com/office/drawing/2012/chart" uri="{CE6537A1-D6FC-4f65-9D91-7224C49458BB}"/>
              </c:extLst>
            </c:dLbl>
            <c:dLbl>
              <c:idx val="4"/>
              <c:layout>
                <c:manualLayout>
                  <c:x val="-1.127217813090053E-16"/>
                  <c:y val="0.3727834837762876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6E9-4D23-8F3F-458C6C91CC5D}"/>
                </c:ext>
                <c:ext xmlns:c15="http://schemas.microsoft.com/office/drawing/2012/chart" uri="{CE6537A1-D6FC-4f65-9D91-7224C49458BB}"/>
              </c:extLst>
            </c:dLbl>
            <c:dLbl>
              <c:idx val="5"/>
              <c:layout>
                <c:manualLayout>
                  <c:x val="-1.2226566281032081E-2"/>
                  <c:y val="0.3008568222450454"/>
                </c:manualLayout>
              </c:layout>
              <c:tx>
                <c:rich>
                  <a:bodyPr/>
                  <a:lstStyle/>
                  <a:p>
                    <a:fld id="{E5AFFAFF-07D0-42B1-A17F-2792EE918C87}" type="VALUE">
                      <a:rPr lang="en-US"/>
                      <a:pPr/>
                      <a:t>[ЗНАЧЕНИЕ]</a:t>
                    </a:fld>
                    <a:r>
                      <a:rPr lang="en-US"/>
                      <a:t> </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6E9-4D23-8F3F-458C6C91CC5D}"/>
                </c:ext>
                <c:ext xmlns:c15="http://schemas.microsoft.com/office/drawing/2012/chart" uri="{CE6537A1-D6FC-4f65-9D91-7224C49458BB}">
                  <c15:dlblFieldTable/>
                  <c15:showDataLabelsRange val="0"/>
                </c:ext>
              </c:extLst>
            </c:dLbl>
            <c:spPr>
              <a:solidFill>
                <a:schemeClr val="bg1"/>
              </a:solidFill>
              <a:ln>
                <a:solidFill>
                  <a:schemeClr val="tx1"/>
                </a:solidFill>
              </a:ln>
              <a:effectLst/>
            </c:spPr>
            <c:txPr>
              <a:bodyPr/>
              <a:lstStyle/>
              <a:p>
                <a:pPr>
                  <a:defRPr sz="900">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врп!$A$3:$A$8</c:f>
              <c:strCache>
                <c:ptCount val="6"/>
                <c:pt idx="0">
                  <c:v>2019 год (отчет)</c:v>
                </c:pt>
                <c:pt idx="1">
                  <c:v>2020 год (отчет)</c:v>
                </c:pt>
                <c:pt idx="2">
                  <c:v>2021 год (оценка)</c:v>
                </c:pt>
                <c:pt idx="3">
                  <c:v>2022 год (прогн.)</c:v>
                </c:pt>
                <c:pt idx="4">
                  <c:v>2023 год (прогн.)</c:v>
                </c:pt>
                <c:pt idx="5">
                  <c:v>2024 (прогн.)</c:v>
                </c:pt>
              </c:strCache>
            </c:strRef>
          </c:cat>
          <c:val>
            <c:numRef>
              <c:f>врп!$B$3:$B$8</c:f>
              <c:numCache>
                <c:formatCode>#,##0.00</c:formatCode>
                <c:ptCount val="6"/>
                <c:pt idx="0">
                  <c:v>891.79</c:v>
                </c:pt>
                <c:pt idx="1">
                  <c:v>1078.99</c:v>
                </c:pt>
                <c:pt idx="2">
                  <c:v>1177.8699999999999</c:v>
                </c:pt>
                <c:pt idx="3">
                  <c:v>1258.2</c:v>
                </c:pt>
                <c:pt idx="4">
                  <c:v>1342.86</c:v>
                </c:pt>
                <c:pt idx="5">
                  <c:v>1431.77</c:v>
                </c:pt>
              </c:numCache>
            </c:numRef>
          </c:val>
          <c:extLst xmlns:c16r2="http://schemas.microsoft.com/office/drawing/2015/06/chart">
            <c:ext xmlns:c16="http://schemas.microsoft.com/office/drawing/2014/chart" uri="{C3380CC4-5D6E-409C-BE32-E72D297353CC}">
              <c16:uniqueId val="{00000006-26E9-4D23-8F3F-458C6C91CC5D}"/>
            </c:ext>
          </c:extLst>
        </c:ser>
        <c:ser>
          <c:idx val="1"/>
          <c:order val="1"/>
          <c:tx>
            <c:strRef>
              <c:f>врп!$C$2</c:f>
              <c:strCache>
                <c:ptCount val="1"/>
                <c:pt idx="0">
                  <c:v>ВРП (млрд рублей), базовый вариант</c:v>
                </c:pt>
              </c:strCache>
            </c:strRef>
          </c:tx>
          <c:spPr>
            <a:gradFill flip="none" rotWithShape="1">
              <a:gsLst>
                <a:gs pos="0">
                  <a:srgbClr val="5B9BD5">
                    <a:lumMod val="20000"/>
                    <a:lumOff val="80000"/>
                  </a:srgbClr>
                </a:gs>
                <a:gs pos="100000">
                  <a:srgbClr val="0070C0"/>
                </a:gs>
                <a:gs pos="100000">
                  <a:srgbClr val="5B9BD5">
                    <a:lumMod val="45000"/>
                    <a:lumOff val="55000"/>
                  </a:srgbClr>
                </a:gs>
                <a:gs pos="100000">
                  <a:srgbClr val="5B9BD5">
                    <a:lumMod val="30000"/>
                    <a:lumOff val="70000"/>
                  </a:srgbClr>
                </a:gs>
              </a:gsLst>
              <a:lin ang="5400000" scaled="1"/>
              <a:tileRect/>
            </a:gradFill>
            <a:ln>
              <a:solidFill>
                <a:srgbClr val="0070C0"/>
              </a:solidFill>
            </a:ln>
          </c:spPr>
          <c:invertIfNegative val="0"/>
          <c:dPt>
            <c:idx val="0"/>
            <c:invertIfNegative val="0"/>
            <c:bubble3D val="0"/>
            <c:spPr>
              <a:gradFill flip="none" rotWithShape="1">
                <a:gsLst>
                  <a:gs pos="0">
                    <a:srgbClr val="5B9BD5">
                      <a:lumMod val="20000"/>
                      <a:lumOff val="80000"/>
                    </a:srgbClr>
                  </a:gs>
                  <a:gs pos="100000">
                    <a:srgbClr val="0070C0"/>
                  </a:gs>
                  <a:gs pos="100000">
                    <a:srgbClr val="5B9BD5">
                      <a:lumMod val="45000"/>
                      <a:lumOff val="55000"/>
                    </a:srgbClr>
                  </a:gs>
                  <a:gs pos="100000">
                    <a:srgbClr val="5B9BD5">
                      <a:lumMod val="30000"/>
                      <a:lumOff val="70000"/>
                    </a:srgbClr>
                  </a:gs>
                </a:gsLst>
                <a:lin ang="5400000" scaled="1"/>
                <a:tileRect/>
              </a:gradFill>
              <a:ln>
                <a:solidFill>
                  <a:schemeClr val="bg1">
                    <a:lumMod val="65000"/>
                  </a:schemeClr>
                </a:solidFill>
              </a:ln>
            </c:spPr>
            <c:extLst xmlns:c16r2="http://schemas.microsoft.com/office/drawing/2015/06/chart">
              <c:ext xmlns:c16="http://schemas.microsoft.com/office/drawing/2014/chart" uri="{C3380CC4-5D6E-409C-BE32-E72D297353CC}">
                <c16:uniqueId val="{00000008-26E9-4D23-8F3F-458C6C91CC5D}"/>
              </c:ext>
            </c:extLst>
          </c:dPt>
          <c:dPt>
            <c:idx val="1"/>
            <c:invertIfNegative val="0"/>
            <c:bubble3D val="0"/>
            <c:spPr>
              <a:gradFill flip="none" rotWithShape="1">
                <a:gsLst>
                  <a:gs pos="0">
                    <a:srgbClr val="5B9BD5">
                      <a:lumMod val="20000"/>
                      <a:lumOff val="80000"/>
                    </a:srgbClr>
                  </a:gs>
                  <a:gs pos="100000">
                    <a:srgbClr val="0070C0"/>
                  </a:gs>
                  <a:gs pos="100000">
                    <a:srgbClr val="5B9BD5">
                      <a:lumMod val="45000"/>
                      <a:lumOff val="55000"/>
                    </a:srgbClr>
                  </a:gs>
                  <a:gs pos="100000">
                    <a:srgbClr val="5B9BD5">
                      <a:lumMod val="30000"/>
                      <a:lumOff val="70000"/>
                    </a:srgbClr>
                  </a:gs>
                </a:gsLst>
                <a:lin ang="5400000" scaled="1"/>
                <a:tileRect/>
              </a:gradFill>
              <a:ln>
                <a:solidFill>
                  <a:schemeClr val="bg1">
                    <a:lumMod val="75000"/>
                  </a:schemeClr>
                </a:solidFill>
              </a:ln>
            </c:spPr>
            <c:extLst xmlns:c16r2="http://schemas.microsoft.com/office/drawing/2015/06/chart">
              <c:ext xmlns:c16="http://schemas.microsoft.com/office/drawing/2014/chart" uri="{C3380CC4-5D6E-409C-BE32-E72D297353CC}">
                <c16:uniqueId val="{0000000A-26E9-4D23-8F3F-458C6C91CC5D}"/>
              </c:ext>
            </c:extLst>
          </c:dPt>
          <c:dPt>
            <c:idx val="2"/>
            <c:invertIfNegative val="0"/>
            <c:bubble3D val="0"/>
            <c:spPr>
              <a:gradFill flip="none" rotWithShape="1">
                <a:gsLst>
                  <a:gs pos="0">
                    <a:srgbClr val="5B9BD5">
                      <a:lumMod val="20000"/>
                      <a:lumOff val="80000"/>
                    </a:srgbClr>
                  </a:gs>
                  <a:gs pos="100000">
                    <a:srgbClr val="0070C0"/>
                  </a:gs>
                  <a:gs pos="100000">
                    <a:srgbClr val="5B9BD5">
                      <a:lumMod val="45000"/>
                      <a:lumOff val="55000"/>
                    </a:srgbClr>
                  </a:gs>
                  <a:gs pos="100000">
                    <a:srgbClr val="5B9BD5">
                      <a:lumMod val="30000"/>
                      <a:lumOff val="70000"/>
                    </a:srgbClr>
                  </a:gs>
                </a:gsLst>
                <a:lin ang="5400000" scaled="1"/>
                <a:tileRect/>
              </a:gradFill>
              <a:ln>
                <a:solidFill>
                  <a:schemeClr val="bg1">
                    <a:lumMod val="65000"/>
                  </a:schemeClr>
                </a:solidFill>
              </a:ln>
            </c:spPr>
            <c:extLst xmlns:c16r2="http://schemas.microsoft.com/office/drawing/2015/06/chart">
              <c:ext xmlns:c16="http://schemas.microsoft.com/office/drawing/2014/chart" uri="{C3380CC4-5D6E-409C-BE32-E72D297353CC}">
                <c16:uniqueId val="{0000000C-26E9-4D23-8F3F-458C6C91CC5D}"/>
              </c:ext>
            </c:extLst>
          </c:dPt>
          <c:dLbls>
            <c:dLbl>
              <c:idx val="0"/>
              <c:layout>
                <c:manualLayout>
                  <c:x val="-1.9597136876054292E-17"/>
                  <c:y val="0.2680202112417107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6E9-4D23-8F3F-458C6C91CC5D}"/>
                </c:ext>
                <c:ext xmlns:c15="http://schemas.microsoft.com/office/drawing/2012/chart" uri="{CE6537A1-D6FC-4f65-9D91-7224C49458BB}"/>
              </c:extLst>
            </c:dLbl>
            <c:dLbl>
              <c:idx val="1"/>
              <c:layout>
                <c:manualLayout>
                  <c:x val="6.4136825227151259E-3"/>
                  <c:y val="0.26511278481494155"/>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6E9-4D23-8F3F-458C6C91CC5D}"/>
                </c:ext>
                <c:ext xmlns:c15="http://schemas.microsoft.com/office/drawing/2012/chart" uri="{CE6537A1-D6FC-4f65-9D91-7224C49458BB}"/>
              </c:extLst>
            </c:dLbl>
            <c:dLbl>
              <c:idx val="2"/>
              <c:layout>
                <c:manualLayout>
                  <c:x val="8.5515766969535001E-3"/>
                  <c:y val="0.2497261211913728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26E9-4D23-8F3F-458C6C91CC5D}"/>
                </c:ext>
                <c:ext xmlns:c15="http://schemas.microsoft.com/office/drawing/2012/chart" uri="{CE6537A1-D6FC-4f65-9D91-7224C49458BB}"/>
              </c:extLst>
            </c:dLbl>
            <c:dLbl>
              <c:idx val="3"/>
              <c:layout>
                <c:manualLayout>
                  <c:x val="0"/>
                  <c:y val="0.3157981607432175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26E9-4D23-8F3F-458C6C91CC5D}"/>
                </c:ext>
                <c:ext xmlns:c15="http://schemas.microsoft.com/office/drawing/2012/chart" uri="{CE6537A1-D6FC-4f65-9D91-7224C49458BB}"/>
              </c:extLst>
            </c:dLbl>
            <c:dLbl>
              <c:idx val="4"/>
              <c:layout>
                <c:manualLayout>
                  <c:x val="-1.127217813090053E-16"/>
                  <c:y val="0.34090145249842091"/>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26E9-4D23-8F3F-458C6C91CC5D}"/>
                </c:ext>
                <c:ext xmlns:c15="http://schemas.microsoft.com/office/drawing/2012/chart" uri="{CE6537A1-D6FC-4f65-9D91-7224C49458BB}"/>
              </c:extLst>
            </c:dLbl>
            <c:dLbl>
              <c:idx val="5"/>
              <c:layout>
                <c:manualLayout>
                  <c:x val="1.3428163809828265E-2"/>
                  <c:y val="0.30223794489456934"/>
                </c:manualLayout>
              </c:layout>
              <c:tx>
                <c:rich>
                  <a:bodyPr/>
                  <a:lstStyle/>
                  <a:p>
                    <a:fld id="{7CCB007C-FABC-4920-ACB0-A9573889A298}" type="VALUE">
                      <a:rPr lang="en-US"/>
                      <a:pPr/>
                      <a:t>[ЗНАЧЕНИЕ]</a:t>
                    </a:fld>
                    <a:r>
                      <a:rPr lang="en-US"/>
                      <a:t> </a:t>
                    </a:r>
                  </a:p>
                  <a:p>
                    <a:endParaRPr lang="ru-RU"/>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26E9-4D23-8F3F-458C6C91CC5D}"/>
                </c:ext>
                <c:ext xmlns:c15="http://schemas.microsoft.com/office/drawing/2012/chart" uri="{CE6537A1-D6FC-4f65-9D91-7224C49458BB}">
                  <c15:layout>
                    <c:manualLayout>
                      <c:w val="9.1007461587344338E-2"/>
                      <c:h val="6.1481671675098576E-2"/>
                    </c:manualLayout>
                  </c15:layout>
                  <c15:dlblFieldTable/>
                  <c15:showDataLabelsRange val="0"/>
                </c:ext>
              </c:extLst>
            </c:dLbl>
            <c:spPr>
              <a:solidFill>
                <a:schemeClr val="bg1"/>
              </a:solidFill>
              <a:ln>
                <a:solidFill>
                  <a:sysClr val="windowText" lastClr="000000"/>
                </a:solidFill>
              </a:ln>
            </c:spPr>
            <c:txPr>
              <a:bodyPr/>
              <a:lstStyle/>
              <a:p>
                <a:pPr>
                  <a:defRPr sz="900">
                    <a:latin typeface="Times New Roman" panose="02020603050405020304" pitchFamily="18" charset="0"/>
                    <a:cs typeface="Times New Roman" panose="02020603050405020304" pitchFamily="18" charset="0"/>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врп!$A$3:$A$8</c:f>
              <c:strCache>
                <c:ptCount val="6"/>
                <c:pt idx="0">
                  <c:v>2019 год (отчет)</c:v>
                </c:pt>
                <c:pt idx="1">
                  <c:v>2020 год (отчет)</c:v>
                </c:pt>
                <c:pt idx="2">
                  <c:v>2021 год (оценка)</c:v>
                </c:pt>
                <c:pt idx="3">
                  <c:v>2022 год (прогн.)</c:v>
                </c:pt>
                <c:pt idx="4">
                  <c:v>2023 год (прогн.)</c:v>
                </c:pt>
                <c:pt idx="5">
                  <c:v>2024 (прогн.)</c:v>
                </c:pt>
              </c:strCache>
            </c:strRef>
          </c:cat>
          <c:val>
            <c:numRef>
              <c:f>врп!$C$3:$C$8</c:f>
              <c:numCache>
                <c:formatCode>#,##0.00</c:formatCode>
                <c:ptCount val="6"/>
                <c:pt idx="0">
                  <c:v>891.79</c:v>
                </c:pt>
                <c:pt idx="1">
                  <c:v>1078.99</c:v>
                </c:pt>
                <c:pt idx="2">
                  <c:v>1177.8699999999999</c:v>
                </c:pt>
                <c:pt idx="3">
                  <c:v>1279.69</c:v>
                </c:pt>
                <c:pt idx="4">
                  <c:v>1386.98</c:v>
                </c:pt>
                <c:pt idx="5">
                  <c:v>1505.85</c:v>
                </c:pt>
              </c:numCache>
            </c:numRef>
          </c:val>
          <c:extLst xmlns:c16r2="http://schemas.microsoft.com/office/drawing/2015/06/chart">
            <c:ext xmlns:c16="http://schemas.microsoft.com/office/drawing/2014/chart" uri="{C3380CC4-5D6E-409C-BE32-E72D297353CC}">
              <c16:uniqueId val="{00000010-26E9-4D23-8F3F-458C6C91CC5D}"/>
            </c:ext>
          </c:extLst>
        </c:ser>
        <c:dLbls>
          <c:showLegendKey val="0"/>
          <c:showVal val="1"/>
          <c:showCatName val="0"/>
          <c:showSerName val="0"/>
          <c:showPercent val="0"/>
          <c:showBubbleSize val="0"/>
        </c:dLbls>
        <c:gapWidth val="22"/>
        <c:axId val="49146112"/>
        <c:axId val="49692672"/>
      </c:barChart>
      <c:lineChart>
        <c:grouping val="standard"/>
        <c:varyColors val="0"/>
        <c:ser>
          <c:idx val="2"/>
          <c:order val="2"/>
          <c:tx>
            <c:strRef>
              <c:f>врп!$D$2</c:f>
              <c:strCache>
                <c:ptCount val="1"/>
                <c:pt idx="0">
                  <c:v>Индекс физического объема  ВРП, консервативный вариант</c:v>
                </c:pt>
              </c:strCache>
            </c:strRef>
          </c:tx>
          <c:spPr>
            <a:ln w="38100">
              <a:solidFill>
                <a:srgbClr val="FF0000"/>
              </a:solidFill>
            </a:ln>
          </c:spPr>
          <c:marker>
            <c:symbol val="circle"/>
            <c:size val="7"/>
            <c:spPr>
              <a:solidFill>
                <a:srgbClr val="F64022"/>
              </a:solidFill>
              <a:ln>
                <a:solidFill>
                  <a:schemeClr val="tx1"/>
                </a:solidFill>
              </a:ln>
            </c:spPr>
          </c:marker>
          <c:dLbls>
            <c:dLbl>
              <c:idx val="0"/>
              <c:delete val="1"/>
              <c:extLst xmlns:c16r2="http://schemas.microsoft.com/office/drawing/2015/06/chart">
                <c:ext xmlns:c16="http://schemas.microsoft.com/office/drawing/2014/chart" uri="{C3380CC4-5D6E-409C-BE32-E72D297353CC}">
                  <c16:uniqueId val="{00000011-26E9-4D23-8F3F-458C6C91CC5D}"/>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12-26E9-4D23-8F3F-458C6C91CC5D}"/>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13-26E9-4D23-8F3F-458C6C91CC5D}"/>
                </c:ext>
                <c:ext xmlns:c15="http://schemas.microsoft.com/office/drawing/2012/chart" uri="{CE6537A1-D6FC-4f65-9D91-7224C49458BB}"/>
              </c:extLst>
            </c:dLbl>
            <c:dLbl>
              <c:idx val="3"/>
              <c:dLblPos val="t"/>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14-26E9-4D23-8F3F-458C6C91CC5D}"/>
                </c:ext>
                <c:ext xmlns:c15="http://schemas.microsoft.com/office/drawing/2012/chart" uri="{CE6537A1-D6FC-4f65-9D91-7224C49458BB}"/>
              </c:extLst>
            </c:dLbl>
            <c:dLbl>
              <c:idx val="4"/>
              <c:layout>
                <c:manualLayout>
                  <c:x val="-6.6007566798671896E-2"/>
                  <c:y val="-5.7055232226406502E-2"/>
                </c:manualLayout>
              </c:layout>
              <c:dLblPos val="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15-26E9-4D23-8F3F-458C6C91CC5D}"/>
                </c:ext>
                <c:ext xmlns:c15="http://schemas.microsoft.com/office/drawing/2012/chart" uri="{CE6537A1-D6FC-4f65-9D91-7224C49458BB}"/>
              </c:extLst>
            </c:dLbl>
            <c:dLbl>
              <c:idx val="5"/>
              <c:layout>
                <c:manualLayout>
                  <c:x val="-7.2464983263999264E-2"/>
                  <c:y val="-6.7886349021062956E-2"/>
                </c:manualLayout>
              </c:layout>
              <c:tx>
                <c:rich>
                  <a:bodyPr wrap="square" lIns="38100" tIns="19050" rIns="38100" bIns="19050" anchor="ctr" anchorCtr="0">
                    <a:noAutofit/>
                  </a:bodyPr>
                  <a:lstStyle/>
                  <a:p>
                    <a:pPr algn="ctr">
                      <a:defRPr sz="900">
                        <a:latin typeface="Times New Roman" panose="02020603050405020304" pitchFamily="18" charset="0"/>
                        <a:cs typeface="Times New Roman" panose="02020603050405020304" pitchFamily="18" charset="0"/>
                      </a:defRPr>
                    </a:pPr>
                    <a:fld id="{1BEA630D-3DF4-4BAA-A7D0-768F036E2C22}" type="VALUE">
                      <a:rPr lang="ru-RU" sz="900"/>
                      <a:pPr algn="ctr">
                        <a:defRPr sz="900">
                          <a:latin typeface="Times New Roman" panose="02020603050405020304" pitchFamily="18" charset="0"/>
                          <a:cs typeface="Times New Roman" panose="02020603050405020304" pitchFamily="18" charset="0"/>
                        </a:defRPr>
                      </a:pPr>
                      <a:t>[ЗНАЧЕНИЕ]</a:t>
                    </a:fld>
                    <a:r>
                      <a:rPr lang="ru-RU" sz="900"/>
                      <a:t>;</a:t>
                    </a:r>
                  </a:p>
                  <a:p>
                    <a:pPr algn="ctr">
                      <a:defRPr sz="900">
                        <a:latin typeface="Times New Roman" panose="02020603050405020304" pitchFamily="18" charset="0"/>
                        <a:cs typeface="Times New Roman" panose="02020603050405020304" pitchFamily="18" charset="0"/>
                      </a:defRPr>
                    </a:pPr>
                    <a:r>
                      <a:rPr lang="ru-RU" sz="900">
                        <a:solidFill>
                          <a:srgbClr val="FF0000"/>
                        </a:solidFill>
                      </a:rPr>
                      <a:t>консерв. вариант</a:t>
                    </a:r>
                  </a:p>
                </c:rich>
              </c:tx>
              <c:spPr>
                <a:solidFill>
                  <a:schemeClr val="bg1"/>
                </a:solidFill>
                <a:ln>
                  <a:solidFill>
                    <a:schemeClr val="tx1"/>
                  </a:solidFill>
                </a:ln>
                <a:effectLst/>
              </c:spPr>
              <c:dLblPos val="r"/>
              <c:showLegendKey val="0"/>
              <c:showVal val="1"/>
              <c:showCatName val="0"/>
              <c:showSerName val="0"/>
              <c:showPercent val="0"/>
              <c:showBubbleSize val="0"/>
              <c:separator>
</c:separator>
              <c:extLst xmlns:c16r2="http://schemas.microsoft.com/office/drawing/2015/06/chart">
                <c:ext xmlns:c16="http://schemas.microsoft.com/office/drawing/2014/chart" uri="{C3380CC4-5D6E-409C-BE32-E72D297353CC}">
                  <c16:uniqueId val="{00000016-26E9-4D23-8F3F-458C6C91CC5D}"/>
                </c:ext>
                <c:ext xmlns:c15="http://schemas.microsoft.com/office/drawing/2012/chart" uri="{CE6537A1-D6FC-4f65-9D91-7224C49458BB}">
                  <c15:layout>
                    <c:manualLayout>
                      <c:w val="0.16579941250524546"/>
                      <c:h val="8.6234139397676754E-2"/>
                    </c:manualLayout>
                  </c15:layout>
                  <c15:dlblFieldTable/>
                  <c15:showDataLabelsRange val="0"/>
                </c:ext>
              </c:extLst>
            </c:dLbl>
            <c:spPr>
              <a:solidFill>
                <a:schemeClr val="bg1"/>
              </a:solidFill>
              <a:ln>
                <a:solidFill>
                  <a:schemeClr val="tx1"/>
                </a:solidFill>
              </a:ln>
              <a:effectLst/>
            </c:spPr>
            <c:txPr>
              <a:bodyPr wrap="square" lIns="38100" tIns="19050" rIns="38100" bIns="19050" anchor="ctr">
                <a:spAutoFit/>
              </a:bodyPr>
              <a:lstStyle/>
              <a:p>
                <a:pPr>
                  <a:defRPr sz="900">
                    <a:latin typeface="Times New Roman" panose="02020603050405020304" pitchFamily="18" charset="0"/>
                    <a:cs typeface="Times New Roman" panose="02020603050405020304" pitchFamily="18" charset="0"/>
                  </a:defRPr>
                </a:pPr>
                <a:endParaRPr lang="ru-RU"/>
              </a:p>
            </c:txPr>
            <c:dLblPos val="b"/>
            <c:showLegendKey val="0"/>
            <c:showVal val="1"/>
            <c:showCatName val="0"/>
            <c:showSerName val="0"/>
            <c:showPercent val="0"/>
            <c:showBubbleSize val="0"/>
            <c:separator>
</c:separator>
            <c:showLeaderLines val="0"/>
            <c:extLst xmlns:c16r2="http://schemas.microsoft.com/office/drawing/2015/06/chart">
              <c:ext xmlns:c15="http://schemas.microsoft.com/office/drawing/2012/chart" uri="{CE6537A1-D6FC-4f65-9D91-7224C49458BB}">
                <c15:showLeaderLines val="1"/>
              </c:ext>
            </c:extLst>
          </c:dLbls>
          <c:cat>
            <c:strRef>
              <c:f>врп!$A$3:$A$8</c:f>
              <c:strCache>
                <c:ptCount val="6"/>
                <c:pt idx="0">
                  <c:v>2019 год (отчет)</c:v>
                </c:pt>
                <c:pt idx="1">
                  <c:v>2020 год (отчет)</c:v>
                </c:pt>
                <c:pt idx="2">
                  <c:v>2021 год (оценка)</c:v>
                </c:pt>
                <c:pt idx="3">
                  <c:v>2022 год (прогн.)</c:v>
                </c:pt>
                <c:pt idx="4">
                  <c:v>2023 год (прогн.)</c:v>
                </c:pt>
                <c:pt idx="5">
                  <c:v>2024 (прогн.)</c:v>
                </c:pt>
              </c:strCache>
            </c:strRef>
          </c:cat>
          <c:val>
            <c:numRef>
              <c:f>врп!$D$3:$D$8</c:f>
              <c:numCache>
                <c:formatCode>#,##0.00</c:formatCode>
                <c:ptCount val="6"/>
                <c:pt idx="0">
                  <c:v>102.93</c:v>
                </c:pt>
                <c:pt idx="1">
                  <c:v>95.7</c:v>
                </c:pt>
                <c:pt idx="2">
                  <c:v>104.4</c:v>
                </c:pt>
                <c:pt idx="3">
                  <c:v>102.4</c:v>
                </c:pt>
                <c:pt idx="4">
                  <c:v>102.5</c:v>
                </c:pt>
                <c:pt idx="5">
                  <c:v>102.4</c:v>
                </c:pt>
              </c:numCache>
            </c:numRef>
          </c:val>
          <c:smooth val="1"/>
          <c:extLst xmlns:c16r2="http://schemas.microsoft.com/office/drawing/2015/06/chart">
            <c:ext xmlns:c16="http://schemas.microsoft.com/office/drawing/2014/chart" uri="{C3380CC4-5D6E-409C-BE32-E72D297353CC}">
              <c16:uniqueId val="{00000017-26E9-4D23-8F3F-458C6C91CC5D}"/>
            </c:ext>
          </c:extLst>
        </c:ser>
        <c:ser>
          <c:idx val="3"/>
          <c:order val="3"/>
          <c:tx>
            <c:strRef>
              <c:f>врп!$E$2</c:f>
              <c:strCache>
                <c:ptCount val="1"/>
                <c:pt idx="0">
                  <c:v>Индекс физического объема  ВРП, базовый вариант </c:v>
                </c:pt>
              </c:strCache>
            </c:strRef>
          </c:tx>
          <c:spPr>
            <a:ln w="38100">
              <a:solidFill>
                <a:srgbClr val="4472C4">
                  <a:lumMod val="75000"/>
                </a:srgbClr>
              </a:solidFill>
            </a:ln>
            <a:effectLst>
              <a:softEdge rad="0"/>
            </a:effectLst>
          </c:spPr>
          <c:marker>
            <c:symbol val="circle"/>
            <c:size val="7"/>
            <c:spPr>
              <a:solidFill>
                <a:schemeClr val="tx2">
                  <a:lumMod val="60000"/>
                  <a:lumOff val="40000"/>
                </a:schemeClr>
              </a:solidFill>
              <a:ln>
                <a:solidFill>
                  <a:schemeClr val="tx1"/>
                </a:solidFill>
              </a:ln>
              <a:effectLst>
                <a:softEdge rad="0"/>
              </a:effectLst>
            </c:spPr>
          </c:marker>
          <c:dLbls>
            <c:dLbl>
              <c:idx val="5"/>
              <c:layout>
                <c:manualLayout>
                  <c:x val="-7.2900895780809605E-2"/>
                  <c:y val="-6.9706761248169491E-2"/>
                </c:manualLayout>
              </c:layout>
              <c:tx>
                <c:rich>
                  <a:bodyPr/>
                  <a:lstStyle/>
                  <a:p>
                    <a:fld id="{E7850314-A77E-4D31-B517-851E27CC4F99}" type="VALUE">
                      <a:rPr lang="ru-RU"/>
                      <a:pPr/>
                      <a:t>[ЗНАЧЕНИЕ]</a:t>
                    </a:fld>
                    <a:r>
                      <a:rPr lang="ru-RU"/>
                      <a:t>; </a:t>
                    </a:r>
                  </a:p>
                  <a:p>
                    <a:r>
                      <a:rPr lang="ru-RU" baseline="0"/>
                      <a:t> </a:t>
                    </a:r>
                    <a:r>
                      <a:rPr lang="ru-RU" baseline="0">
                        <a:solidFill>
                          <a:schemeClr val="accent1"/>
                        </a:solidFill>
                      </a:rPr>
                      <a:t>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8-26E9-4D23-8F3F-458C6C91CC5D}"/>
                </c:ext>
                <c:ext xmlns:c15="http://schemas.microsoft.com/office/drawing/2012/chart" uri="{CE6537A1-D6FC-4f65-9D91-7224C49458BB}">
                  <c15:dlblFieldTable/>
                  <c15:showDataLabelsRange val="0"/>
                </c:ext>
              </c:extLst>
            </c:dLbl>
            <c:spPr>
              <a:solidFill>
                <a:schemeClr val="bg1"/>
              </a:solidFill>
              <a:ln>
                <a:solidFill>
                  <a:schemeClr val="tx1"/>
                </a:solidFill>
              </a:ln>
              <a:effectLst/>
            </c:spPr>
            <c:txPr>
              <a:bodyPr wrap="square" lIns="38100" tIns="19050" rIns="38100" bIns="19050" anchor="ctr">
                <a:spAutoFit/>
              </a:bodyPr>
              <a:lstStyle/>
              <a:p>
                <a:pPr>
                  <a:defRPr sz="900">
                    <a:latin typeface="Times New Roman" panose="02020603050405020304" pitchFamily="18" charset="0"/>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врп!$A$3:$A$8</c:f>
              <c:strCache>
                <c:ptCount val="6"/>
                <c:pt idx="0">
                  <c:v>2019 год (отчет)</c:v>
                </c:pt>
                <c:pt idx="1">
                  <c:v>2020 год (отчет)</c:v>
                </c:pt>
                <c:pt idx="2">
                  <c:v>2021 год (оценка)</c:v>
                </c:pt>
                <c:pt idx="3">
                  <c:v>2022 год (прогн.)</c:v>
                </c:pt>
                <c:pt idx="4">
                  <c:v>2023 год (прогн.)</c:v>
                </c:pt>
                <c:pt idx="5">
                  <c:v>2024 (прогн.)</c:v>
                </c:pt>
              </c:strCache>
            </c:strRef>
          </c:cat>
          <c:val>
            <c:numRef>
              <c:f>врп!$E$3:$E$8</c:f>
              <c:numCache>
                <c:formatCode>#,##0.00</c:formatCode>
                <c:ptCount val="6"/>
                <c:pt idx="0">
                  <c:v>102.93</c:v>
                </c:pt>
                <c:pt idx="1">
                  <c:v>95.7</c:v>
                </c:pt>
                <c:pt idx="2">
                  <c:v>104.4</c:v>
                </c:pt>
                <c:pt idx="3">
                  <c:v>104.4</c:v>
                </c:pt>
                <c:pt idx="4">
                  <c:v>104.4</c:v>
                </c:pt>
                <c:pt idx="5">
                  <c:v>104.5</c:v>
                </c:pt>
              </c:numCache>
            </c:numRef>
          </c:val>
          <c:smooth val="1"/>
          <c:extLst xmlns:c16r2="http://schemas.microsoft.com/office/drawing/2015/06/chart">
            <c:ext xmlns:c16="http://schemas.microsoft.com/office/drawing/2014/chart" uri="{C3380CC4-5D6E-409C-BE32-E72D297353CC}">
              <c16:uniqueId val="{00000019-26E9-4D23-8F3F-458C6C91CC5D}"/>
            </c:ext>
          </c:extLst>
        </c:ser>
        <c:dLbls>
          <c:showLegendKey val="0"/>
          <c:showVal val="0"/>
          <c:showCatName val="0"/>
          <c:showSerName val="0"/>
          <c:showPercent val="0"/>
          <c:showBubbleSize val="0"/>
        </c:dLbls>
        <c:marker val="1"/>
        <c:smooth val="0"/>
        <c:axId val="49695744"/>
        <c:axId val="49694208"/>
      </c:lineChart>
      <c:catAx>
        <c:axId val="49146112"/>
        <c:scaling>
          <c:orientation val="minMax"/>
        </c:scaling>
        <c:delete val="0"/>
        <c:axPos val="b"/>
        <c:numFmt formatCode="General" sourceLinked="0"/>
        <c:majorTickMark val="out"/>
        <c:minorTickMark val="none"/>
        <c:tickLblPos val="nextTo"/>
        <c:txPr>
          <a:bodyPr/>
          <a:lstStyle/>
          <a:p>
            <a:pPr>
              <a:defRPr sz="900" baseline="0">
                <a:latin typeface="Times New Roman" panose="02020603050405020304" pitchFamily="18" charset="0"/>
                <a:cs typeface="Times New Roman" panose="02020603050405020304" pitchFamily="18" charset="0"/>
              </a:defRPr>
            </a:pPr>
            <a:endParaRPr lang="ru-RU"/>
          </a:p>
        </c:txPr>
        <c:crossAx val="49692672"/>
        <c:crosses val="autoZero"/>
        <c:auto val="1"/>
        <c:lblAlgn val="ctr"/>
        <c:lblOffset val="100"/>
        <c:noMultiLvlLbl val="0"/>
      </c:catAx>
      <c:valAx>
        <c:axId val="49692672"/>
        <c:scaling>
          <c:orientation val="minMax"/>
          <c:max val="1550"/>
          <c:min val="0"/>
        </c:scaling>
        <c:delete val="0"/>
        <c:axPos val="l"/>
        <c:numFmt formatCode="#,##0.00" sourceLinked="1"/>
        <c:majorTickMark val="out"/>
        <c:minorTickMark val="none"/>
        <c:tickLblPos val="nextTo"/>
        <c:txPr>
          <a:bodyPr/>
          <a:lstStyle/>
          <a:p>
            <a:pPr>
              <a:defRPr sz="900">
                <a:solidFill>
                  <a:schemeClr val="bg1">
                    <a:lumMod val="50000"/>
                  </a:schemeClr>
                </a:solidFill>
                <a:latin typeface="Times New Roman" panose="02020603050405020304" pitchFamily="18" charset="0"/>
                <a:cs typeface="Times New Roman" panose="02020603050405020304" pitchFamily="18" charset="0"/>
              </a:defRPr>
            </a:pPr>
            <a:endParaRPr lang="ru-RU"/>
          </a:p>
        </c:txPr>
        <c:crossAx val="49146112"/>
        <c:crosses val="autoZero"/>
        <c:crossBetween val="between"/>
        <c:majorUnit val="200"/>
      </c:valAx>
      <c:valAx>
        <c:axId val="49694208"/>
        <c:scaling>
          <c:orientation val="minMax"/>
          <c:max val="106"/>
          <c:min val="95"/>
        </c:scaling>
        <c:delete val="0"/>
        <c:axPos val="r"/>
        <c:numFmt formatCode="#,##0.00" sourceLinked="1"/>
        <c:majorTickMark val="out"/>
        <c:minorTickMark val="none"/>
        <c:tickLblPos val="nextTo"/>
        <c:txPr>
          <a:bodyPr/>
          <a:lstStyle/>
          <a:p>
            <a:pPr>
              <a:defRPr sz="900">
                <a:solidFill>
                  <a:schemeClr val="bg1">
                    <a:lumMod val="50000"/>
                  </a:schemeClr>
                </a:solidFill>
                <a:latin typeface="Times New Roman" panose="02020603050405020304" pitchFamily="18" charset="0"/>
                <a:cs typeface="Times New Roman" panose="02020603050405020304" pitchFamily="18" charset="0"/>
              </a:defRPr>
            </a:pPr>
            <a:endParaRPr lang="ru-RU"/>
          </a:p>
        </c:txPr>
        <c:crossAx val="49695744"/>
        <c:crosses val="max"/>
        <c:crossBetween val="between"/>
      </c:valAx>
      <c:catAx>
        <c:axId val="49695744"/>
        <c:scaling>
          <c:orientation val="minMax"/>
        </c:scaling>
        <c:delete val="1"/>
        <c:axPos val="b"/>
        <c:numFmt formatCode="General" sourceLinked="1"/>
        <c:majorTickMark val="out"/>
        <c:minorTickMark val="none"/>
        <c:tickLblPos val="nextTo"/>
        <c:crossAx val="49694208"/>
        <c:crosses val="autoZero"/>
        <c:auto val="1"/>
        <c:lblAlgn val="ctr"/>
        <c:lblOffset val="100"/>
        <c:noMultiLvlLbl val="0"/>
      </c:catAx>
    </c:plotArea>
    <c:legend>
      <c:legendPos val="b"/>
      <c:legendEntry>
        <c:idx val="1"/>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legendEntry>
      <c:legendEntry>
        <c:idx val="3"/>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legendEntry>
      <c:layout>
        <c:manualLayout>
          <c:xMode val="edge"/>
          <c:yMode val="edge"/>
          <c:x val="0"/>
          <c:y val="0.79954073743465282"/>
          <c:w val="1"/>
          <c:h val="0.20027730057137122"/>
        </c:manualLayout>
      </c:layout>
      <c:overlay val="0"/>
      <c:txPr>
        <a:bodyPr/>
        <a:lstStyle/>
        <a:p>
          <a:pPr>
            <a:defRPr sz="10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'инд. пром. пр.'!$A$10</c:f>
          <c:strCache>
            <c:ptCount val="1"/>
            <c:pt idx="0">
              <c:v>Индекс промышленного производства, %                                        (к предыдущему году в сопоставимых ценах)</c:v>
            </c:pt>
          </c:strCache>
        </c:strRef>
      </c:tx>
      <c:layout>
        <c:manualLayout>
          <c:xMode val="edge"/>
          <c:yMode val="edge"/>
          <c:x val="0.19251661972910319"/>
          <c:y val="1.0523217308116858E-3"/>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2.5418833044482957E-2"/>
          <c:y val="0.22089352961314618"/>
          <c:w val="0.94916233391103411"/>
          <c:h val="0.60118495378295111"/>
        </c:manualLayout>
      </c:layout>
      <c:lineChart>
        <c:grouping val="standard"/>
        <c:varyColors val="0"/>
        <c:ser>
          <c:idx val="0"/>
          <c:order val="0"/>
          <c:tx>
            <c:strRef>
              <c:f>'инд. пром. пр.'!$B$17</c:f>
              <c:strCache>
                <c:ptCount val="1"/>
                <c:pt idx="0">
                  <c:v>консервативный</c:v>
                </c:pt>
              </c:strCache>
            </c:strRef>
          </c:tx>
          <c:spPr>
            <a:ln w="28575" cap="rnd">
              <a:solidFill>
                <a:schemeClr val="accent1"/>
              </a:solidFill>
              <a:round/>
            </a:ln>
            <a:effectLst/>
          </c:spPr>
          <c:marker>
            <c:symbol val="circle"/>
            <c:size val="7"/>
            <c:spPr>
              <a:solidFill>
                <a:schemeClr val="accent1"/>
              </a:solidFill>
              <a:ln w="9525">
                <a:solidFill>
                  <a:schemeClr val="accent1"/>
                </a:solidFill>
              </a:ln>
              <a:effectLst/>
            </c:spPr>
          </c:marker>
          <c:dLbls>
            <c:dLbl>
              <c:idx val="0"/>
              <c:delete val="1"/>
              <c:extLst xmlns:c16r2="http://schemas.microsoft.com/office/drawing/2015/06/chart">
                <c:ext xmlns:c16="http://schemas.microsoft.com/office/drawing/2014/chart" uri="{C3380CC4-5D6E-409C-BE32-E72D297353CC}">
                  <c16:uniqueId val="{00000000-3577-4A29-99E8-CAE720147860}"/>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1-3577-4A29-99E8-CAE720147860}"/>
                </c:ext>
                <c:ext xmlns:c15="http://schemas.microsoft.com/office/drawing/2012/chart" uri="{CE6537A1-D6FC-4f65-9D91-7224C49458BB}"/>
              </c:extLst>
            </c:dLbl>
            <c:dLbl>
              <c:idx val="3"/>
              <c:layout>
                <c:manualLayout>
                  <c:x val="-4.1362530413625302E-2"/>
                  <c:y val="6.23052959501557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577-4A29-99E8-CAE720147860}"/>
                </c:ext>
                <c:ext xmlns:c15="http://schemas.microsoft.com/office/drawing/2012/chart" uri="{CE6537A1-D6FC-4f65-9D91-7224C49458BB}"/>
              </c:extLst>
            </c:dLbl>
            <c:dLbl>
              <c:idx val="5"/>
              <c:layout>
                <c:manualLayout>
                  <c:x val="-7.977127859017623E-4"/>
                  <c:y val="0.18417887016459392"/>
                </c:manualLayout>
              </c:layout>
              <c:tx>
                <c:rich>
                  <a:bodyPr/>
                  <a:lstStyle/>
                  <a:p>
                    <a:fld id="{52B56B32-DCFF-4025-8FE1-C655209EDAE5}" type="VALUE">
                      <a:rPr lang="ru-RU"/>
                      <a:pPr/>
                      <a:t>[ЗНАЧЕНИЕ]</a:t>
                    </a:fld>
                    <a:r>
                      <a:rPr lang="ru-RU"/>
                      <a:t>; </a:t>
                    </a:r>
                    <a:r>
                      <a:rPr lang="ru-RU">
                        <a:solidFill>
                          <a:srgbClr val="0070C0"/>
                        </a:solidFill>
                      </a:rPr>
                      <a:t>консервативный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577-4A29-99E8-CAE720147860}"/>
                </c:ext>
                <c:ext xmlns:c15="http://schemas.microsoft.com/office/drawing/2012/chart" uri="{CE6537A1-D6FC-4f65-9D91-7224C49458BB}">
                  <c15:dlblFieldTable/>
                  <c15:showDataLabelsRange val="0"/>
                </c:ext>
              </c:extLst>
            </c:dLbl>
            <c:dLbl>
              <c:idx val="6"/>
              <c:layout>
                <c:manualLayout>
                  <c:x val="-1.3901386999831658E-2"/>
                  <c:y val="0.12769466316710412"/>
                </c:manualLayout>
              </c:layout>
              <c:tx>
                <c:rich>
                  <a:bodyPr/>
                  <a:lstStyle/>
                  <a:p>
                    <a:fld id="{704B472F-75D7-477A-BAB9-634F15EFFD36}" type="VALUE">
                      <a:rPr lang="ru-RU"/>
                      <a:pPr/>
                      <a:t>[ЗНАЧЕНИЕ]</a:t>
                    </a:fld>
                    <a:r>
                      <a:rPr lang="ru-RU"/>
                      <a:t>;</a:t>
                    </a:r>
                  </a:p>
                  <a:p>
                    <a:r>
                      <a:rPr lang="ru-RU"/>
                      <a:t>консервативный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577-4A29-99E8-CAE720147860}"/>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'инд. пром. пр.'!$A$18:$A$23</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'инд. пром. пр.'!$B$18:$B$23</c:f>
              <c:numCache>
                <c:formatCode>0.00</c:formatCode>
                <c:ptCount val="6"/>
                <c:pt idx="0">
                  <c:v>113.9</c:v>
                </c:pt>
                <c:pt idx="1">
                  <c:v>79.400000000000006</c:v>
                </c:pt>
                <c:pt idx="2">
                  <c:v>107.1</c:v>
                </c:pt>
                <c:pt idx="3">
                  <c:v>103</c:v>
                </c:pt>
                <c:pt idx="4">
                  <c:v>103.6</c:v>
                </c:pt>
                <c:pt idx="5">
                  <c:v>103.6</c:v>
                </c:pt>
              </c:numCache>
            </c:numRef>
          </c:val>
          <c:smooth val="0"/>
          <c:extLst xmlns:c16r2="http://schemas.microsoft.com/office/drawing/2015/06/chart">
            <c:ext xmlns:c16="http://schemas.microsoft.com/office/drawing/2014/chart" uri="{C3380CC4-5D6E-409C-BE32-E72D297353CC}">
              <c16:uniqueId val="{00000005-3577-4A29-99E8-CAE720147860}"/>
            </c:ext>
          </c:extLst>
        </c:ser>
        <c:ser>
          <c:idx val="1"/>
          <c:order val="1"/>
          <c:tx>
            <c:strRef>
              <c:f>'инд. пром. пр.'!$C$17</c:f>
              <c:strCache>
                <c:ptCount val="1"/>
                <c:pt idx="0">
                  <c:v>базовый </c:v>
                </c:pt>
              </c:strCache>
            </c:strRef>
          </c:tx>
          <c:spPr>
            <a:ln w="28575" cap="rnd">
              <a:solidFill>
                <a:srgbClr val="24CA38"/>
              </a:solidFill>
              <a:round/>
            </a:ln>
            <a:effectLst/>
          </c:spPr>
          <c:marker>
            <c:symbol val="circle"/>
            <c:size val="7"/>
            <c:spPr>
              <a:solidFill>
                <a:srgbClr val="24CA38"/>
              </a:solidFill>
              <a:ln w="9525">
                <a:solidFill>
                  <a:srgbClr val="24CA38"/>
                </a:solidFill>
              </a:ln>
              <a:effectLst/>
            </c:spPr>
          </c:marker>
          <c:dLbls>
            <c:dLbl>
              <c:idx val="2"/>
              <c:delete val="1"/>
              <c:extLst xmlns:c16r2="http://schemas.microsoft.com/office/drawing/2015/06/chart">
                <c:ext xmlns:c16="http://schemas.microsoft.com/office/drawing/2014/chart" uri="{C3380CC4-5D6E-409C-BE32-E72D297353CC}">
                  <c16:uniqueId val="{00000006-3577-4A29-99E8-CAE720147860}"/>
                </c:ext>
                <c:ext xmlns:c15="http://schemas.microsoft.com/office/drawing/2012/chart" uri="{CE6537A1-D6FC-4f65-9D91-7224C49458BB}"/>
              </c:extLst>
            </c:dLbl>
            <c:dLbl>
              <c:idx val="5"/>
              <c:layout>
                <c:manualLayout>
                  <c:x val="-2.0915823022122235E-2"/>
                  <c:y val="-0.13629994848774743"/>
                </c:manualLayout>
              </c:layout>
              <c:tx>
                <c:rich>
                  <a:bodyPr/>
                  <a:lstStyle/>
                  <a:p>
                    <a:fld id="{801F6A25-9087-4DE3-9164-530D0A6AAFFA}" type="VALUE">
                      <a:rPr lang="ru-RU"/>
                      <a:pPr/>
                      <a:t>[ЗНАЧЕНИЕ]</a:t>
                    </a:fld>
                    <a:r>
                      <a:rPr lang="ru-RU"/>
                      <a:t>;</a:t>
                    </a:r>
                  </a:p>
                  <a:p>
                    <a:r>
                      <a:rPr lang="ru-RU">
                        <a:solidFill>
                          <a:srgbClr val="24CA38"/>
                        </a:solidFill>
                      </a:rPr>
                      <a:t>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3577-4A29-99E8-CAE720147860}"/>
                </c:ext>
                <c:ext xmlns:c15="http://schemas.microsoft.com/office/drawing/2012/chart" uri="{CE6537A1-D6FC-4f65-9D91-7224C49458BB}">
                  <c15:dlblFieldTable/>
                  <c15:showDataLabelsRange val="0"/>
                </c:ext>
              </c:extLst>
            </c:dLbl>
            <c:dLbl>
              <c:idx val="6"/>
              <c:layout>
                <c:manualLayout>
                  <c:x val="-1.3880406143128762E-2"/>
                  <c:y val="-9.2536891221930595E-2"/>
                </c:manualLayout>
              </c:layout>
              <c:tx>
                <c:rich>
                  <a:bodyPr/>
                  <a:lstStyle/>
                  <a:p>
                    <a:fld id="{65EB795F-5FD2-42F8-A1CE-A1055B0F6C42}" type="VALUE">
                      <a:rPr lang="ru-RU"/>
                      <a:pPr/>
                      <a:t>[ЗНАЧЕНИЕ]</a:t>
                    </a:fld>
                    <a:r>
                      <a:rPr lang="ru-RU"/>
                      <a:t>;</a:t>
                    </a:r>
                  </a:p>
                  <a:p>
                    <a:r>
                      <a:rPr lang="ru-RU"/>
                      <a:t> 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3577-4A29-99E8-CAE720147860}"/>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'инд. пром. пр.'!$A$18:$A$23</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'инд. пром. пр.'!$C$18:$C$23</c:f>
              <c:numCache>
                <c:formatCode>0.00</c:formatCode>
                <c:ptCount val="6"/>
                <c:pt idx="0">
                  <c:v>113.9</c:v>
                </c:pt>
                <c:pt idx="1">
                  <c:v>79.400000000000006</c:v>
                </c:pt>
                <c:pt idx="2">
                  <c:v>107.1</c:v>
                </c:pt>
                <c:pt idx="3">
                  <c:v>105.2</c:v>
                </c:pt>
                <c:pt idx="4">
                  <c:v>105.1</c:v>
                </c:pt>
                <c:pt idx="5">
                  <c:v>105.2</c:v>
                </c:pt>
              </c:numCache>
            </c:numRef>
          </c:val>
          <c:smooth val="0"/>
          <c:extLst xmlns:c16r2="http://schemas.microsoft.com/office/drawing/2015/06/chart">
            <c:ext xmlns:c16="http://schemas.microsoft.com/office/drawing/2014/chart" uri="{C3380CC4-5D6E-409C-BE32-E72D297353CC}">
              <c16:uniqueId val="{00000009-3577-4A29-99E8-CAE720147860}"/>
            </c:ext>
          </c:extLst>
        </c:ser>
        <c:dLbls>
          <c:showLegendKey val="0"/>
          <c:showVal val="0"/>
          <c:showCatName val="0"/>
          <c:showSerName val="0"/>
          <c:showPercent val="0"/>
          <c:showBubbleSize val="0"/>
        </c:dLbls>
        <c:marker val="1"/>
        <c:smooth val="0"/>
        <c:axId val="49732224"/>
        <c:axId val="49754496"/>
      </c:lineChart>
      <c:catAx>
        <c:axId val="49732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9754496"/>
        <c:crosses val="autoZero"/>
        <c:auto val="1"/>
        <c:lblAlgn val="ctr"/>
        <c:lblOffset val="100"/>
        <c:noMultiLvlLbl val="0"/>
      </c:catAx>
      <c:valAx>
        <c:axId val="49754496"/>
        <c:scaling>
          <c:orientation val="minMax"/>
          <c:max val="115"/>
          <c:min val="75"/>
        </c:scaling>
        <c:delete val="1"/>
        <c:axPos val="l"/>
        <c:numFmt formatCode="0.00" sourceLinked="1"/>
        <c:majorTickMark val="none"/>
        <c:minorTickMark val="none"/>
        <c:tickLblPos val="nextTo"/>
        <c:crossAx val="4973222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инвестиции!$E$1</c:f>
          <c:strCache>
            <c:ptCount val="1"/>
            <c:pt idx="0">
              <c:v>Инвестиции в основной капитал</c:v>
            </c:pt>
          </c:strCache>
        </c:strRef>
      </c:tx>
      <c:layout>
        <c:manualLayout>
          <c:xMode val="edge"/>
          <c:yMode val="edge"/>
          <c:x val="0.26755228709618845"/>
          <c:y val="2.7460805367243548E-3"/>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5.5801956653843909E-2"/>
          <c:y val="5.0257019759322535E-2"/>
          <c:w val="0.88839608669231218"/>
          <c:h val="0.59029564700638837"/>
        </c:manualLayout>
      </c:layout>
      <c:barChart>
        <c:barDir val="col"/>
        <c:grouping val="clustered"/>
        <c:varyColors val="0"/>
        <c:ser>
          <c:idx val="0"/>
          <c:order val="0"/>
          <c:tx>
            <c:strRef>
              <c:f>инвестиции!$B$2</c:f>
              <c:strCache>
                <c:ptCount val="1"/>
                <c:pt idx="0">
                  <c:v>Инвестиции в основной капитал (млрд рублей), консервативный вариант</c:v>
                </c:pt>
              </c:strCache>
            </c:strRef>
          </c:tx>
          <c:spPr>
            <a:solidFill>
              <a:schemeClr val="accent5">
                <a:lumMod val="75000"/>
              </a:schemeClr>
            </a:solidFill>
            <a:ln>
              <a:solidFill>
                <a:sysClr val="windowText" lastClr="000000"/>
              </a:solidFill>
            </a:ln>
            <a:effectLst/>
          </c:spPr>
          <c:invertIfNegative val="0"/>
          <c:dLbls>
            <c:dLbl>
              <c:idx val="0"/>
              <c:layout>
                <c:manualLayout>
                  <c:x val="-6.2893907129533437E-3"/>
                  <c:y val="0.3529095165315637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880D-4449-B1B2-A1F2868C5875}"/>
                </c:ext>
                <c:ext xmlns:c15="http://schemas.microsoft.com/office/drawing/2012/chart" uri="{CE6537A1-D6FC-4f65-9D91-7224C49458BB}"/>
              </c:extLst>
            </c:dLbl>
            <c:dLbl>
              <c:idx val="1"/>
              <c:layout>
                <c:manualLayout>
                  <c:x val="-1.2578616352201297E-2"/>
                  <c:y val="0.3635143366513148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880D-4449-B1B2-A1F2868C5875}"/>
                </c:ext>
                <c:ext xmlns:c15="http://schemas.microsoft.com/office/drawing/2012/chart" uri="{CE6537A1-D6FC-4f65-9D91-7224C49458BB}"/>
              </c:extLst>
            </c:dLbl>
            <c:dLbl>
              <c:idx val="3"/>
              <c:layout>
                <c:manualLayout>
                  <c:x val="-6.2893081761007056E-3"/>
                  <c:y val="0.4482192232655409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880D-4449-B1B2-A1F2868C5875}"/>
                </c:ext>
                <c:ext xmlns:c15="http://schemas.microsoft.com/office/drawing/2012/chart" uri="{CE6537A1-D6FC-4f65-9D91-7224C49458BB}"/>
              </c:extLst>
            </c:dLbl>
            <c:dLbl>
              <c:idx val="4"/>
              <c:layout>
                <c:manualLayout>
                  <c:x val="-4.1928721174004195E-3"/>
                  <c:y val="0.4991526243494747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80D-4449-B1B2-A1F2868C5875}"/>
                </c:ext>
                <c:ext xmlns:c15="http://schemas.microsoft.com/office/drawing/2012/chart" uri="{CE6537A1-D6FC-4f65-9D91-7224C49458BB}"/>
              </c:extLst>
            </c:dLbl>
            <c:dLbl>
              <c:idx val="5"/>
              <c:layout>
                <c:manualLayout>
                  <c:x val="-6.2893081761007828E-3"/>
                  <c:y val="0.5686881552907491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880D-4449-B1B2-A1F2868C5875}"/>
                </c:ext>
                <c:ext xmlns:c15="http://schemas.microsoft.com/office/drawing/2012/chart" uri="{CE6537A1-D6FC-4f65-9D91-7224C49458BB}"/>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инвестиции!$A$3:$A$8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инвестиции!$B$3:$B$8</c:f>
              <c:numCache>
                <c:formatCode>#\ ##0.0</c:formatCode>
                <c:ptCount val="6"/>
                <c:pt idx="0" formatCode="#,##0.00">
                  <c:v>179355.5</c:v>
                </c:pt>
                <c:pt idx="1">
                  <c:v>184745.2</c:v>
                </c:pt>
                <c:pt idx="2">
                  <c:v>206729.9</c:v>
                </c:pt>
                <c:pt idx="3">
                  <c:v>228026.4</c:v>
                </c:pt>
                <c:pt idx="4">
                  <c:v>253679.2</c:v>
                </c:pt>
                <c:pt idx="5">
                  <c:v>290725.2</c:v>
                </c:pt>
              </c:numCache>
            </c:numRef>
          </c:val>
          <c:extLst xmlns:c16r2="http://schemas.microsoft.com/office/drawing/2015/06/chart">
            <c:ext xmlns:c16="http://schemas.microsoft.com/office/drawing/2014/chart" uri="{C3380CC4-5D6E-409C-BE32-E72D297353CC}">
              <c16:uniqueId val="{00000005-880D-4449-B1B2-A1F2868C5875}"/>
            </c:ext>
          </c:extLst>
        </c:ser>
        <c:ser>
          <c:idx val="1"/>
          <c:order val="1"/>
          <c:tx>
            <c:strRef>
              <c:f>инвестиции!$C$2</c:f>
              <c:strCache>
                <c:ptCount val="1"/>
                <c:pt idx="0">
                  <c:v>Инвестиции в основной капитал (млрд рублей), базовый вариант</c:v>
                </c:pt>
              </c:strCache>
            </c:strRef>
          </c:tx>
          <c:spPr>
            <a:solidFill>
              <a:schemeClr val="bg2">
                <a:lumMod val="75000"/>
              </a:schemeClr>
            </a:solidFill>
            <a:ln>
              <a:solidFill>
                <a:schemeClr val="tx1"/>
              </a:solidFill>
            </a:ln>
            <a:effectLst/>
          </c:spPr>
          <c:invertIfNegative val="0"/>
          <c:dLbls>
            <c:dLbl>
              <c:idx val="1"/>
              <c:layout>
                <c:manualLayout>
                  <c:x val="1.0482180293501011E-2"/>
                  <c:y val="0.3635143366513148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880D-4449-B1B2-A1F2868C5875}"/>
                </c:ext>
                <c:ext xmlns:c15="http://schemas.microsoft.com/office/drawing/2012/chart" uri="{CE6537A1-D6FC-4f65-9D91-7224C49458BB}"/>
              </c:extLst>
            </c:dLbl>
            <c:dLbl>
              <c:idx val="2"/>
              <c:spPr>
                <a:solidFill>
                  <a:schemeClr val="bg1"/>
                </a:solidFill>
                <a:ln>
                  <a:solidFill>
                    <a:schemeClr val="tx1"/>
                  </a:solidFill>
                </a:ln>
                <a:effectLst/>
              </c:spPr>
              <c:txPr>
                <a:bodyPr rot="0" spcFirstLastPara="1" vertOverflow="ellipsis" horzOverflow="clip"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инвестиции!$A$3:$A$8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инвестиции!$C$3:$C$8</c:f>
              <c:numCache>
                <c:formatCode>#\ ##0.0</c:formatCode>
                <c:ptCount val="6"/>
                <c:pt idx="0" formatCode="#,##0.00">
                  <c:v>179355.5</c:v>
                </c:pt>
                <c:pt idx="1">
                  <c:v>184745.2</c:v>
                </c:pt>
                <c:pt idx="2">
                  <c:v>206729.9</c:v>
                </c:pt>
                <c:pt idx="3">
                  <c:v>229515.1</c:v>
                </c:pt>
                <c:pt idx="4">
                  <c:v>256965.4</c:v>
                </c:pt>
                <c:pt idx="5">
                  <c:v>296354.59999999998</c:v>
                </c:pt>
              </c:numCache>
            </c:numRef>
          </c:val>
          <c:extLst xmlns:c16r2="http://schemas.microsoft.com/office/drawing/2015/06/chart">
            <c:ext xmlns:c16="http://schemas.microsoft.com/office/drawing/2014/chart" uri="{C3380CC4-5D6E-409C-BE32-E72D297353CC}">
              <c16:uniqueId val="{00000008-880D-4449-B1B2-A1F2868C5875}"/>
            </c:ext>
          </c:extLst>
        </c:ser>
        <c:dLbls>
          <c:showLegendKey val="0"/>
          <c:showVal val="0"/>
          <c:showCatName val="0"/>
          <c:showSerName val="0"/>
          <c:showPercent val="0"/>
          <c:showBubbleSize val="0"/>
        </c:dLbls>
        <c:gapWidth val="55"/>
        <c:axId val="49866240"/>
        <c:axId val="49867776"/>
      </c:barChart>
      <c:lineChart>
        <c:grouping val="standard"/>
        <c:varyColors val="0"/>
        <c:ser>
          <c:idx val="2"/>
          <c:order val="2"/>
          <c:tx>
            <c:strRef>
              <c:f>инвестиции!$D$2</c:f>
              <c:strCache>
                <c:ptCount val="1"/>
                <c:pt idx="0">
                  <c:v>Индекс физического объема инвестиций в основной капитал (%), консервативный вариант</c:v>
                </c:pt>
              </c:strCache>
            </c:strRef>
          </c:tx>
          <c:spPr>
            <a:ln w="38100" cap="rnd">
              <a:solidFill>
                <a:srgbClr val="00B0F0"/>
              </a:solidFill>
              <a:round/>
            </a:ln>
            <a:effectLst/>
          </c:spPr>
          <c:marker>
            <c:symbol val="circle"/>
            <c:size val="7"/>
            <c:spPr>
              <a:solidFill>
                <a:srgbClr val="00B0F0"/>
              </a:solidFill>
              <a:ln w="9525">
                <a:solidFill>
                  <a:sysClr val="windowText" lastClr="000000"/>
                </a:solidFill>
              </a:ln>
              <a:effectLst/>
            </c:spPr>
          </c:marker>
          <c:dLbls>
            <c:dLbl>
              <c:idx val="0"/>
              <c:delete val="1"/>
              <c:extLst xmlns:c16r2="http://schemas.microsoft.com/office/drawing/2015/06/chart">
                <c:ext xmlns:c16="http://schemas.microsoft.com/office/drawing/2014/chart" uri="{C3380CC4-5D6E-409C-BE32-E72D297353CC}">
                  <c16:uniqueId val="{00000009-880D-4449-B1B2-A1F2868C5875}"/>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A-880D-4449-B1B2-A1F2868C5875}"/>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B-880D-4449-B1B2-A1F2868C5875}"/>
                </c:ext>
                <c:ext xmlns:c15="http://schemas.microsoft.com/office/drawing/2012/chart" uri="{CE6537A1-D6FC-4f65-9D91-7224C49458BB}"/>
              </c:extLst>
            </c:dLbl>
            <c:dLbl>
              <c:idx val="5"/>
              <c:layout>
                <c:manualLayout>
                  <c:x val="-7.6297892008781926E-2"/>
                  <c:y val="9.1782390837508943E-2"/>
                </c:manualLayout>
              </c:layout>
              <c:tx>
                <c:rich>
                  <a:bodyPr/>
                  <a:lstStyle/>
                  <a:p>
                    <a:fld id="{458E3DAB-870E-4070-A948-9E78886B775F}" type="VALUE">
                      <a:rPr lang="ru-RU"/>
                      <a:pPr/>
                      <a:t>[ЗНАЧЕНИЕ]</a:t>
                    </a:fld>
                    <a:r>
                      <a:rPr lang="ru-RU"/>
                      <a:t>; </a:t>
                    </a:r>
                  </a:p>
                  <a:p>
                    <a:r>
                      <a:rPr lang="ru-RU">
                        <a:solidFill>
                          <a:srgbClr val="00B0F0"/>
                        </a:solidFill>
                      </a:rPr>
                      <a:t>консерв.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880D-4449-B1B2-A1F2868C5875}"/>
                </c:ext>
                <c:ext xmlns:c15="http://schemas.microsoft.com/office/drawing/2012/chart" uri="{CE6537A1-D6FC-4f65-9D91-7224C49458BB}">
                  <c15:dlblFieldTable/>
                  <c15:showDataLabelsRange val="0"/>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инвестиции!$A$3:$A$8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инвестиции!$D$3:$D$8</c:f>
              <c:numCache>
                <c:formatCode>#,##0.00</c:formatCode>
                <c:ptCount val="6"/>
                <c:pt idx="0">
                  <c:v>115.4</c:v>
                </c:pt>
                <c:pt idx="1">
                  <c:v>90.5</c:v>
                </c:pt>
                <c:pt idx="2">
                  <c:v>104.5</c:v>
                </c:pt>
                <c:pt idx="3">
                  <c:v>104.8</c:v>
                </c:pt>
                <c:pt idx="4">
                  <c:v>104.9</c:v>
                </c:pt>
                <c:pt idx="5">
                  <c:v>105.3</c:v>
                </c:pt>
              </c:numCache>
            </c:numRef>
          </c:val>
          <c:smooth val="0"/>
          <c:extLst xmlns:c16r2="http://schemas.microsoft.com/office/drawing/2015/06/chart">
            <c:ext xmlns:c16="http://schemas.microsoft.com/office/drawing/2014/chart" uri="{C3380CC4-5D6E-409C-BE32-E72D297353CC}">
              <c16:uniqueId val="{0000000D-880D-4449-B1B2-A1F2868C5875}"/>
            </c:ext>
          </c:extLst>
        </c:ser>
        <c:ser>
          <c:idx val="3"/>
          <c:order val="3"/>
          <c:tx>
            <c:strRef>
              <c:f>инвестиции!$E$2</c:f>
              <c:strCache>
                <c:ptCount val="1"/>
                <c:pt idx="0">
                  <c:v>Индекс физического объема инвестиций в основной капитал (%), базовый вариант  </c:v>
                </c:pt>
              </c:strCache>
            </c:strRef>
          </c:tx>
          <c:spPr>
            <a:ln w="38100" cap="rnd">
              <a:solidFill>
                <a:srgbClr val="FF0000"/>
              </a:solidFill>
              <a:round/>
            </a:ln>
            <a:effectLst/>
          </c:spPr>
          <c:marker>
            <c:symbol val="circle"/>
            <c:size val="7"/>
            <c:spPr>
              <a:solidFill>
                <a:srgbClr val="FF0000"/>
              </a:solidFill>
              <a:ln w="9525">
                <a:solidFill>
                  <a:sysClr val="windowText" lastClr="000000"/>
                </a:solidFill>
              </a:ln>
              <a:effectLst/>
            </c:spPr>
          </c:marker>
          <c:dLbls>
            <c:dLbl>
              <c:idx val="0"/>
              <c:layout>
                <c:manualLayout>
                  <c:x val="2.6197197048482147E-4"/>
                  <c:y val="-4.2744104161426995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880D-4449-B1B2-A1F2868C5875}"/>
                </c:ext>
                <c:ext xmlns:c15="http://schemas.microsoft.com/office/drawing/2012/chart" uri="{CE6537A1-D6FC-4f65-9D91-7224C49458BB}"/>
              </c:extLst>
            </c:dLbl>
            <c:dLbl>
              <c:idx val="1"/>
              <c:layout>
                <c:manualLayout>
                  <c:x val="-3.2525441209114658E-2"/>
                  <c:y val="-9.506674742580262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880D-4449-B1B2-A1F2868C5875}"/>
                </c:ext>
                <c:ext xmlns:c15="http://schemas.microsoft.com/office/drawing/2012/chart" uri="{CE6537A1-D6FC-4f65-9D91-7224C49458BB}"/>
              </c:extLst>
            </c:dLbl>
            <c:dLbl>
              <c:idx val="5"/>
              <c:layout>
                <c:manualLayout>
                  <c:x val="-6.9226959837567631E-2"/>
                  <c:y val="-0.11376230919538007"/>
                </c:manualLayout>
              </c:layout>
              <c:tx>
                <c:rich>
                  <a:bodyPr/>
                  <a:lstStyle/>
                  <a:p>
                    <a:fld id="{E96E5F13-85B5-4D06-9770-6551EBA6F3A0}" type="VALUE">
                      <a:rPr lang="ru-RU"/>
                      <a:pPr/>
                      <a:t>[ЗНАЧЕНИЕ]</a:t>
                    </a:fld>
                    <a:r>
                      <a:rPr lang="ru-RU"/>
                      <a:t>;</a:t>
                    </a:r>
                  </a:p>
                  <a:p>
                    <a:r>
                      <a:rPr lang="ru-RU"/>
                      <a:t> </a:t>
                    </a:r>
                    <a:r>
                      <a:rPr lang="ru-RU">
                        <a:solidFill>
                          <a:srgbClr val="FF0000"/>
                        </a:solidFill>
                      </a:rPr>
                      <a:t>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880D-4449-B1B2-A1F2868C5875}"/>
                </c:ext>
                <c:ext xmlns:c15="http://schemas.microsoft.com/office/drawing/2012/chart" uri="{CE6537A1-D6FC-4f65-9D91-7224C49458BB}">
                  <c15:dlblFieldTable/>
                  <c15:showDataLabelsRange val="0"/>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инвестиции!$A$3:$A$8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инвестиции!$E$3:$E$8</c:f>
              <c:numCache>
                <c:formatCode>#,##0.00</c:formatCode>
                <c:ptCount val="6"/>
                <c:pt idx="0">
                  <c:v>115.4</c:v>
                </c:pt>
                <c:pt idx="1">
                  <c:v>90.5</c:v>
                </c:pt>
                <c:pt idx="2">
                  <c:v>104.5</c:v>
                </c:pt>
                <c:pt idx="3">
                  <c:v>105.8</c:v>
                </c:pt>
                <c:pt idx="4">
                  <c:v>105.9</c:v>
                </c:pt>
                <c:pt idx="5">
                  <c:v>106.4</c:v>
                </c:pt>
              </c:numCache>
            </c:numRef>
          </c:val>
          <c:smooth val="0"/>
          <c:extLst xmlns:c16r2="http://schemas.microsoft.com/office/drawing/2015/06/chart">
            <c:ext xmlns:c16="http://schemas.microsoft.com/office/drawing/2014/chart" uri="{C3380CC4-5D6E-409C-BE32-E72D297353CC}">
              <c16:uniqueId val="{00000011-880D-4449-B1B2-A1F2868C5875}"/>
            </c:ext>
          </c:extLst>
        </c:ser>
        <c:dLbls>
          <c:showLegendKey val="0"/>
          <c:showVal val="0"/>
          <c:showCatName val="0"/>
          <c:showSerName val="0"/>
          <c:showPercent val="0"/>
          <c:showBubbleSize val="0"/>
        </c:dLbls>
        <c:marker val="1"/>
        <c:smooth val="0"/>
        <c:axId val="49875584"/>
        <c:axId val="49874048"/>
      </c:lineChart>
      <c:catAx>
        <c:axId val="49866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9867776"/>
        <c:crosses val="autoZero"/>
        <c:auto val="1"/>
        <c:lblAlgn val="ctr"/>
        <c:lblOffset val="100"/>
        <c:noMultiLvlLbl val="0"/>
      </c:catAx>
      <c:valAx>
        <c:axId val="49867776"/>
        <c:scaling>
          <c:orientation val="minMax"/>
          <c:max val="30000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49866240"/>
        <c:crosses val="autoZero"/>
        <c:crossBetween val="between"/>
        <c:dispUnits>
          <c:builtInUnit val="thousands"/>
        </c:dispUnits>
      </c:valAx>
      <c:valAx>
        <c:axId val="49874048"/>
        <c:scaling>
          <c:orientation val="minMax"/>
          <c:max val="116"/>
          <c:min val="89"/>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bg1">
                    <a:lumMod val="65000"/>
                  </a:schemeClr>
                </a:solidFill>
                <a:latin typeface="Times New Roman" panose="02020603050405020304" pitchFamily="18" charset="0"/>
                <a:ea typeface="+mn-ea"/>
                <a:cs typeface="Times New Roman" panose="02020603050405020304" pitchFamily="18" charset="0"/>
              </a:defRPr>
            </a:pPr>
            <a:endParaRPr lang="ru-RU"/>
          </a:p>
        </c:txPr>
        <c:crossAx val="49875584"/>
        <c:crosses val="max"/>
        <c:crossBetween val="between"/>
      </c:valAx>
      <c:catAx>
        <c:axId val="49875584"/>
        <c:scaling>
          <c:orientation val="minMax"/>
        </c:scaling>
        <c:delete val="1"/>
        <c:axPos val="b"/>
        <c:numFmt formatCode="General" sourceLinked="1"/>
        <c:majorTickMark val="none"/>
        <c:minorTickMark val="none"/>
        <c:tickLblPos val="nextTo"/>
        <c:crossAx val="49874048"/>
        <c:crosses val="autoZero"/>
        <c:auto val="1"/>
        <c:lblAlgn val="ctr"/>
        <c:lblOffset val="100"/>
        <c:noMultiLvlLbl val="0"/>
      </c:catAx>
      <c:spPr>
        <a:noFill/>
        <a:ln>
          <a:noFill/>
        </a:ln>
        <a:effectLst/>
      </c:spPr>
    </c:plotArea>
    <c:legend>
      <c:legendPos val="b"/>
      <c:layout>
        <c:manualLayout>
          <c:xMode val="edge"/>
          <c:yMode val="edge"/>
          <c:x val="7.3272090988626417E-4"/>
          <c:y val="0.7865875054388255"/>
          <c:w val="0.9992672790901137"/>
          <c:h val="0.2134124780186701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'оборот розн торг.'!$A$1</c:f>
          <c:strCache>
            <c:ptCount val="1"/>
            <c:pt idx="0">
              <c:v>Оборот розничной торговли</c:v>
            </c:pt>
          </c:strCache>
        </c:strRef>
      </c:tx>
      <c:layout>
        <c:manualLayout>
          <c:xMode val="edge"/>
          <c:yMode val="edge"/>
          <c:x val="0.33737796419357108"/>
          <c:y val="0"/>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9.4233112980002295E-2"/>
          <c:y val="8.3836040216550653E-2"/>
          <c:w val="0.82426731453949131"/>
          <c:h val="0.57742294974149111"/>
        </c:manualLayout>
      </c:layout>
      <c:barChart>
        <c:barDir val="col"/>
        <c:grouping val="clustered"/>
        <c:varyColors val="0"/>
        <c:ser>
          <c:idx val="0"/>
          <c:order val="0"/>
          <c:tx>
            <c:strRef>
              <c:f>'оборот розн торг.'!$B$2</c:f>
              <c:strCache>
                <c:ptCount val="1"/>
                <c:pt idx="0">
                  <c:v>Оборот розничной торговли (млрд рублей), консервативный вариант</c:v>
                </c:pt>
              </c:strCache>
            </c:strRef>
          </c:tx>
          <c:spPr>
            <a:solidFill>
              <a:sysClr val="window" lastClr="FFFFFF">
                <a:lumMod val="75000"/>
              </a:sysClr>
            </a:solidFill>
            <a:ln>
              <a:noFill/>
            </a:ln>
            <a:effectLst/>
          </c:spPr>
          <c:invertIfNegative val="0"/>
          <c:dLbls>
            <c:dLbl>
              <c:idx val="0"/>
              <c:layout>
                <c:manualLayout>
                  <c:x val="-9.7394669582065076E-3"/>
                  <c:y val="0.4305846194477391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099-49E5-860D-B52745A6C31F}"/>
                </c:ext>
                <c:ext xmlns:c15="http://schemas.microsoft.com/office/drawing/2012/chart" uri="{CE6537A1-D6FC-4f65-9D91-7224C49458BB}"/>
              </c:extLst>
            </c:dLbl>
            <c:dLbl>
              <c:idx val="1"/>
              <c:layout>
                <c:manualLayout>
                  <c:x val="-1.3801667611635701E-2"/>
                  <c:y val="0.4170829061879730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099-49E5-860D-B52745A6C31F}"/>
                </c:ext>
                <c:ext xmlns:c15="http://schemas.microsoft.com/office/drawing/2012/chart" uri="{CE6537A1-D6FC-4f65-9D91-7224C49458BB}"/>
              </c:extLst>
            </c:dLbl>
            <c:dLbl>
              <c:idx val="2"/>
              <c:layout>
                <c:manualLayout>
                  <c:x val="-1.168736034984786E-2"/>
                  <c:y val="0.4669395334893365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099-49E5-860D-B52745A6C31F}"/>
                </c:ext>
                <c:ext xmlns:c15="http://schemas.microsoft.com/office/drawing/2012/chart" uri="{CE6537A1-D6FC-4f65-9D91-7224C49458BB}"/>
              </c:extLst>
            </c:dLbl>
            <c:dLbl>
              <c:idx val="3"/>
              <c:layout>
                <c:manualLayout>
                  <c:x val="-9.7394669582064903E-3"/>
                  <c:y val="0.4987428338256515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099-49E5-860D-B52745A6C31F}"/>
                </c:ext>
                <c:ext xmlns:c15="http://schemas.microsoft.com/office/drawing/2012/chart" uri="{CE6537A1-D6FC-4f65-9D91-7224C49458BB}"/>
              </c:extLst>
            </c:dLbl>
            <c:dLbl>
              <c:idx val="4"/>
              <c:layout>
                <c:manualLayout>
                  <c:x val="-9.7394669582064903E-3"/>
                  <c:y val="0.5311552366755850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099-49E5-860D-B52745A6C31F}"/>
                </c:ext>
                <c:ext xmlns:c15="http://schemas.microsoft.com/office/drawing/2012/chart" uri="{CE6537A1-D6FC-4f65-9D91-7224C49458BB}"/>
              </c:extLst>
            </c:dLbl>
            <c:dLbl>
              <c:idx val="5"/>
              <c:layout>
                <c:manualLayout>
                  <c:x val="-9.7394669582066325E-3"/>
                  <c:y val="0.5662303811292427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099-49E5-860D-B52745A6C31F}"/>
                </c:ext>
                <c:ext xmlns:c15="http://schemas.microsoft.com/office/drawing/2012/chart" uri="{CE6537A1-D6FC-4f65-9D91-7224C49458BB}"/>
              </c:extLst>
            </c:dLbl>
            <c:numFmt formatCode="#,##0.00" sourceLinked="0"/>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'оборот розн торг.'!$A$3:$A$8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'оборот розн торг.'!$B$3:$B$8</c:f>
              <c:numCache>
                <c:formatCode>#\ ##0.0</c:formatCode>
                <c:ptCount val="6"/>
                <c:pt idx="0" formatCode="#,##0.00">
                  <c:v>447420.4</c:v>
                </c:pt>
                <c:pt idx="1">
                  <c:v>434689.3</c:v>
                </c:pt>
                <c:pt idx="2">
                  <c:v>485196.7</c:v>
                </c:pt>
                <c:pt idx="3">
                  <c:v>518243.5</c:v>
                </c:pt>
                <c:pt idx="4">
                  <c:v>551923.1</c:v>
                </c:pt>
                <c:pt idx="5">
                  <c:v>588369.9</c:v>
                </c:pt>
              </c:numCache>
            </c:numRef>
          </c:val>
          <c:extLst xmlns:c16r2="http://schemas.microsoft.com/office/drawing/2015/06/chart">
            <c:ext xmlns:c16="http://schemas.microsoft.com/office/drawing/2014/chart" uri="{C3380CC4-5D6E-409C-BE32-E72D297353CC}">
              <c16:uniqueId val="{00000006-B099-49E5-860D-B52745A6C31F}"/>
            </c:ext>
          </c:extLst>
        </c:ser>
        <c:ser>
          <c:idx val="1"/>
          <c:order val="1"/>
          <c:tx>
            <c:strRef>
              <c:f>'оборот розн торг.'!$C$2</c:f>
              <c:strCache>
                <c:ptCount val="1"/>
                <c:pt idx="0">
                  <c:v>Оборот розничной торговли (млрд рублей), базовый вариант</c:v>
                </c:pt>
              </c:strCache>
            </c:strRef>
          </c:tx>
          <c:spPr>
            <a:solidFill>
              <a:srgbClr val="7D92CF"/>
            </a:solidFill>
            <a:ln>
              <a:noFill/>
            </a:ln>
            <a:effectLst/>
          </c:spPr>
          <c:invertIfNegative val="0"/>
          <c:dLbls>
            <c:dLbl>
              <c:idx val="1"/>
              <c:layout>
                <c:manualLayout>
                  <c:x val="6.1663335248561182E-3"/>
                  <c:y val="0.4216996739043983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099-49E5-860D-B52745A6C31F}"/>
                </c:ext>
                <c:ext xmlns:c15="http://schemas.microsoft.com/office/drawing/2012/chart" uri="{CE6537A1-D6FC-4f65-9D91-7224C49458BB}"/>
              </c:extLst>
            </c:dLbl>
            <c:dLbl>
              <c:idx val="2"/>
              <c:layout>
                <c:manualLayout>
                  <c:x val="2.0965185955528374E-3"/>
                  <c:y val="0.46693947347490655"/>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B099-49E5-860D-B52745A6C31F}"/>
                </c:ext>
                <c:ext xmlns:c15="http://schemas.microsoft.com/office/drawing/2012/chart" uri="{CE6537A1-D6FC-4f65-9D91-7224C49458BB}"/>
              </c:extLst>
            </c:dLbl>
            <c:dLbl>
              <c:idx val="5"/>
              <c:layout>
                <c:manualLayout>
                  <c:x val="6.1664144499923119E-3"/>
                  <c:y val="0.57121291656724726"/>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B099-49E5-860D-B52745A6C31F}"/>
                </c:ext>
                <c:ext xmlns:c15="http://schemas.microsoft.com/office/drawing/2012/chart" uri="{CE6537A1-D6FC-4f65-9D91-7224C49458BB}"/>
              </c:extLst>
            </c:dLbl>
            <c:numFmt formatCode="#,##0.00" sourceLinked="0"/>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'оборот розн торг.'!$A$3:$A$8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'оборот розн торг.'!$C$3:$C$8</c:f>
              <c:numCache>
                <c:formatCode>#\ ##0.0</c:formatCode>
                <c:ptCount val="6"/>
                <c:pt idx="0" formatCode="#,##0.00">
                  <c:v>447420.4</c:v>
                </c:pt>
                <c:pt idx="1">
                  <c:v>434689.3</c:v>
                </c:pt>
                <c:pt idx="2">
                  <c:v>485196.7</c:v>
                </c:pt>
                <c:pt idx="3">
                  <c:v>518749</c:v>
                </c:pt>
                <c:pt idx="4">
                  <c:v>555156.9</c:v>
                </c:pt>
                <c:pt idx="5">
                  <c:v>593547.1</c:v>
                </c:pt>
              </c:numCache>
            </c:numRef>
          </c:val>
          <c:extLst xmlns:c16r2="http://schemas.microsoft.com/office/drawing/2015/06/chart">
            <c:ext xmlns:c16="http://schemas.microsoft.com/office/drawing/2014/chart" uri="{C3380CC4-5D6E-409C-BE32-E72D297353CC}">
              <c16:uniqueId val="{0000000A-B099-49E5-860D-B52745A6C31F}"/>
            </c:ext>
          </c:extLst>
        </c:ser>
        <c:dLbls>
          <c:showLegendKey val="0"/>
          <c:showVal val="0"/>
          <c:showCatName val="0"/>
          <c:showSerName val="0"/>
          <c:showPercent val="0"/>
          <c:showBubbleSize val="0"/>
        </c:dLbls>
        <c:gapWidth val="47"/>
        <c:axId val="63599360"/>
        <c:axId val="63600896"/>
      </c:barChart>
      <c:lineChart>
        <c:grouping val="standard"/>
        <c:varyColors val="0"/>
        <c:ser>
          <c:idx val="2"/>
          <c:order val="2"/>
          <c:tx>
            <c:strRef>
              <c:f>'оборот розн торг.'!$D$2</c:f>
              <c:strCache>
                <c:ptCount val="1"/>
                <c:pt idx="0">
                  <c:v>Оборот розничной торговли (в % к предыдущему году в сопоставимых ценах), консервативный вариант</c:v>
                </c:pt>
              </c:strCache>
            </c:strRef>
          </c:tx>
          <c:spPr>
            <a:ln w="38100" cap="rnd">
              <a:solidFill>
                <a:srgbClr val="00B0F0"/>
              </a:solidFill>
              <a:round/>
            </a:ln>
            <a:effectLst/>
          </c:spPr>
          <c:marker>
            <c:symbol val="circle"/>
            <c:size val="7"/>
            <c:spPr>
              <a:solidFill>
                <a:srgbClr val="00B0F0"/>
              </a:solidFill>
              <a:ln w="9525">
                <a:solidFill>
                  <a:sysClr val="window" lastClr="FFFFFF">
                    <a:lumMod val="50000"/>
                  </a:sysClr>
                </a:solidFill>
              </a:ln>
              <a:effectLst/>
            </c:spPr>
          </c:marker>
          <c:dLbls>
            <c:dLbl>
              <c:idx val="0"/>
              <c:delete val="1"/>
              <c:extLst xmlns:c16r2="http://schemas.microsoft.com/office/drawing/2015/06/chart">
                <c:ext xmlns:c16="http://schemas.microsoft.com/office/drawing/2014/chart" uri="{C3380CC4-5D6E-409C-BE32-E72D297353CC}">
                  <c16:uniqueId val="{0000000B-B099-49E5-860D-B52745A6C31F}"/>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C-B099-49E5-860D-B52745A6C31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D-B099-49E5-860D-B52745A6C31F}"/>
                </c:ext>
                <c:ext xmlns:c15="http://schemas.microsoft.com/office/drawing/2012/chart" uri="{CE6537A1-D6FC-4f65-9D91-7224C49458BB}"/>
              </c:extLst>
            </c:dLbl>
            <c:dLbl>
              <c:idx val="5"/>
              <c:layout>
                <c:manualLayout>
                  <c:x val="-6.6810610937783718E-2"/>
                  <c:y val="0.14538392188511057"/>
                </c:manualLayout>
              </c:layout>
              <c:tx>
                <c:rich>
                  <a:bodyPr/>
                  <a:lstStyle/>
                  <a:p>
                    <a:fld id="{36451034-D9CA-44C8-9E60-C51EED78CCB0}" type="VALUE">
                      <a:rPr lang="ru-RU"/>
                      <a:pPr/>
                      <a:t>[ЗНАЧЕНИЕ]</a:t>
                    </a:fld>
                    <a:endParaRPr lang="ru-RU"/>
                  </a:p>
                  <a:p>
                    <a:r>
                      <a:rPr lang="ru-RU"/>
                      <a:t> </a:t>
                    </a:r>
                    <a:r>
                      <a:rPr lang="ru-RU">
                        <a:solidFill>
                          <a:srgbClr val="00B0F0"/>
                        </a:solidFill>
                      </a:rPr>
                      <a:t>консервативный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B099-49E5-860D-B52745A6C31F}"/>
                </c:ext>
                <c:ext xmlns:c15="http://schemas.microsoft.com/office/drawing/2012/chart" uri="{CE6537A1-D6FC-4f65-9D91-7224C49458BB}">
                  <c15:dlblFieldTable/>
                  <c15:showDataLabelsRange val="0"/>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'оборот розн торг.'!$A$3:$A$8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'оборот розн торг.'!$D$3:$D$8</c:f>
              <c:numCache>
                <c:formatCode>#,##0.00</c:formatCode>
                <c:ptCount val="6"/>
                <c:pt idx="0">
                  <c:v>106.3</c:v>
                </c:pt>
                <c:pt idx="1">
                  <c:v>94.3</c:v>
                </c:pt>
                <c:pt idx="2">
                  <c:v>105.7</c:v>
                </c:pt>
                <c:pt idx="3">
                  <c:v>103</c:v>
                </c:pt>
                <c:pt idx="4">
                  <c:v>102.6</c:v>
                </c:pt>
                <c:pt idx="5">
                  <c:v>102.8</c:v>
                </c:pt>
              </c:numCache>
            </c:numRef>
          </c:val>
          <c:smooth val="0"/>
          <c:extLst xmlns:c16r2="http://schemas.microsoft.com/office/drawing/2015/06/chart">
            <c:ext xmlns:c16="http://schemas.microsoft.com/office/drawing/2014/chart" uri="{C3380CC4-5D6E-409C-BE32-E72D297353CC}">
              <c16:uniqueId val="{0000000F-B099-49E5-860D-B52745A6C31F}"/>
            </c:ext>
          </c:extLst>
        </c:ser>
        <c:ser>
          <c:idx val="3"/>
          <c:order val="3"/>
          <c:tx>
            <c:strRef>
              <c:f>'оборот розн торг.'!$E$2</c:f>
              <c:strCache>
                <c:ptCount val="1"/>
                <c:pt idx="0">
                  <c:v>Оборот розничной торговли (в % к предыдущему году в сопоставимых ценах), базовый вариант  </c:v>
                </c:pt>
              </c:strCache>
            </c:strRef>
          </c:tx>
          <c:spPr>
            <a:ln w="38100" cap="rnd">
              <a:solidFill>
                <a:srgbClr val="FFC000"/>
              </a:solidFill>
              <a:round/>
            </a:ln>
            <a:effectLst/>
          </c:spPr>
          <c:marker>
            <c:symbol val="circle"/>
            <c:size val="7"/>
            <c:spPr>
              <a:solidFill>
                <a:srgbClr val="FFC000"/>
              </a:solidFill>
              <a:ln w="9525">
                <a:solidFill>
                  <a:sysClr val="window" lastClr="FFFFFF">
                    <a:lumMod val="50000"/>
                  </a:sysClr>
                </a:solidFill>
              </a:ln>
              <a:effectLst/>
            </c:spPr>
          </c:marker>
          <c:dLbls>
            <c:dLbl>
              <c:idx val="1"/>
              <c:layout>
                <c:manualLayout>
                  <c:x val="-4.0724298340067938E-2"/>
                  <c:y val="-0.10698300870285959"/>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B099-49E5-860D-B52745A6C31F}"/>
                </c:ext>
                <c:ext xmlns:c15="http://schemas.microsoft.com/office/drawing/2012/chart" uri="{CE6537A1-D6FC-4f65-9D91-7224C49458BB}"/>
              </c:extLst>
            </c:dLbl>
            <c:dLbl>
              <c:idx val="2"/>
              <c:layout>
                <c:manualLayout>
                  <c:x val="-6.2908304235367543E-2"/>
                  <c:y val="-3.773093114053264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B099-49E5-860D-B52745A6C31F}"/>
                </c:ext>
                <c:ext xmlns:c15="http://schemas.microsoft.com/office/drawing/2012/chart" uri="{CE6537A1-D6FC-4f65-9D91-7224C49458BB}"/>
              </c:extLst>
            </c:dLbl>
            <c:dLbl>
              <c:idx val="5"/>
              <c:layout>
                <c:manualLayout>
                  <c:x val="-7.5522742163973644E-2"/>
                  <c:y val="-9.2632015180927868E-2"/>
                </c:manualLayout>
              </c:layout>
              <c:tx>
                <c:rich>
                  <a:bodyPr/>
                  <a:lstStyle/>
                  <a:p>
                    <a:fld id="{85917090-E09C-436A-9955-F06AA09DC76F}" type="VALUE">
                      <a:rPr lang="ru-RU"/>
                      <a:pPr/>
                      <a:t>[ЗНАЧЕНИЕ]</a:t>
                    </a:fld>
                    <a:r>
                      <a:rPr lang="ru-RU"/>
                      <a:t>; </a:t>
                    </a:r>
                  </a:p>
                  <a:p>
                    <a:r>
                      <a:rPr lang="ru-RU">
                        <a:solidFill>
                          <a:srgbClr val="FFC000"/>
                        </a:solidFill>
                      </a:rPr>
                      <a:t>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B099-49E5-860D-B52745A6C31F}"/>
                </c:ext>
                <c:ext xmlns:c15="http://schemas.microsoft.com/office/drawing/2012/chart" uri="{CE6537A1-D6FC-4f65-9D91-7224C49458BB}">
                  <c15:dlblFieldTable/>
                  <c15:showDataLabelsRange val="0"/>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strRef>
              <c:f>'оборот розн торг.'!$A$3:$A$8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'оборот розн торг.'!$E$3:$E$8</c:f>
              <c:numCache>
                <c:formatCode>#,##0.00</c:formatCode>
                <c:ptCount val="6"/>
                <c:pt idx="0">
                  <c:v>106.3</c:v>
                </c:pt>
                <c:pt idx="1">
                  <c:v>94.3</c:v>
                </c:pt>
                <c:pt idx="2">
                  <c:v>105.7</c:v>
                </c:pt>
                <c:pt idx="3">
                  <c:v>103.2</c:v>
                </c:pt>
                <c:pt idx="4">
                  <c:v>103.2</c:v>
                </c:pt>
                <c:pt idx="5">
                  <c:v>103.2</c:v>
                </c:pt>
              </c:numCache>
            </c:numRef>
          </c:val>
          <c:smooth val="0"/>
          <c:extLst xmlns:c16r2="http://schemas.microsoft.com/office/drawing/2015/06/chart">
            <c:ext xmlns:c16="http://schemas.microsoft.com/office/drawing/2014/chart" uri="{C3380CC4-5D6E-409C-BE32-E72D297353CC}">
              <c16:uniqueId val="{00000013-B099-49E5-860D-B52745A6C31F}"/>
            </c:ext>
          </c:extLst>
        </c:ser>
        <c:dLbls>
          <c:showLegendKey val="0"/>
          <c:showVal val="0"/>
          <c:showCatName val="0"/>
          <c:showSerName val="0"/>
          <c:showPercent val="0"/>
          <c:showBubbleSize val="0"/>
        </c:dLbls>
        <c:marker val="1"/>
        <c:smooth val="0"/>
        <c:axId val="63616896"/>
        <c:axId val="63615360"/>
      </c:lineChart>
      <c:catAx>
        <c:axId val="63599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3600896"/>
        <c:crossesAt val="0"/>
        <c:auto val="1"/>
        <c:lblAlgn val="ctr"/>
        <c:lblOffset val="100"/>
        <c:noMultiLvlLbl val="0"/>
      </c:catAx>
      <c:valAx>
        <c:axId val="63600896"/>
        <c:scaling>
          <c:orientation val="minMax"/>
          <c:max val="60000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63599360"/>
        <c:crosses val="autoZero"/>
        <c:crossBetween val="between"/>
        <c:dispUnits>
          <c:builtInUnit val="thousands"/>
        </c:dispUnits>
      </c:valAx>
      <c:valAx>
        <c:axId val="63615360"/>
        <c:scaling>
          <c:orientation val="minMax"/>
          <c:max val="108"/>
          <c:min val="93"/>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63616896"/>
        <c:crosses val="max"/>
        <c:crossBetween val="between"/>
      </c:valAx>
      <c:catAx>
        <c:axId val="63616896"/>
        <c:scaling>
          <c:orientation val="minMax"/>
        </c:scaling>
        <c:delete val="1"/>
        <c:axPos val="b"/>
        <c:numFmt formatCode="General" sourceLinked="1"/>
        <c:majorTickMark val="out"/>
        <c:minorTickMark val="none"/>
        <c:tickLblPos val="nextTo"/>
        <c:crossAx val="63615360"/>
        <c:crosses val="autoZero"/>
        <c:auto val="1"/>
        <c:lblAlgn val="ctr"/>
        <c:lblOffset val="100"/>
        <c:noMultiLvlLbl val="0"/>
      </c:catAx>
      <c:spPr>
        <a:noFill/>
        <a:ln>
          <a:noFill/>
        </a:ln>
        <a:effectLst/>
      </c:spPr>
    </c:plotArea>
    <c:legend>
      <c:legendPos val="b"/>
      <c:layout>
        <c:manualLayout>
          <c:xMode val="edge"/>
          <c:yMode val="edge"/>
          <c:x val="0"/>
          <c:y val="0.80056976863657148"/>
          <c:w val="1"/>
          <c:h val="0.1973783170342141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'платн. услуги'!$A$3</c:f>
          <c:strCache>
            <c:ptCount val="1"/>
            <c:pt idx="0">
              <c:v>Объем платных услуг</c:v>
            </c:pt>
          </c:strCache>
        </c:strRef>
      </c:tx>
      <c:layout>
        <c:manualLayout>
          <c:xMode val="edge"/>
          <c:yMode val="edge"/>
          <c:x val="0.36364326480711817"/>
          <c:y val="0"/>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8.8603471068806644E-2"/>
          <c:y val="0.12148760571595216"/>
          <c:w val="0.83693550604406575"/>
          <c:h val="0.53540974044911049"/>
        </c:manualLayout>
      </c:layout>
      <c:barChart>
        <c:barDir val="col"/>
        <c:grouping val="clustered"/>
        <c:varyColors val="0"/>
        <c:ser>
          <c:idx val="0"/>
          <c:order val="0"/>
          <c:tx>
            <c:strRef>
              <c:f>'платн. услуги'!$B$4</c:f>
              <c:strCache>
                <c:ptCount val="1"/>
                <c:pt idx="0">
                  <c:v>Объем платных услуг (млрд рублей), консервативный вариант</c:v>
                </c:pt>
              </c:strCache>
            </c:strRef>
          </c:tx>
          <c:spPr>
            <a:solidFill>
              <a:schemeClr val="accent3">
                <a:lumMod val="60000"/>
                <a:lumOff val="40000"/>
              </a:schemeClr>
            </a:solidFill>
            <a:ln>
              <a:noFill/>
            </a:ln>
            <a:effectLst/>
          </c:spPr>
          <c:invertIfNegative val="0"/>
          <c:dLbls>
            <c:dLbl>
              <c:idx val="1"/>
              <c:layout>
                <c:manualLayout>
                  <c:x val="-4.5928285694188864E-3"/>
                  <c:y val="0.3838057358047128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91C-4312-967A-8464811B0389}"/>
                </c:ext>
                <c:ext xmlns:c15="http://schemas.microsoft.com/office/drawing/2012/chart" uri="{CE6537A1-D6FC-4f65-9D91-7224C49458BB}"/>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'платн. услуги'!$A$5:$A$10</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'платн. услуги'!$B$5:$B$10</c:f>
              <c:numCache>
                <c:formatCode>#\ ##0.0</c:formatCode>
                <c:ptCount val="6"/>
                <c:pt idx="0" formatCode="#,##0.00">
                  <c:v>163241.29999999999</c:v>
                </c:pt>
                <c:pt idx="1">
                  <c:v>133937.5</c:v>
                </c:pt>
                <c:pt idx="2">
                  <c:v>143198.9</c:v>
                </c:pt>
                <c:pt idx="3">
                  <c:v>155176.79999999999</c:v>
                </c:pt>
                <c:pt idx="4">
                  <c:v>168479.7</c:v>
                </c:pt>
                <c:pt idx="5">
                  <c:v>183274.5</c:v>
                </c:pt>
              </c:numCache>
            </c:numRef>
          </c:val>
          <c:extLst xmlns:c16r2="http://schemas.microsoft.com/office/drawing/2015/06/chart">
            <c:ext xmlns:c16="http://schemas.microsoft.com/office/drawing/2014/chart" uri="{C3380CC4-5D6E-409C-BE32-E72D297353CC}">
              <c16:uniqueId val="{00000001-991C-4312-967A-8464811B0389}"/>
            </c:ext>
          </c:extLst>
        </c:ser>
        <c:ser>
          <c:idx val="1"/>
          <c:order val="1"/>
          <c:tx>
            <c:strRef>
              <c:f>'платн. услуги'!$C$4</c:f>
              <c:strCache>
                <c:ptCount val="1"/>
                <c:pt idx="0">
                  <c:v>Объем платных услуг (млрд рублей), базовый вариант</c:v>
                </c:pt>
              </c:strCache>
            </c:strRef>
          </c:tx>
          <c:spPr>
            <a:solidFill>
              <a:srgbClr val="6BB567"/>
            </a:solidFill>
            <a:ln>
              <a:noFill/>
            </a:ln>
            <a:effectLst/>
          </c:spPr>
          <c:invertIfNegative val="0"/>
          <c:dLbls>
            <c:dLbl>
              <c:idx val="0"/>
              <c:layout>
                <c:manualLayout>
                  <c:x val="9.1856571388377502E-3"/>
                  <c:y val="0.4536407848422743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91C-4312-967A-8464811B0389}"/>
                </c:ext>
                <c:ext xmlns:c15="http://schemas.microsoft.com/office/drawing/2012/chart" uri="{CE6537A1-D6FC-4f65-9D91-7224C49458BB}"/>
              </c:extLst>
            </c:dLbl>
            <c:dLbl>
              <c:idx val="1"/>
              <c:layout>
                <c:manualLayout>
                  <c:x val="1.1482071423547215E-2"/>
                  <c:y val="0.3838057358047128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91C-4312-967A-8464811B0389}"/>
                </c:ext>
                <c:ext xmlns:c15="http://schemas.microsoft.com/office/drawing/2012/chart" uri="{CE6537A1-D6FC-4f65-9D91-7224C49458BB}"/>
              </c:extLst>
            </c:dLbl>
            <c:dLbl>
              <c:idx val="2"/>
              <c:layout>
                <c:manualLayout>
                  <c:x val="4.5928285694188864E-3"/>
                  <c:y val="0.397943881426456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91C-4312-967A-8464811B0389}"/>
                </c:ext>
                <c:ext xmlns:c15="http://schemas.microsoft.com/office/drawing/2012/chart" uri="{CE6537A1-D6FC-4f65-9D91-7224C49458BB}"/>
              </c:extLst>
            </c:dLbl>
            <c:dLbl>
              <c:idx val="3"/>
              <c:layout>
                <c:manualLayout>
                  <c:x val="4.5928285694188864E-3"/>
                  <c:y val="0.4362152125161927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91C-4312-967A-8464811B0389}"/>
                </c:ext>
                <c:ext xmlns:c15="http://schemas.microsoft.com/office/drawing/2012/chart" uri="{CE6537A1-D6FC-4f65-9D91-7224C49458BB}"/>
              </c:extLst>
            </c:dLbl>
            <c:dLbl>
              <c:idx val="4"/>
              <c:layout>
                <c:manualLayout>
                  <c:x val="4.5928285694188864E-3"/>
                  <c:y val="0.4790812273762632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991C-4312-967A-8464811B0389}"/>
                </c:ext>
                <c:ext xmlns:c15="http://schemas.microsoft.com/office/drawing/2012/chart" uri="{CE6537A1-D6FC-4f65-9D91-7224C49458BB}"/>
              </c:extLst>
            </c:dLbl>
            <c:dLbl>
              <c:idx val="5"/>
              <c:layout>
                <c:manualLayout>
                  <c:x val="6.8892428541283291E-3"/>
                  <c:y val="0.5261533233133376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991C-4312-967A-8464811B0389}"/>
                </c:ext>
                <c:ext xmlns:c15="http://schemas.microsoft.com/office/drawing/2012/chart" uri="{CE6537A1-D6FC-4f65-9D91-7224C49458BB}"/>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'платн. услуги'!$A$5:$A$10</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'платн. услуги'!$C$5:$C$10</c:f>
              <c:numCache>
                <c:formatCode>#\ ##0.0</c:formatCode>
                <c:ptCount val="6"/>
                <c:pt idx="0" formatCode="#,##0.00">
                  <c:v>163241.29999999999</c:v>
                </c:pt>
                <c:pt idx="1">
                  <c:v>133937.5</c:v>
                </c:pt>
                <c:pt idx="2">
                  <c:v>143198.9</c:v>
                </c:pt>
                <c:pt idx="3">
                  <c:v>156970.70000000001</c:v>
                </c:pt>
                <c:pt idx="4">
                  <c:v>172395.9</c:v>
                </c:pt>
                <c:pt idx="5">
                  <c:v>189334.7</c:v>
                </c:pt>
              </c:numCache>
            </c:numRef>
          </c:val>
          <c:extLst xmlns:c16r2="http://schemas.microsoft.com/office/drawing/2015/06/chart">
            <c:ext xmlns:c16="http://schemas.microsoft.com/office/drawing/2014/chart" uri="{C3380CC4-5D6E-409C-BE32-E72D297353CC}">
              <c16:uniqueId val="{00000008-991C-4312-967A-8464811B0389}"/>
            </c:ext>
          </c:extLst>
        </c:ser>
        <c:dLbls>
          <c:showLegendKey val="0"/>
          <c:showVal val="0"/>
          <c:showCatName val="0"/>
          <c:showSerName val="0"/>
          <c:showPercent val="0"/>
          <c:showBubbleSize val="0"/>
        </c:dLbls>
        <c:gapWidth val="39"/>
        <c:axId val="80295808"/>
        <c:axId val="80297344"/>
      </c:barChart>
      <c:lineChart>
        <c:grouping val="standard"/>
        <c:varyColors val="0"/>
        <c:ser>
          <c:idx val="2"/>
          <c:order val="2"/>
          <c:tx>
            <c:strRef>
              <c:f>'платн. услуги'!$D$4</c:f>
              <c:strCache>
                <c:ptCount val="1"/>
                <c:pt idx="0">
                  <c:v>Объем платных услуг (в %  к предыдущему году в сопоставимых ценах), консервативный вариант</c:v>
                </c:pt>
              </c:strCache>
            </c:strRef>
          </c:tx>
          <c:spPr>
            <a:ln w="28575" cap="rnd">
              <a:solidFill>
                <a:srgbClr val="FF0000"/>
              </a:solidFill>
              <a:round/>
            </a:ln>
            <a:effectLst/>
          </c:spPr>
          <c:marker>
            <c:symbol val="circle"/>
            <c:size val="5"/>
            <c:spPr>
              <a:solidFill>
                <a:srgbClr val="FF0000"/>
              </a:solidFill>
              <a:ln w="9525">
                <a:solidFill>
                  <a:schemeClr val="tx1"/>
                </a:solidFill>
              </a:ln>
              <a:effectLst/>
            </c:spPr>
          </c:marker>
          <c:dLbls>
            <c:dLbl>
              <c:idx val="0"/>
              <c:delete val="1"/>
              <c:extLst xmlns:c16r2="http://schemas.microsoft.com/office/drawing/2015/06/chart">
                <c:ext xmlns:c16="http://schemas.microsoft.com/office/drawing/2014/chart" uri="{C3380CC4-5D6E-409C-BE32-E72D297353CC}">
                  <c16:uniqueId val="{00000009-991C-4312-967A-8464811B0389}"/>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A-991C-4312-967A-8464811B0389}"/>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B-991C-4312-967A-8464811B0389}"/>
                </c:ext>
                <c:ext xmlns:c15="http://schemas.microsoft.com/office/drawing/2012/chart" uri="{CE6537A1-D6FC-4f65-9D91-7224C49458BB}"/>
              </c:extLst>
            </c:dLbl>
            <c:dLbl>
              <c:idx val="3"/>
              <c:layout>
                <c:manualLayout>
                  <c:x val="-4.5770068174573054E-2"/>
                  <c:y val="3.280820477865455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991C-4312-967A-8464811B0389}"/>
                </c:ext>
                <c:ext xmlns:c15="http://schemas.microsoft.com/office/drawing/2012/chart" uri="{CE6537A1-D6FC-4f65-9D91-7224C49458BB}"/>
              </c:extLst>
            </c:dLbl>
            <c:dLbl>
              <c:idx val="4"/>
              <c:layout>
                <c:manualLayout>
                  <c:x val="-4.5829377141926093E-2"/>
                  <c:y val="3.210630624933472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991C-4312-967A-8464811B0389}"/>
                </c:ext>
                <c:ext xmlns:c15="http://schemas.microsoft.com/office/drawing/2012/chart" uri="{CE6537A1-D6FC-4f65-9D91-7224C49458BB}"/>
              </c:extLst>
            </c:dLbl>
            <c:dLbl>
              <c:idx val="5"/>
              <c:layout>
                <c:manualLayout>
                  <c:x val="-6.4535803124532734E-2"/>
                  <c:y val="9.4435056116825303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A0797051-6A17-4673-800B-8C11C4A7E585}" type="VALUE">
                      <a:rPr lang="ru-RU" sz="900"/>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[ЗНАЧЕНИЕ]</a:t>
                    </a:fld>
                    <a:r>
                      <a:rPr lang="ru-RU" sz="900"/>
                      <a:t>;</a:t>
                    </a:r>
                  </a:p>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ru-RU" sz="900">
                        <a:solidFill>
                          <a:srgbClr val="FF0000"/>
                        </a:solidFill>
                      </a:rPr>
                      <a:t>консервативный вариант</a:t>
                    </a:r>
                  </a:p>
                </c:rich>
              </c:tx>
              <c:spPr>
                <a:solidFill>
                  <a:schemeClr val="bg1"/>
                </a:solidFill>
                <a:ln>
                  <a:solidFill>
                    <a:schemeClr val="tx1"/>
                  </a:solid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991C-4312-967A-8464811B0389}"/>
                </c:ext>
                <c:ext xmlns:c15="http://schemas.microsoft.com/office/drawing/2012/chart" uri="{CE6537A1-D6FC-4f65-9D91-7224C49458BB}">
                  <c15:layout>
                    <c:manualLayout>
                      <c:w val="0.16691564592089325"/>
                      <c:h val="0.13302397525135343"/>
                    </c:manualLayout>
                  </c15:layout>
                  <c15:dlblFieldTable/>
                  <c15:showDataLabelsRange val="0"/>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'платн. услуги'!$A$5:$A$10</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'платн. услуги'!$D$5:$D$10</c:f>
              <c:numCache>
                <c:formatCode>#,##0.00</c:formatCode>
                <c:ptCount val="6"/>
                <c:pt idx="0">
                  <c:v>100.1</c:v>
                </c:pt>
                <c:pt idx="1">
                  <c:v>79.099999999999994</c:v>
                </c:pt>
                <c:pt idx="2">
                  <c:v>103.1</c:v>
                </c:pt>
                <c:pt idx="3">
                  <c:v>104.7</c:v>
                </c:pt>
                <c:pt idx="4">
                  <c:v>104.8</c:v>
                </c:pt>
                <c:pt idx="5">
                  <c:v>104.9</c:v>
                </c:pt>
              </c:numCache>
            </c:numRef>
          </c:val>
          <c:smooth val="0"/>
          <c:extLst xmlns:c16r2="http://schemas.microsoft.com/office/drawing/2015/06/chart">
            <c:ext xmlns:c16="http://schemas.microsoft.com/office/drawing/2014/chart" uri="{C3380CC4-5D6E-409C-BE32-E72D297353CC}">
              <c16:uniqueId val="{0000000F-991C-4312-967A-8464811B0389}"/>
            </c:ext>
          </c:extLst>
        </c:ser>
        <c:ser>
          <c:idx val="3"/>
          <c:order val="3"/>
          <c:tx>
            <c:strRef>
              <c:f>'платн. услуги'!$E$4</c:f>
              <c:strCache>
                <c:ptCount val="1"/>
                <c:pt idx="0">
                  <c:v>Объем платных услуг (в %  к предыдущему году в сопоставимых ценах), базовый вариант  </c:v>
                </c:pt>
              </c:strCache>
            </c:strRef>
          </c:tx>
          <c:spPr>
            <a:ln w="28575" cap="rnd">
              <a:solidFill>
                <a:schemeClr val="accent5">
                  <a:lumMod val="75000"/>
                </a:schemeClr>
              </a:solidFill>
              <a:round/>
            </a:ln>
            <a:effectLst/>
          </c:spPr>
          <c:marker>
            <c:symbol val="circle"/>
            <c:size val="5"/>
            <c:spPr>
              <a:solidFill>
                <a:schemeClr val="tx2"/>
              </a:solidFill>
              <a:ln w="9525">
                <a:solidFill>
                  <a:schemeClr val="tx1"/>
                </a:solidFill>
              </a:ln>
              <a:effectLst/>
            </c:spPr>
          </c:marker>
          <c:dLbls>
            <c:dLbl>
              <c:idx val="0"/>
              <c:layout>
                <c:manualLayout>
                  <c:x val="-3.9040073487197152E-2"/>
                  <c:y val="-5.02706883217324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991C-4312-967A-8464811B0389}"/>
                </c:ext>
                <c:ext xmlns:c15="http://schemas.microsoft.com/office/drawing/2012/chart" uri="{CE6537A1-D6FC-4f65-9D91-7224C49458BB}"/>
              </c:extLst>
            </c:dLbl>
            <c:dLbl>
              <c:idx val="1"/>
              <c:layout>
                <c:manualLayout>
                  <c:x val="-3.4446214270641685E-2"/>
                  <c:y val="-7.46464401996466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991C-4312-967A-8464811B0389}"/>
                </c:ext>
                <c:ext xmlns:c15="http://schemas.microsoft.com/office/drawing/2012/chart" uri="{CE6537A1-D6FC-4f65-9D91-7224C49458BB}"/>
              </c:extLst>
            </c:dLbl>
            <c:dLbl>
              <c:idx val="2"/>
              <c:layout>
                <c:manualLayout>
                  <c:x val="-4.7453140943240414E-2"/>
                  <c:y val="-3.58735800614475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991C-4312-967A-8464811B0389}"/>
                </c:ext>
                <c:ext xmlns:c15="http://schemas.microsoft.com/office/drawing/2012/chart" uri="{CE6537A1-D6FC-4f65-9D91-7224C49458BB}"/>
              </c:extLst>
            </c:dLbl>
            <c:dLbl>
              <c:idx val="3"/>
              <c:layout>
                <c:manualLayout>
                  <c:x val="-4.5967885279098418E-2"/>
                  <c:y val="-3.127551713725809E-2"/>
                </c:manualLayout>
              </c:layout>
              <c:spPr>
                <a:solidFill>
                  <a:schemeClr val="bg1"/>
                </a:solidFill>
                <a:ln>
                  <a:solidFill>
                    <a:schemeClr val="tx1"/>
                  </a:solid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991C-4312-967A-8464811B0389}"/>
                </c:ext>
                <c:ext xmlns:c15="http://schemas.microsoft.com/office/drawing/2012/chart" uri="{CE6537A1-D6FC-4f65-9D91-7224C49458BB}">
                  <c15:layout>
                    <c:manualLayout>
                      <c:w val="7.0614739254815373E-2"/>
                      <c:h val="4.3972929115730953E-2"/>
                    </c:manualLayout>
                  </c15:layout>
                </c:ext>
              </c:extLst>
            </c:dLbl>
            <c:dLbl>
              <c:idx val="4"/>
              <c:layout>
                <c:manualLayout>
                  <c:x val="-4.5928285694188942E-2"/>
                  <c:y val="-3.374374766023768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991C-4312-967A-8464811B0389}"/>
                </c:ext>
                <c:ext xmlns:c15="http://schemas.microsoft.com/office/drawing/2012/chart" uri="{CE6537A1-D6FC-4f65-9D91-7224C49458BB}"/>
              </c:extLst>
            </c:dLbl>
            <c:dLbl>
              <c:idx val="5"/>
              <c:layout>
                <c:manualLayout>
                  <c:x val="-4.1335457124769971E-2"/>
                  <c:y val="-6.7696761491355756E-2"/>
                </c:manualLayout>
              </c:layout>
              <c:tx>
                <c:rich>
                  <a:bodyPr/>
                  <a:lstStyle/>
                  <a:p>
                    <a:fld id="{C9E0E206-5455-478B-A661-A313A63D3116}" type="VALUE">
                      <a:rPr lang="ru-RU"/>
                      <a:pPr/>
                      <a:t>[ЗНАЧЕНИЕ]</a:t>
                    </a:fld>
                    <a:r>
                      <a:rPr lang="ru-RU"/>
                      <a:t>; </a:t>
                    </a:r>
                  </a:p>
                  <a:p>
                    <a:r>
                      <a:rPr lang="ru-RU">
                        <a:solidFill>
                          <a:schemeClr val="tx2"/>
                        </a:solidFill>
                      </a:rPr>
                      <a:t>базовый вариант</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991C-4312-967A-8464811B0389}"/>
                </c:ext>
                <c:ext xmlns:c15="http://schemas.microsoft.com/office/drawing/2012/chart" uri="{CE6537A1-D6FC-4f65-9D91-7224C49458BB}">
                  <c15:dlblFieldTable/>
                  <c15:showDataLabelsRange val="0"/>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'платн. услуги'!$A$5:$A$10</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'платн. услуги'!$E$5:$E$10</c:f>
              <c:numCache>
                <c:formatCode>#,##0.00</c:formatCode>
                <c:ptCount val="6"/>
                <c:pt idx="0">
                  <c:v>100.1</c:v>
                </c:pt>
                <c:pt idx="1">
                  <c:v>79.099999999999994</c:v>
                </c:pt>
                <c:pt idx="2">
                  <c:v>103.1</c:v>
                </c:pt>
                <c:pt idx="3">
                  <c:v>105.3</c:v>
                </c:pt>
                <c:pt idx="4">
                  <c:v>105.4</c:v>
                </c:pt>
                <c:pt idx="5">
                  <c:v>105.5</c:v>
                </c:pt>
              </c:numCache>
            </c:numRef>
          </c:val>
          <c:smooth val="0"/>
          <c:extLst xmlns:c16r2="http://schemas.microsoft.com/office/drawing/2015/06/chart">
            <c:ext xmlns:c16="http://schemas.microsoft.com/office/drawing/2014/chart" uri="{C3380CC4-5D6E-409C-BE32-E72D297353CC}">
              <c16:uniqueId val="{00000016-991C-4312-967A-8464811B0389}"/>
            </c:ext>
          </c:extLst>
        </c:ser>
        <c:dLbls>
          <c:showLegendKey val="0"/>
          <c:showVal val="0"/>
          <c:showCatName val="0"/>
          <c:showSerName val="0"/>
          <c:showPercent val="0"/>
          <c:showBubbleSize val="0"/>
        </c:dLbls>
        <c:marker val="1"/>
        <c:smooth val="0"/>
        <c:axId val="80337920"/>
        <c:axId val="80336384"/>
      </c:lineChart>
      <c:catAx>
        <c:axId val="80295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80297344"/>
        <c:crosses val="autoZero"/>
        <c:auto val="1"/>
        <c:lblAlgn val="ctr"/>
        <c:lblOffset val="100"/>
        <c:noMultiLvlLbl val="0"/>
      </c:catAx>
      <c:valAx>
        <c:axId val="80297344"/>
        <c:scaling>
          <c:orientation val="minMax"/>
          <c:max val="190000"/>
          <c:min val="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80295808"/>
        <c:crosses val="autoZero"/>
        <c:crossBetween val="between"/>
        <c:dispUnits>
          <c:builtInUnit val="thousands"/>
        </c:dispUnits>
      </c:valAx>
      <c:valAx>
        <c:axId val="80336384"/>
        <c:scaling>
          <c:orientation val="minMax"/>
          <c:max val="106"/>
          <c:min val="77"/>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80337920"/>
        <c:crosses val="max"/>
        <c:crossBetween val="between"/>
      </c:valAx>
      <c:catAx>
        <c:axId val="80337920"/>
        <c:scaling>
          <c:orientation val="minMax"/>
        </c:scaling>
        <c:delete val="1"/>
        <c:axPos val="b"/>
        <c:numFmt formatCode="General" sourceLinked="1"/>
        <c:majorTickMark val="out"/>
        <c:minorTickMark val="none"/>
        <c:tickLblPos val="nextTo"/>
        <c:crossAx val="80336384"/>
        <c:crosses val="autoZero"/>
        <c:auto val="1"/>
        <c:lblAlgn val="ctr"/>
        <c:lblOffset val="100"/>
        <c:noMultiLvlLbl val="0"/>
      </c:catAx>
      <c:spPr>
        <a:noFill/>
        <a:ln>
          <a:noFill/>
        </a:ln>
        <a:effectLst/>
      </c:spPr>
    </c:plotArea>
    <c:legend>
      <c:legendPos val="b"/>
      <c:layout>
        <c:manualLayout>
          <c:xMode val="edge"/>
          <c:yMode val="edge"/>
          <c:x val="1.0860600159077274E-2"/>
          <c:y val="0.78608194808982212"/>
          <c:w val="0.9874863067174251"/>
          <c:h val="0.20472936716243803"/>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'с_х-во'!$A$1</c:f>
          <c:strCache>
            <c:ptCount val="1"/>
            <c:pt idx="0">
              <c:v>Объем продукции сельского хозяйства</c:v>
            </c:pt>
          </c:strCache>
        </c:strRef>
      </c:tx>
      <c:layout>
        <c:manualLayout>
          <c:xMode val="edge"/>
          <c:yMode val="edge"/>
          <c:x val="0.26517390359513721"/>
          <c:y val="0"/>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9.7782836360850903E-2"/>
          <c:y val="0.13201963542548284"/>
          <c:w val="0.8040080736798334"/>
          <c:h val="0.47626675927925616"/>
        </c:manualLayout>
      </c:layout>
      <c:barChart>
        <c:barDir val="col"/>
        <c:grouping val="clustered"/>
        <c:varyColors val="0"/>
        <c:ser>
          <c:idx val="0"/>
          <c:order val="0"/>
          <c:tx>
            <c:strRef>
              <c:f>'с_х-во'!$B$2</c:f>
              <c:strCache>
                <c:ptCount val="1"/>
                <c:pt idx="0">
                  <c:v>Объем продукции сельского хозяйства (млрд рублей), консервативный вариант</c:v>
                </c:pt>
              </c:strCache>
            </c:strRef>
          </c:tx>
          <c:spPr>
            <a:solidFill>
              <a:srgbClr val="C0504D">
                <a:lumMod val="60000"/>
                <a:lumOff val="40000"/>
              </a:srgbClr>
            </a:solidFill>
            <a:ln>
              <a:noFill/>
            </a:ln>
            <a:effectLst/>
          </c:spPr>
          <c:invertIfNegative val="0"/>
          <c:dLbls>
            <c:dLbl>
              <c:idx val="0"/>
              <c:layout>
                <c:manualLayout>
                  <c:x val="-1.1171848128524767E-2"/>
                  <c:y val="0.3310484356846287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1404-4B26-A159-A29409B8808E}"/>
                </c:ext>
                <c:ext xmlns:c15="http://schemas.microsoft.com/office/drawing/2012/chart" uri="{CE6537A1-D6FC-4f65-9D91-7224C49458BB}"/>
              </c:extLst>
            </c:dLbl>
            <c:numFmt formatCode="#,##0.00" sourceLinked="0"/>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'с_х-во'!$A$3:$A$8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'с_х-во'!$B$3:$B$8</c:f>
              <c:numCache>
                <c:formatCode>#,##0.00</c:formatCode>
                <c:ptCount val="6"/>
                <c:pt idx="0">
                  <c:v>38143.300000000003</c:v>
                </c:pt>
                <c:pt idx="1">
                  <c:v>44468.4</c:v>
                </c:pt>
                <c:pt idx="2">
                  <c:v>47885.8</c:v>
                </c:pt>
                <c:pt idx="3">
                  <c:v>50550.6</c:v>
                </c:pt>
                <c:pt idx="4">
                  <c:v>53302.9</c:v>
                </c:pt>
                <c:pt idx="5">
                  <c:v>56274.9</c:v>
                </c:pt>
              </c:numCache>
            </c:numRef>
          </c:val>
          <c:extLst xmlns:c16r2="http://schemas.microsoft.com/office/drawing/2015/06/chart">
            <c:ext xmlns:c16="http://schemas.microsoft.com/office/drawing/2014/chart" uri="{C3380CC4-5D6E-409C-BE32-E72D297353CC}">
              <c16:uniqueId val="{00000001-1404-4B26-A159-A29409B8808E}"/>
            </c:ext>
          </c:extLst>
        </c:ser>
        <c:ser>
          <c:idx val="1"/>
          <c:order val="1"/>
          <c:tx>
            <c:strRef>
              <c:f>'с_х-во'!$C$2</c:f>
              <c:strCache>
                <c:ptCount val="1"/>
                <c:pt idx="0">
                  <c:v>Объем продукции сельского хозяйства  (млрд рублей), базовый вариант</c:v>
                </c:pt>
              </c:strCache>
            </c:strRef>
          </c:tx>
          <c:spPr>
            <a:solidFill>
              <a:srgbClr val="7F4B5B"/>
            </a:solidFill>
            <a:ln>
              <a:noFill/>
            </a:ln>
            <a:effectLst/>
          </c:spPr>
          <c:invertIfNegative val="0"/>
          <c:dLbls>
            <c:dLbl>
              <c:idx val="0"/>
              <c:layout>
                <c:manualLayout>
                  <c:x val="6.7030736899145564E-3"/>
                  <c:y val="0.3310484356846287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1404-4B26-A159-A29409B8808E}"/>
                </c:ext>
                <c:ext xmlns:c15="http://schemas.microsoft.com/office/drawing/2012/chart" uri="{CE6537A1-D6FC-4f65-9D91-7224C49458BB}"/>
              </c:extLst>
            </c:dLbl>
            <c:dLbl>
              <c:idx val="1"/>
              <c:layout>
                <c:manualLayout>
                  <c:x val="6.4044548095440312E-3"/>
                  <c:y val="0.3484680982705182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1404-4B26-A159-A29409B8808E}"/>
                </c:ext>
                <c:ext xmlns:c15="http://schemas.microsoft.com/office/drawing/2012/chart" uri="{CE6537A1-D6FC-4f65-9D91-7224C49458BB}"/>
              </c:extLst>
            </c:dLbl>
            <c:numFmt formatCode="#,##0.00" sourceLinked="0"/>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'с_х-во'!$A$3:$A$8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'с_х-во'!$C$3:$C$8</c:f>
              <c:numCache>
                <c:formatCode>#,##0.00</c:formatCode>
                <c:ptCount val="6"/>
                <c:pt idx="0">
                  <c:v>38143.300000000003</c:v>
                </c:pt>
                <c:pt idx="1">
                  <c:v>44468.4</c:v>
                </c:pt>
                <c:pt idx="2">
                  <c:v>47885.8</c:v>
                </c:pt>
                <c:pt idx="3">
                  <c:v>51441.2</c:v>
                </c:pt>
                <c:pt idx="4">
                  <c:v>54776.4</c:v>
                </c:pt>
                <c:pt idx="5">
                  <c:v>58601.2</c:v>
                </c:pt>
              </c:numCache>
            </c:numRef>
          </c:val>
          <c:extLst xmlns:c16r2="http://schemas.microsoft.com/office/drawing/2015/06/chart">
            <c:ext xmlns:c16="http://schemas.microsoft.com/office/drawing/2014/chart" uri="{C3380CC4-5D6E-409C-BE32-E72D297353CC}">
              <c16:uniqueId val="{00000004-1404-4B26-A159-A29409B8808E}"/>
            </c:ext>
          </c:extLst>
        </c:ser>
        <c:dLbls>
          <c:showLegendKey val="0"/>
          <c:showVal val="0"/>
          <c:showCatName val="0"/>
          <c:showSerName val="0"/>
          <c:showPercent val="0"/>
          <c:showBubbleSize val="0"/>
        </c:dLbls>
        <c:gapWidth val="47"/>
        <c:axId val="80420864"/>
        <c:axId val="80422400"/>
      </c:barChart>
      <c:lineChart>
        <c:grouping val="standard"/>
        <c:varyColors val="0"/>
        <c:ser>
          <c:idx val="2"/>
          <c:order val="2"/>
          <c:tx>
            <c:strRef>
              <c:f>'с_х-во'!$D$2</c:f>
              <c:strCache>
                <c:ptCount val="1"/>
                <c:pt idx="0">
                  <c:v>Индекс производства продукции сельского хозяйства  (в %  к предыдущему году в сопоставимых ценах), консервативный вариант</c:v>
                </c:pt>
              </c:strCache>
            </c:strRef>
          </c:tx>
          <c:spPr>
            <a:ln w="38100" cap="rnd">
              <a:solidFill>
                <a:srgbClr val="92D050"/>
              </a:solidFill>
              <a:round/>
            </a:ln>
            <a:effectLst/>
          </c:spPr>
          <c:marker>
            <c:symbol val="circle"/>
            <c:size val="7"/>
            <c:spPr>
              <a:solidFill>
                <a:srgbClr val="24CA38"/>
              </a:solidFill>
              <a:ln w="9525">
                <a:solidFill>
                  <a:srgbClr val="00B0F0"/>
                </a:solidFill>
              </a:ln>
              <a:effectLst/>
            </c:spPr>
          </c:marker>
          <c:dLbls>
            <c:dLbl>
              <c:idx val="0"/>
              <c:delete val="1"/>
              <c:extLst xmlns:c16r2="http://schemas.microsoft.com/office/drawing/2015/06/chart">
                <c:ext xmlns:c16="http://schemas.microsoft.com/office/drawing/2014/chart" uri="{C3380CC4-5D6E-409C-BE32-E72D297353CC}">
                  <c16:uniqueId val="{00000005-1404-4B26-A159-A29409B8808E}"/>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6-1404-4B26-A159-A29409B8808E}"/>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7-1404-4B26-A159-A29409B8808E}"/>
                </c:ext>
                <c:ext xmlns:c15="http://schemas.microsoft.com/office/drawing/2012/chart" uri="{CE6537A1-D6FC-4f65-9D91-7224C49458BB}"/>
              </c:extLst>
            </c:dLbl>
            <c:dLbl>
              <c:idx val="5"/>
              <c:layout>
                <c:manualLayout>
                  <c:x val="-8.3159258620420062E-2"/>
                  <c:y val="7.6886721579980097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7EBED879-A48C-4F68-AC5D-1D0C289E6DE4}" type="VALUE">
                      <a:rPr lang="ru-RU" sz="900"/>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[ЗНАЧЕНИЕ]</a:t>
                    </a:fld>
                    <a:r>
                      <a:rPr lang="ru-RU" sz="900"/>
                      <a:t>;</a:t>
                    </a:r>
                  </a:p>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ru-RU" sz="900">
                        <a:solidFill>
                          <a:srgbClr val="6BB567"/>
                        </a:solidFill>
                      </a:rPr>
                      <a:t>консерв. вариант</a:t>
                    </a:r>
                  </a:p>
                </c:rich>
              </c:tx>
              <c:spPr>
                <a:solidFill>
                  <a:sysClr val="window" lastClr="FFFFFF"/>
                </a:solidFill>
                <a:ln>
                  <a:solidFill>
                    <a:sysClr val="windowText" lastClr="000000"/>
                  </a:solidFill>
                </a:ln>
                <a:effectLst/>
              </c:sp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1404-4B26-A159-A29409B8808E}"/>
                </c:ext>
                <c:ext xmlns:c15="http://schemas.microsoft.com/office/drawing/2012/chart" uri="{CE6537A1-D6FC-4f65-9D91-7224C49458BB}">
                  <c15:layout>
                    <c:manualLayout>
                      <c:w val="0.1522060482632121"/>
                      <c:h val="0.11688740588892474"/>
                    </c:manualLayout>
                  </c15:layout>
                  <c15:dlblFieldTable/>
                  <c15:showDataLabelsRange val="0"/>
                </c:ext>
              </c:extLst>
            </c:dLbl>
            <c:spPr>
              <a:solidFill>
                <a:schemeClr val="bg1"/>
              </a:solid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'с_х-во'!$A$3:$A$8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'с_х-во'!$D$3:$D$8</c:f>
              <c:numCache>
                <c:formatCode>#,##0.00</c:formatCode>
                <c:ptCount val="6"/>
                <c:pt idx="0">
                  <c:v>89.5</c:v>
                </c:pt>
                <c:pt idx="1">
                  <c:v>104.3</c:v>
                </c:pt>
                <c:pt idx="2">
                  <c:v>104.8</c:v>
                </c:pt>
                <c:pt idx="3">
                  <c:v>102.4</c:v>
                </c:pt>
                <c:pt idx="4">
                  <c:v>102.4</c:v>
                </c:pt>
                <c:pt idx="5">
                  <c:v>102.6</c:v>
                </c:pt>
              </c:numCache>
            </c:numRef>
          </c:val>
          <c:smooth val="0"/>
          <c:extLst xmlns:c16r2="http://schemas.microsoft.com/office/drawing/2015/06/chart">
            <c:ext xmlns:c16="http://schemas.microsoft.com/office/drawing/2014/chart" uri="{C3380CC4-5D6E-409C-BE32-E72D297353CC}">
              <c16:uniqueId val="{00000009-1404-4B26-A159-A29409B8808E}"/>
            </c:ext>
          </c:extLst>
        </c:ser>
        <c:ser>
          <c:idx val="3"/>
          <c:order val="3"/>
          <c:tx>
            <c:strRef>
              <c:f>'с_х-во'!$E$2</c:f>
              <c:strCache>
                <c:ptCount val="1"/>
                <c:pt idx="0">
                  <c:v>Индекс производства продукции сельского хозяйства  (в %  к предыдущему году в сопоставимых ценах), базовый вариант  </c:v>
                </c:pt>
              </c:strCache>
            </c:strRef>
          </c:tx>
          <c:spPr>
            <a:ln w="38100" cap="rnd">
              <a:solidFill>
                <a:srgbClr val="7030A0"/>
              </a:solidFill>
              <a:round/>
            </a:ln>
            <a:effectLst/>
          </c:spPr>
          <c:marker>
            <c:symbol val="circle"/>
            <c:size val="7"/>
            <c:spPr>
              <a:solidFill>
                <a:srgbClr val="7030A0"/>
              </a:solidFill>
              <a:ln w="9525">
                <a:solidFill>
                  <a:srgbClr val="8064A2">
                    <a:lumMod val="75000"/>
                  </a:srgbClr>
                </a:solidFill>
              </a:ln>
              <a:effectLst/>
            </c:spPr>
          </c:marker>
          <c:dLbls>
            <c:dLbl>
              <c:idx val="0"/>
              <c:layout>
                <c:manualLayout>
                  <c:x val="1.6530242958821301E-2"/>
                  <c:y val="-5.020209428289629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1404-4B26-A159-A29409B8808E}"/>
                </c:ext>
                <c:ext xmlns:c15="http://schemas.microsoft.com/office/drawing/2012/chart" uri="{CE6537A1-D6FC-4f65-9D91-7224C49458BB}"/>
              </c:extLst>
            </c:dLbl>
            <c:dLbl>
              <c:idx val="1"/>
              <c:layout>
                <c:manualLayout>
                  <c:x val="-6.8803747284213818E-2"/>
                  <c:y val="-2.923976608187134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1404-4B26-A159-A29409B8808E}"/>
                </c:ext>
                <c:ext xmlns:c15="http://schemas.microsoft.com/office/drawing/2012/chart" uri="{CE6537A1-D6FC-4f65-9D91-7224C49458BB}"/>
              </c:extLst>
            </c:dLbl>
            <c:dLbl>
              <c:idx val="2"/>
              <c:layout>
                <c:manualLayout>
                  <c:x val="-4.7954146368269474E-2"/>
                  <c:y val="-3.533471863089019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1404-4B26-A159-A29409B8808E}"/>
                </c:ext>
                <c:ext xmlns:c15="http://schemas.microsoft.com/office/drawing/2012/chart" uri="{CE6537A1-D6FC-4f65-9D91-7224C49458BB}"/>
              </c:extLst>
            </c:dLbl>
            <c:dLbl>
              <c:idx val="3"/>
              <c:layout>
                <c:manualLayout>
                  <c:x val="-2.537802685841176E-2"/>
                  <c:y val="-4.14200078214834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1404-4B26-A159-A29409B8808E}"/>
                </c:ext>
                <c:ext xmlns:c15="http://schemas.microsoft.com/office/drawing/2012/chart" uri="{CE6537A1-D6FC-4f65-9D91-7224C49458BB}"/>
              </c:extLst>
            </c:dLbl>
            <c:dLbl>
              <c:idx val="4"/>
              <c:layout>
                <c:manualLayout>
                  <c:x val="-5.2870889288357752E-2"/>
                  <c:y val="-4.14920938811484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1404-4B26-A159-A29409B8808E}"/>
                </c:ext>
                <c:ext xmlns:c15="http://schemas.microsoft.com/office/drawing/2012/chart" uri="{CE6537A1-D6FC-4f65-9D91-7224C49458BB}"/>
              </c:extLst>
            </c:dLbl>
            <c:dLbl>
              <c:idx val="5"/>
              <c:layout>
                <c:manualLayout>
                  <c:x val="-6.5057254593731087E-2"/>
                  <c:y val="-0.10759997198274604"/>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5464376F-D096-42A2-9F85-3953C9406859}" type="VALUE">
                      <a:rPr lang="ru-RU" sz="900"/>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[ЗНАЧЕНИЕ]</a:t>
                    </a:fld>
                    <a:r>
                      <a:rPr lang="ru-RU" sz="900"/>
                      <a:t>;</a:t>
                    </a:r>
                  </a:p>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ru-RU" sz="900">
                        <a:solidFill>
                          <a:srgbClr val="7030A0"/>
                        </a:solidFill>
                      </a:rPr>
                      <a:t> базовый вариант</a:t>
                    </a:r>
                  </a:p>
                </c:rich>
              </c:tx>
              <c:spPr>
                <a:solidFill>
                  <a:sysClr val="window" lastClr="FFFFFF"/>
                </a:solidFill>
                <a:ln>
                  <a:solidFill>
                    <a:sysClr val="windowText" lastClr="000000"/>
                  </a:solid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1404-4B26-A159-A29409B8808E}"/>
                </c:ext>
                <c:ext xmlns:c15="http://schemas.microsoft.com/office/drawing/2012/chart" uri="{CE6537A1-D6FC-4f65-9D91-7224C49458BB}">
                  <c15:layout>
                    <c:manualLayout>
                      <c:w val="0.15784616486225672"/>
                      <c:h val="9.7500043776959311E-2"/>
                    </c:manualLayout>
                  </c15:layout>
                  <c15:dlblFieldTable/>
                  <c15:showDataLabelsRange val="0"/>
                </c:ext>
              </c:extLst>
            </c:dLbl>
            <c:spPr>
              <a:solidFill>
                <a:sysClr val="window" lastClr="FFFFFF"/>
              </a:solidFill>
              <a:ln>
                <a:solidFill>
                  <a:sysClr val="windowText" lastClr="000000"/>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'с_х-во'!$A$3:$A$8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'с_х-во'!$E$3:$E$8</c:f>
              <c:numCache>
                <c:formatCode>#,##0.00</c:formatCode>
                <c:ptCount val="6"/>
                <c:pt idx="0">
                  <c:v>89.5</c:v>
                </c:pt>
                <c:pt idx="1">
                  <c:v>104.3</c:v>
                </c:pt>
                <c:pt idx="2">
                  <c:v>104.8</c:v>
                </c:pt>
                <c:pt idx="3">
                  <c:v>105</c:v>
                </c:pt>
                <c:pt idx="4">
                  <c:v>104.3</c:v>
                </c:pt>
                <c:pt idx="5">
                  <c:v>104.1</c:v>
                </c:pt>
              </c:numCache>
            </c:numRef>
          </c:val>
          <c:smooth val="0"/>
          <c:extLst xmlns:c16r2="http://schemas.microsoft.com/office/drawing/2015/06/chart">
            <c:ext xmlns:c16="http://schemas.microsoft.com/office/drawing/2014/chart" uri="{C3380CC4-5D6E-409C-BE32-E72D297353CC}">
              <c16:uniqueId val="{00000010-1404-4B26-A159-A29409B8808E}"/>
            </c:ext>
          </c:extLst>
        </c:ser>
        <c:dLbls>
          <c:showLegendKey val="0"/>
          <c:showVal val="0"/>
          <c:showCatName val="0"/>
          <c:showSerName val="0"/>
          <c:showPercent val="0"/>
          <c:showBubbleSize val="0"/>
        </c:dLbls>
        <c:marker val="1"/>
        <c:smooth val="0"/>
        <c:axId val="80438400"/>
        <c:axId val="80424320"/>
      </c:lineChart>
      <c:catAx>
        <c:axId val="80420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0422400"/>
        <c:crossesAt val="0"/>
        <c:auto val="1"/>
        <c:lblAlgn val="ctr"/>
        <c:lblOffset val="100"/>
        <c:noMultiLvlLbl val="0"/>
      </c:catAx>
      <c:valAx>
        <c:axId val="80422400"/>
        <c:scaling>
          <c:orientation val="minMax"/>
          <c:max val="6000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80420864"/>
        <c:crosses val="autoZero"/>
        <c:crossBetween val="between"/>
        <c:dispUnits>
          <c:builtInUnit val="thousands"/>
        </c:dispUnits>
      </c:valAx>
      <c:valAx>
        <c:axId val="80424320"/>
        <c:scaling>
          <c:orientation val="minMax"/>
          <c:max val="106"/>
          <c:min val="88"/>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lumMod val="50000"/>
                  </a:schemeClr>
                </a:solidFill>
                <a:latin typeface="Times New Roman" panose="02020603050405020304" pitchFamily="18" charset="0"/>
                <a:ea typeface="+mn-ea"/>
                <a:cs typeface="Times New Roman" panose="02020603050405020304" pitchFamily="18" charset="0"/>
              </a:defRPr>
            </a:pPr>
            <a:endParaRPr lang="ru-RU"/>
          </a:p>
        </c:txPr>
        <c:crossAx val="80438400"/>
        <c:crosses val="max"/>
        <c:crossBetween val="between"/>
      </c:valAx>
      <c:catAx>
        <c:axId val="80438400"/>
        <c:scaling>
          <c:orientation val="minMax"/>
        </c:scaling>
        <c:delete val="1"/>
        <c:axPos val="b"/>
        <c:numFmt formatCode="General" sourceLinked="1"/>
        <c:majorTickMark val="out"/>
        <c:minorTickMark val="none"/>
        <c:tickLblPos val="nextTo"/>
        <c:crossAx val="80424320"/>
        <c:crosses val="autoZero"/>
        <c:auto val="1"/>
        <c:lblAlgn val="ctr"/>
        <c:lblOffset val="100"/>
        <c:noMultiLvlLbl val="0"/>
      </c:catAx>
      <c:spPr>
        <a:noFill/>
        <a:ln>
          <a:noFill/>
        </a:ln>
        <a:effectLst/>
      </c:spPr>
    </c:plotArea>
    <c:legend>
      <c:legendPos val="b"/>
      <c:layout>
        <c:manualLayout>
          <c:xMode val="edge"/>
          <c:yMode val="edge"/>
          <c:x val="0"/>
          <c:y val="0.73761608190377237"/>
          <c:w val="0.99965428575701298"/>
          <c:h val="0.2623839180962275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9784502743608662E-2"/>
          <c:y val="0.14922887327256135"/>
          <c:w val="0.87644368879331025"/>
          <c:h val="0.49298842678222271"/>
        </c:manualLayout>
      </c:layout>
      <c:lineChart>
        <c:grouping val="standard"/>
        <c:varyColors val="0"/>
        <c:ser>
          <c:idx val="0"/>
          <c:order val="0"/>
          <c:tx>
            <c:strRef>
              <c:f>'Инд потр. цен.'!$B$1</c:f>
              <c:strCache>
                <c:ptCount val="1"/>
                <c:pt idx="0">
                  <c:v>Индекс потребительских цен в среднем за год </c:v>
                </c:pt>
              </c:strCache>
            </c:strRef>
          </c:tx>
          <c:spPr>
            <a:ln w="38100" cap="rnd">
              <a:solidFill>
                <a:schemeClr val="accent1"/>
              </a:solidFill>
              <a:round/>
            </a:ln>
            <a:effectLst/>
          </c:spPr>
          <c:marker>
            <c:symbol val="circle"/>
            <c:size val="7"/>
            <c:spPr>
              <a:solidFill>
                <a:schemeClr val="accent1"/>
              </a:solidFill>
              <a:ln w="9525">
                <a:solidFill>
                  <a:schemeClr val="accent1"/>
                </a:solidFill>
              </a:ln>
              <a:effectLst/>
            </c:spPr>
          </c:marker>
          <c:dLbls>
            <c:dLbl>
              <c:idx val="5"/>
              <c:layout>
                <c:manualLayout>
                  <c:x val="-2.8657708109067014E-4"/>
                  <c:y val="-0.11396758200923811"/>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3D1FC167-FD35-4452-A53B-C6319AD77729}" type="SERIESNAME">
                      <a:rPr lang="ru-RU">
                        <a:solidFill>
                          <a:schemeClr val="tx2">
                            <a:lumMod val="75000"/>
                          </a:schemeClr>
                        </a:solidFill>
                      </a:rPr>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[ИМЯ РЯДА]</a:t>
                    </a:fld>
                    <a:endParaRPr lang="ru-RU" baseline="0">
                      <a:solidFill>
                        <a:schemeClr val="tx2">
                          <a:lumMod val="75000"/>
                        </a:schemeClr>
                      </a:solidFill>
                    </a:endParaRPr>
                  </a:p>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22590765-3BCD-4DCE-8846-EFA1E922D811}" type="VALUE">
                      <a:rPr lang="ru-RU"/>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[ЗНАЧЕНИЕ]</a:t>
                    </a:fld>
                    <a:endParaRPr lang="ru-RU"/>
                  </a:p>
                </c:rich>
              </c:tx>
              <c:numFmt formatCode="#,##0.00" sourceLinked="0"/>
              <c:spPr>
                <a:noFill/>
                <a:ln>
                  <a:noFill/>
                </a:ln>
                <a:effectLst/>
              </c:spPr>
              <c:dLblPos val="r"/>
              <c:showLegendKey val="0"/>
              <c:showVal val="1"/>
              <c:showCatName val="0"/>
              <c:showSerName val="1"/>
              <c:showPercent val="0"/>
              <c:showBubbleSize val="0"/>
              <c:separator>
</c:separator>
              <c:extLst xmlns:c16r2="http://schemas.microsoft.com/office/drawing/2015/06/chart">
                <c:ext xmlns:c16="http://schemas.microsoft.com/office/drawing/2014/chart" uri="{C3380CC4-5D6E-409C-BE32-E72D297353CC}">
                  <c16:uniqueId val="{00000000-468C-4E61-AE90-78C89B6CA033}"/>
                </c:ext>
                <c:ext xmlns:c15="http://schemas.microsoft.com/office/drawing/2012/chart" uri="{CE6537A1-D6FC-4f65-9D91-7224C49458BB}">
                  <c15:layout>
                    <c:manualLayout>
                      <c:w val="0.22013409614120816"/>
                      <c:h val="0.17356964788003648"/>
                    </c:manualLayout>
                  </c15:layout>
                  <c15:dlblFieldTable/>
                  <c15:showDataLabelsRange val="0"/>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'Инд потр. цен.'!$A$2:$A$7</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'Инд потр. цен.'!$B$2:$B$7</c:f>
              <c:numCache>
                <c:formatCode>#\ ##0.0</c:formatCode>
                <c:ptCount val="6"/>
                <c:pt idx="0" formatCode="#,##0.00">
                  <c:v>104.2</c:v>
                </c:pt>
                <c:pt idx="1">
                  <c:v>103.7</c:v>
                </c:pt>
                <c:pt idx="2" formatCode="#,##0.00">
                  <c:v>104.8</c:v>
                </c:pt>
                <c:pt idx="3" formatCode="#,##0.00">
                  <c:v>104</c:v>
                </c:pt>
                <c:pt idx="4" formatCode="#,##0.00">
                  <c:v>104</c:v>
                </c:pt>
                <c:pt idx="5" formatCode="#,##0.00">
                  <c:v>104</c:v>
                </c:pt>
              </c:numCache>
            </c:numRef>
          </c:val>
          <c:smooth val="1"/>
          <c:extLst xmlns:c16r2="http://schemas.microsoft.com/office/drawing/2015/06/chart">
            <c:ext xmlns:c16="http://schemas.microsoft.com/office/drawing/2014/chart" uri="{C3380CC4-5D6E-409C-BE32-E72D297353CC}">
              <c16:uniqueId val="{00000001-468C-4E61-AE90-78C89B6CA033}"/>
            </c:ext>
          </c:extLst>
        </c:ser>
        <c:ser>
          <c:idx val="1"/>
          <c:order val="1"/>
          <c:tx>
            <c:strRef>
              <c:f>'Инд потр. цен.'!$C$1</c:f>
              <c:strCache>
                <c:ptCount val="1"/>
                <c:pt idx="0">
                  <c:v>Реальные располагаемые денежные доходы населения (в % к предыдущему году), консервативный вариант</c:v>
                </c:pt>
              </c:strCache>
            </c:strRef>
          </c:tx>
          <c:spPr>
            <a:ln w="38100" cap="rnd">
              <a:solidFill>
                <a:schemeClr val="accent2"/>
              </a:solidFill>
              <a:round/>
            </a:ln>
            <a:effectLst/>
          </c:spPr>
          <c:marker>
            <c:symbol val="circle"/>
            <c:size val="7"/>
            <c:spPr>
              <a:solidFill>
                <a:schemeClr val="accent2"/>
              </a:solidFill>
              <a:ln w="9525">
                <a:solidFill>
                  <a:schemeClr val="accent2"/>
                </a:solidFill>
              </a:ln>
              <a:effectLst/>
            </c:spPr>
          </c:marker>
          <c:dLbls>
            <c:dLbl>
              <c:idx val="0"/>
              <c:layout>
                <c:manualLayout>
                  <c:x val="-3.5763998250218726E-2"/>
                  <c:y val="-3.922776854728024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468C-4E61-AE90-78C89B6CA033}"/>
                </c:ext>
                <c:ext xmlns:c15="http://schemas.microsoft.com/office/drawing/2012/chart" uri="{CE6537A1-D6FC-4f65-9D91-7224C49458BB}"/>
              </c:extLst>
            </c:dLbl>
            <c:dLbl>
              <c:idx val="1"/>
              <c:layout>
                <c:manualLayout>
                  <c:x val="-3.8323126275882219E-2"/>
                  <c:y val="3.550617691113211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468C-4E61-AE90-78C89B6CA033}"/>
                </c:ext>
                <c:ext xmlns:c15="http://schemas.microsoft.com/office/drawing/2012/chart" uri="{CE6537A1-D6FC-4f65-9D91-7224C49458BB}"/>
              </c:extLst>
            </c:dLbl>
            <c:dLbl>
              <c:idx val="3"/>
              <c:layout>
                <c:manualLayout>
                  <c:x val="-1.6146852611165614E-2"/>
                  <c:y val="3.2015729216643578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468C-4E61-AE90-78C89B6CA033}"/>
                </c:ext>
                <c:ext xmlns:c15="http://schemas.microsoft.com/office/drawing/2012/chart" uri="{CE6537A1-D6FC-4f65-9D91-7224C49458BB}"/>
              </c:extLst>
            </c:dLbl>
            <c:dLbl>
              <c:idx val="5"/>
              <c:layout>
                <c:manualLayout>
                  <c:x val="-6.2787151606049391E-2"/>
                  <c:y val="0.15946264781418451"/>
                </c:manualLayout>
              </c:layout>
              <c:tx>
                <c:rich>
                  <a:bodyPr/>
                  <a:lstStyle/>
                  <a:p>
                    <a:fld id="{C4DFEB92-91C7-4BD8-8B4B-3D028804BAF9}" type="VALUE">
                      <a:rPr lang="ru-RU"/>
                      <a:pPr/>
                      <a:t>[ЗНАЧЕНИЕ]</a:t>
                    </a:fld>
                    <a:r>
                      <a:rPr lang="ru-RU"/>
                      <a:t>;</a:t>
                    </a:r>
                  </a:p>
                  <a:p>
                    <a:r>
                      <a:rPr lang="ru-RU"/>
                      <a:t> </a:t>
                    </a:r>
                    <a:r>
                      <a:rPr lang="ru-RU">
                        <a:solidFill>
                          <a:srgbClr val="C00000"/>
                        </a:solidFill>
                      </a:rPr>
                      <a:t>консервативный</a:t>
                    </a:r>
                    <a:r>
                      <a:rPr lang="ru-RU" baseline="0">
                        <a:solidFill>
                          <a:srgbClr val="C00000"/>
                        </a:solidFill>
                      </a:rPr>
                      <a:t>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468C-4E61-AE90-78C89B6CA033}"/>
                </c:ext>
                <c:ext xmlns:c15="http://schemas.microsoft.com/office/drawing/2012/chart" uri="{CE6537A1-D6FC-4f65-9D91-7224C49458BB}">
                  <c15:dlblFieldTable/>
                  <c15:showDataLabelsRange val="0"/>
                </c:ext>
              </c:extLst>
            </c:dLbl>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strRef>
              <c:f>'Инд потр. цен.'!$A$2:$A$7</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'Инд потр. цен.'!$C$2:$C$7</c:f>
              <c:numCache>
                <c:formatCode>#,##0.00</c:formatCode>
                <c:ptCount val="6"/>
                <c:pt idx="0">
                  <c:v>100.7</c:v>
                </c:pt>
                <c:pt idx="1">
                  <c:v>96.7</c:v>
                </c:pt>
                <c:pt idx="2">
                  <c:v>97.4</c:v>
                </c:pt>
                <c:pt idx="3">
                  <c:v>101.9</c:v>
                </c:pt>
                <c:pt idx="4">
                  <c:v>102</c:v>
                </c:pt>
                <c:pt idx="5">
                  <c:v>102</c:v>
                </c:pt>
              </c:numCache>
            </c:numRef>
          </c:val>
          <c:smooth val="1"/>
          <c:extLst xmlns:c16r2="http://schemas.microsoft.com/office/drawing/2015/06/chart">
            <c:ext xmlns:c16="http://schemas.microsoft.com/office/drawing/2014/chart" uri="{C3380CC4-5D6E-409C-BE32-E72D297353CC}">
              <c16:uniqueId val="{00000006-468C-4E61-AE90-78C89B6CA033}"/>
            </c:ext>
          </c:extLst>
        </c:ser>
        <c:ser>
          <c:idx val="2"/>
          <c:order val="2"/>
          <c:tx>
            <c:strRef>
              <c:f>'Инд потр. цен.'!$D$1</c:f>
              <c:strCache>
                <c:ptCount val="1"/>
                <c:pt idx="0">
                  <c:v>Реальные располагаемые денежные доходы населения (в % к предыдущему году), базовый вариант  </c:v>
                </c:pt>
              </c:strCache>
            </c:strRef>
          </c:tx>
          <c:spPr>
            <a:ln w="38100" cap="rnd">
              <a:solidFill>
                <a:srgbClr val="00B0F0"/>
              </a:solidFill>
              <a:round/>
            </a:ln>
            <a:effectLst/>
          </c:spPr>
          <c:marker>
            <c:symbol val="circle"/>
            <c:size val="7"/>
            <c:spPr>
              <a:solidFill>
                <a:srgbClr val="00B0F0"/>
              </a:solidFill>
              <a:ln w="9525">
                <a:solidFill>
                  <a:srgbClr val="00B0F0"/>
                </a:solidFill>
              </a:ln>
              <a:effectLst/>
            </c:spPr>
          </c:marker>
          <c:dLbls>
            <c:dLbl>
              <c:idx val="0"/>
              <c:delete val="1"/>
              <c:extLst xmlns:c16r2="http://schemas.microsoft.com/office/drawing/2015/06/chart">
                <c:ext xmlns:c16="http://schemas.microsoft.com/office/drawing/2014/chart" uri="{C3380CC4-5D6E-409C-BE32-E72D297353CC}">
                  <c16:uniqueId val="{00000007-468C-4E61-AE90-78C89B6CA033}"/>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8-468C-4E61-AE90-78C89B6CA033}"/>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9-468C-4E61-AE90-78C89B6CA033}"/>
                </c:ext>
                <c:ext xmlns:c15="http://schemas.microsoft.com/office/drawing/2012/chart" uri="{CE6537A1-D6FC-4f65-9D91-7224C49458BB}"/>
              </c:extLst>
            </c:dLbl>
            <c:dLbl>
              <c:idx val="3"/>
              <c:layout>
                <c:manualLayout>
                  <c:x val="-6.1187996661707607E-2"/>
                  <c:y val="-3.9056247001382889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468C-4E61-AE90-78C89B6CA033}"/>
                </c:ext>
                <c:ext xmlns:c15="http://schemas.microsoft.com/office/drawing/2012/chart" uri="{CE6537A1-D6FC-4f65-9D91-7224C49458BB}"/>
              </c:extLst>
            </c:dLbl>
            <c:dLbl>
              <c:idx val="4"/>
              <c:layout>
                <c:manualLayout>
                  <c:x val="-4.48029480185946E-2"/>
                  <c:y val="-4.38352195222909E-2"/>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468C-4E61-AE90-78C89B6CA033}"/>
                </c:ext>
                <c:ext xmlns:c15="http://schemas.microsoft.com/office/drawing/2012/chart" uri="{CE6537A1-D6FC-4f65-9D91-7224C49458BB}"/>
              </c:extLst>
            </c:dLbl>
            <c:dLbl>
              <c:idx val="5"/>
              <c:layout>
                <c:manualLayout>
                  <c:x val="3.2770097286226166E-2"/>
                  <c:y val="-1.745304932193353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F7CB7437-2711-4317-840D-85216A034BBB}" type="VALUE">
                      <a:rPr lang="ru-RU"/>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t>[ЗНАЧЕНИЕ]</a:t>
                    </a:fld>
                    <a:r>
                      <a:rPr lang="ru-RU"/>
                      <a:t>;</a:t>
                    </a:r>
                  </a:p>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ru-RU"/>
                      <a:t> </a:t>
                    </a:r>
                    <a:r>
                      <a:rPr lang="ru-RU">
                        <a:solidFill>
                          <a:srgbClr val="00B0F0"/>
                        </a:solidFill>
                      </a:rPr>
                      <a:t>базовый </a:t>
                    </a:r>
                  </a:p>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r>
                      <a:rPr lang="ru-RU">
                        <a:solidFill>
                          <a:srgbClr val="00B0F0"/>
                        </a:solidFill>
                      </a:rPr>
                      <a:t>вариант</a:t>
                    </a:r>
                  </a:p>
                </c:rich>
              </c:tx>
              <c:spPr>
                <a:noFill/>
                <a:ln>
                  <a:noFill/>
                </a:ln>
                <a:effectLst/>
              </c:spPr>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468C-4E61-AE90-78C89B6CA033}"/>
                </c:ext>
                <c:ext xmlns:c15="http://schemas.microsoft.com/office/drawing/2012/chart" uri="{CE6537A1-D6FC-4f65-9D91-7224C49458BB}">
                  <c15:layout>
                    <c:manualLayout>
                      <c:w val="0.11990791473646439"/>
                      <c:h val="0.19634126379363867"/>
                    </c:manualLayout>
                  </c15:layout>
                  <c15:dlblFieldTable/>
                  <c15:showDataLabelsRange val="0"/>
                </c:ext>
              </c:extLst>
            </c:dLbl>
            <c:spPr>
              <a:noFill/>
              <a:ln>
                <a:solidFill>
                  <a:sysClr val="window" lastClr="FFFFFF"/>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'Инд потр. цен.'!$A$2:$A$7</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'Инд потр. цен.'!$D$2:$D$7</c:f>
              <c:numCache>
                <c:formatCode>#,##0.00</c:formatCode>
                <c:ptCount val="6"/>
                <c:pt idx="0">
                  <c:v>100.7</c:v>
                </c:pt>
                <c:pt idx="1">
                  <c:v>96.7</c:v>
                </c:pt>
                <c:pt idx="2">
                  <c:v>97.4</c:v>
                </c:pt>
                <c:pt idx="3">
                  <c:v>102.5</c:v>
                </c:pt>
                <c:pt idx="4">
                  <c:v>102.6</c:v>
                </c:pt>
                <c:pt idx="5">
                  <c:v>102.6</c:v>
                </c:pt>
              </c:numCache>
            </c:numRef>
          </c:val>
          <c:smooth val="1"/>
          <c:extLst xmlns:c16r2="http://schemas.microsoft.com/office/drawing/2015/06/chart">
            <c:ext xmlns:c16="http://schemas.microsoft.com/office/drawing/2014/chart" uri="{C3380CC4-5D6E-409C-BE32-E72D297353CC}">
              <c16:uniqueId val="{0000000D-468C-4E61-AE90-78C89B6CA033}"/>
            </c:ext>
          </c:extLst>
        </c:ser>
        <c:dLbls>
          <c:showLegendKey val="0"/>
          <c:showVal val="0"/>
          <c:showCatName val="0"/>
          <c:showSerName val="0"/>
          <c:showPercent val="0"/>
          <c:showBubbleSize val="0"/>
        </c:dLbls>
        <c:marker val="1"/>
        <c:smooth val="0"/>
        <c:axId val="80510336"/>
        <c:axId val="83297408"/>
      </c:lineChart>
      <c:catAx>
        <c:axId val="80510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3297408"/>
        <c:crossesAt val="0"/>
        <c:auto val="1"/>
        <c:lblAlgn val="ctr"/>
        <c:lblOffset val="100"/>
        <c:noMultiLvlLbl val="0"/>
      </c:catAx>
      <c:valAx>
        <c:axId val="83297408"/>
        <c:scaling>
          <c:orientation val="minMax"/>
          <c:max val="105"/>
          <c:min val="95"/>
        </c:scaling>
        <c:delete val="1"/>
        <c:axPos val="l"/>
        <c:numFmt formatCode="#,##0.00" sourceLinked="1"/>
        <c:majorTickMark val="none"/>
        <c:minorTickMark val="none"/>
        <c:tickLblPos val="nextTo"/>
        <c:crossAx val="80510336"/>
        <c:crosses val="autoZero"/>
        <c:crossBetween val="between"/>
      </c:valAx>
      <c:spPr>
        <a:noFill/>
        <a:ln>
          <a:noFill/>
        </a:ln>
        <a:effectLst/>
      </c:spPr>
    </c:plotArea>
    <c:legend>
      <c:legendPos val="b"/>
      <c:legendEntry>
        <c:idx val="0"/>
        <c:delete val="1"/>
      </c:legendEntry>
      <c:legendEntry>
        <c:idx val="1"/>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egendEntry>
        <c:idx val="2"/>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2.6625704045058884E-2"/>
          <c:y val="0.81761877080801137"/>
          <c:w val="0.95204502662973578"/>
          <c:h val="0.1797340097588472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безработица!$B$21</c:f>
          <c:strCache>
            <c:ptCount val="1"/>
            <c:pt idx="0">
              <c:v>Численность безаработных, зарегистрированных в службах занятости населения на конец года  (тыс. человек)</c:v>
            </c:pt>
          </c:strCache>
        </c:strRef>
      </c:tx>
      <c:layout>
        <c:manualLayout>
          <c:xMode val="edge"/>
          <c:yMode val="edge"/>
          <c:x val="0.14816365867376535"/>
          <c:y val="2.0258406341359728E-2"/>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6.9918501967204935E-2"/>
          <c:y val="0.27530254890387507"/>
          <c:w val="0.83313008819870749"/>
          <c:h val="0.57597399607345734"/>
        </c:manualLayout>
      </c:layout>
      <c:lineChart>
        <c:grouping val="standard"/>
        <c:varyColors val="0"/>
        <c:ser>
          <c:idx val="0"/>
          <c:order val="0"/>
          <c:tx>
            <c:strRef>
              <c:f>безработица!$B$21</c:f>
              <c:strCache>
                <c:ptCount val="1"/>
                <c:pt idx="0">
                  <c:v>Численность безаработных, зарегистрированных в службах занятости населения на конец года  (тыс. человек)</c:v>
                </c:pt>
              </c:strCache>
            </c:strRef>
          </c:tx>
          <c:spPr>
            <a:ln w="38100" cap="rnd">
              <a:solidFill>
                <a:schemeClr val="accent1"/>
              </a:solidFill>
              <a:round/>
            </a:ln>
            <a:effectLst/>
          </c:spPr>
          <c:marker>
            <c:symbol val="circle"/>
            <c:size val="6"/>
            <c:spPr>
              <a:solidFill>
                <a:schemeClr val="accent1"/>
              </a:solidFill>
              <a:ln w="9525">
                <a:solidFill>
                  <a:schemeClr val="accent1"/>
                </a:solidFill>
              </a:ln>
              <a:effectLst/>
            </c:spPr>
          </c:marker>
          <c:dLbls>
            <c:dLbl>
              <c:idx val="0"/>
              <c:delete val="1"/>
              <c:extLst xmlns:c16r2="http://schemas.microsoft.com/office/drawing/2015/06/chart">
                <c:ext xmlns:c16="http://schemas.microsoft.com/office/drawing/2014/chart" uri="{C3380CC4-5D6E-409C-BE32-E72D297353CC}">
                  <c16:uniqueId val="{00000000-38BA-4DB7-8679-41DE6C4BF0F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1-38BA-4DB7-8679-41DE6C4BF0FF}"/>
                </c:ext>
                <c:ext xmlns:c15="http://schemas.microsoft.com/office/drawing/2012/chart" uri="{CE6537A1-D6FC-4f65-9D91-7224C49458BB}"/>
              </c:extLst>
            </c:dLbl>
            <c:dLbl>
              <c:idx val="5"/>
              <c:layout>
                <c:manualLayout>
                  <c:x val="-2.0355770671447126E-2"/>
                  <c:y val="-0.12665412081108607"/>
                </c:manualLayout>
              </c:layout>
              <c:tx>
                <c:rich>
                  <a:bodyPr/>
                  <a:lstStyle/>
                  <a:p>
                    <a:fld id="{C26A7043-B016-4E99-80EF-4E7277EF8BCD}" type="VALUE">
                      <a:rPr lang="ru-RU"/>
                      <a:pPr/>
                      <a:t>[ЗНАЧЕНИЕ]</a:t>
                    </a:fld>
                    <a:r>
                      <a:rPr lang="ru-RU"/>
                      <a:t>;</a:t>
                    </a:r>
                  </a:p>
                  <a:p>
                    <a:r>
                      <a:rPr lang="ru-RU">
                        <a:solidFill>
                          <a:schemeClr val="tx2">
                            <a:lumMod val="60000"/>
                            <a:lumOff val="40000"/>
                          </a:schemeClr>
                        </a:solidFill>
                      </a:rPr>
                      <a:t>консервативный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8BA-4DB7-8679-41DE6C4BF0FF}"/>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strRef>
              <c:f>безработица!$A$22:$A$27</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безработица!$B$22:$B$27</c:f>
              <c:numCache>
                <c:formatCode>0.00</c:formatCode>
                <c:ptCount val="6"/>
                <c:pt idx="0">
                  <c:v>11</c:v>
                </c:pt>
                <c:pt idx="1">
                  <c:v>17.7</c:v>
                </c:pt>
                <c:pt idx="2">
                  <c:v>12.5</c:v>
                </c:pt>
                <c:pt idx="3">
                  <c:v>12.8</c:v>
                </c:pt>
                <c:pt idx="4">
                  <c:v>12</c:v>
                </c:pt>
                <c:pt idx="5">
                  <c:v>11.5</c:v>
                </c:pt>
              </c:numCache>
            </c:numRef>
          </c:val>
          <c:smooth val="0"/>
          <c:extLst xmlns:c16r2="http://schemas.microsoft.com/office/drawing/2015/06/chart">
            <c:ext xmlns:c16="http://schemas.microsoft.com/office/drawing/2014/chart" uri="{C3380CC4-5D6E-409C-BE32-E72D297353CC}">
              <c16:uniqueId val="{00000003-38BA-4DB7-8679-41DE6C4BF0FF}"/>
            </c:ext>
          </c:extLst>
        </c:ser>
        <c:ser>
          <c:idx val="1"/>
          <c:order val="1"/>
          <c:tx>
            <c:strRef>
              <c:f>безработица!$C$21</c:f>
              <c:strCache>
                <c:ptCount val="1"/>
                <c:pt idx="0">
                  <c:v>Численность безаработных, зарегистрированных в службах занятости населения на конец года (тыс. человек), базовый вариант</c:v>
                </c:pt>
              </c:strCache>
            </c:strRef>
          </c:tx>
          <c:spPr>
            <a:ln w="38100" cap="rnd">
              <a:solidFill>
                <a:schemeClr val="accent6">
                  <a:lumMod val="75000"/>
                </a:schemeClr>
              </a:solidFill>
              <a:round/>
            </a:ln>
            <a:effectLst/>
          </c:spPr>
          <c:marker>
            <c:symbol val="circle"/>
            <c:size val="6"/>
            <c:spPr>
              <a:solidFill>
                <a:schemeClr val="accent6">
                  <a:lumMod val="75000"/>
                </a:schemeClr>
              </a:solidFill>
              <a:ln w="9525">
                <a:solidFill>
                  <a:schemeClr val="accent6">
                    <a:lumMod val="75000"/>
                  </a:schemeClr>
                </a:solidFill>
              </a:ln>
              <a:effectLst/>
            </c:spPr>
          </c:marker>
          <c:dLbls>
            <c:dLbl>
              <c:idx val="0"/>
              <c:layout>
                <c:manualLayout>
                  <c:x val="-6.6188281488737358E-2"/>
                  <c:y val="-4.958788046231063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8BA-4DB7-8679-41DE6C4BF0FF}"/>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5-38BA-4DB7-8679-41DE6C4BF0FF}"/>
                </c:ext>
                <c:ext xmlns:c15="http://schemas.microsoft.com/office/drawing/2012/chart" uri="{CE6537A1-D6FC-4f65-9D91-7224C49458BB}"/>
              </c:extLst>
            </c:dLbl>
            <c:dLbl>
              <c:idx val="5"/>
              <c:layout>
                <c:manualLayout>
                  <c:x val="4.2584334365204875E-2"/>
                  <c:y val="-2.790424758768559E-4"/>
                </c:manualLayout>
              </c:layout>
              <c:tx>
                <c:rich>
                  <a:bodyPr/>
                  <a:lstStyle/>
                  <a:p>
                    <a:fld id="{7723A59A-F589-432B-BD6A-6D077B2DFE28}" type="VALUE">
                      <a:rPr lang="ru-RU"/>
                      <a:pPr/>
                      <a:t>[ЗНАЧЕНИЕ]</a:t>
                    </a:fld>
                    <a:r>
                      <a:rPr lang="ru-RU"/>
                      <a:t>; </a:t>
                    </a:r>
                  </a:p>
                  <a:p>
                    <a:r>
                      <a:rPr lang="ru-RU">
                        <a:solidFill>
                          <a:schemeClr val="accent6">
                            <a:lumMod val="75000"/>
                          </a:schemeClr>
                        </a:solidFill>
                      </a:rPr>
                      <a:t>базовый</a:t>
                    </a:r>
                  </a:p>
                  <a:p>
                    <a:r>
                      <a:rPr lang="ru-RU">
                        <a:solidFill>
                          <a:schemeClr val="accent6">
                            <a:lumMod val="75000"/>
                          </a:schemeClr>
                        </a:solidFill>
                      </a:rPr>
                      <a:t>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38BA-4DB7-8679-41DE6C4BF0FF}"/>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ysClr val="windowText" lastClr="000000"/>
                      </a:solidFill>
                      <a:round/>
                    </a:ln>
                    <a:effectLst/>
                  </c:spPr>
                </c15:leaderLines>
              </c:ext>
            </c:extLst>
          </c:dLbls>
          <c:cat>
            <c:strRef>
              <c:f>безработица!$A$22:$A$27</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безработица!$C$22:$C$27</c:f>
              <c:numCache>
                <c:formatCode>0.00</c:formatCode>
                <c:ptCount val="6"/>
                <c:pt idx="0">
                  <c:v>11</c:v>
                </c:pt>
                <c:pt idx="1">
                  <c:v>17.7</c:v>
                </c:pt>
                <c:pt idx="2">
                  <c:v>12.5</c:v>
                </c:pt>
                <c:pt idx="3">
                  <c:v>12</c:v>
                </c:pt>
                <c:pt idx="4">
                  <c:v>11.5</c:v>
                </c:pt>
                <c:pt idx="5">
                  <c:v>10.5</c:v>
                </c:pt>
              </c:numCache>
            </c:numRef>
          </c:val>
          <c:smooth val="0"/>
          <c:extLst xmlns:c16r2="http://schemas.microsoft.com/office/drawing/2015/06/chart">
            <c:ext xmlns:c16="http://schemas.microsoft.com/office/drawing/2014/chart" uri="{C3380CC4-5D6E-409C-BE32-E72D297353CC}">
              <c16:uniqueId val="{00000007-38BA-4DB7-8679-41DE6C4BF0FF}"/>
            </c:ext>
          </c:extLst>
        </c:ser>
        <c:dLbls>
          <c:showLegendKey val="0"/>
          <c:showVal val="0"/>
          <c:showCatName val="0"/>
          <c:showSerName val="0"/>
          <c:showPercent val="0"/>
          <c:showBubbleSize val="0"/>
        </c:dLbls>
        <c:marker val="1"/>
        <c:smooth val="0"/>
        <c:axId val="83332480"/>
        <c:axId val="83367040"/>
      </c:lineChart>
      <c:catAx>
        <c:axId val="83332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3367040"/>
        <c:crosses val="autoZero"/>
        <c:auto val="1"/>
        <c:lblAlgn val="ctr"/>
        <c:lblOffset val="100"/>
        <c:noMultiLvlLbl val="0"/>
      </c:catAx>
      <c:valAx>
        <c:axId val="83367040"/>
        <c:scaling>
          <c:orientation val="minMax"/>
          <c:max val="18"/>
          <c:min val="10"/>
        </c:scaling>
        <c:delete val="1"/>
        <c:axPos val="l"/>
        <c:numFmt formatCode="0.00" sourceLinked="1"/>
        <c:majorTickMark val="none"/>
        <c:minorTickMark val="none"/>
        <c:tickLblPos val="nextTo"/>
        <c:crossAx val="833324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безработица!$B$11</c:f>
          <c:strCache>
            <c:ptCount val="1"/>
            <c:pt idx="0">
              <c:v>Численность безработных (по методологии МОТ)                            (тыс. человек)</c:v>
            </c:pt>
          </c:strCache>
        </c:strRef>
      </c:tx>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4.853962469015264E-2"/>
          <c:y val="0.20277410888155112"/>
          <c:w val="0.83651927261096637"/>
          <c:h val="0.64850210685234011"/>
        </c:manualLayout>
      </c:layout>
      <c:lineChart>
        <c:grouping val="standard"/>
        <c:varyColors val="0"/>
        <c:ser>
          <c:idx val="0"/>
          <c:order val="0"/>
          <c:tx>
            <c:strRef>
              <c:f>безработица!$B$11</c:f>
              <c:strCache>
                <c:ptCount val="1"/>
                <c:pt idx="0">
                  <c:v>Численность безработных (по методологии МОТ)                            (тыс. человек)</c:v>
                </c:pt>
              </c:strCache>
            </c:strRef>
          </c:tx>
          <c:spPr>
            <a:ln w="38100" cap="rnd">
              <a:solidFill>
                <a:schemeClr val="accent1"/>
              </a:solidFill>
              <a:round/>
            </a:ln>
            <a:effectLst/>
          </c:spPr>
          <c:marker>
            <c:symbol val="circle"/>
            <c:size val="6"/>
            <c:spPr>
              <a:solidFill>
                <a:schemeClr val="accent1"/>
              </a:solidFill>
              <a:ln w="9525">
                <a:solidFill>
                  <a:schemeClr val="accent1"/>
                </a:solidFill>
              </a:ln>
              <a:effectLst/>
            </c:spPr>
          </c:marker>
          <c:dLbls>
            <c:dLbl>
              <c:idx val="0"/>
              <c:delete val="1"/>
              <c:extLst xmlns:c16r2="http://schemas.microsoft.com/office/drawing/2015/06/chart">
                <c:ext xmlns:c16="http://schemas.microsoft.com/office/drawing/2014/chart" uri="{C3380CC4-5D6E-409C-BE32-E72D297353CC}">
                  <c16:uniqueId val="{00000000-3D67-4013-8B64-16D6FB1A1DC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1-3D67-4013-8B64-16D6FB1A1DCF}"/>
                </c:ext>
                <c:ext xmlns:c15="http://schemas.microsoft.com/office/drawing/2012/chart" uri="{CE6537A1-D6FC-4f65-9D91-7224C49458BB}"/>
              </c:extLst>
            </c:dLbl>
            <c:dLbl>
              <c:idx val="5"/>
              <c:layout>
                <c:manualLayout>
                  <c:x val="2.2148751983233524E-2"/>
                  <c:y val="-8.1973160612987886E-2"/>
                </c:manualLayout>
              </c:layout>
              <c:tx>
                <c:rich>
                  <a:bodyPr/>
                  <a:lstStyle/>
                  <a:p>
                    <a:fld id="{C26A7043-B016-4E99-80EF-4E7277EF8BCD}" type="VALUE">
                      <a:rPr lang="ru-RU"/>
                      <a:pPr/>
                      <a:t>[ЗНАЧЕНИЕ]</a:t>
                    </a:fld>
                    <a:r>
                      <a:rPr lang="ru-RU"/>
                      <a:t>;</a:t>
                    </a:r>
                  </a:p>
                  <a:p>
                    <a:r>
                      <a:rPr lang="ru-RU">
                        <a:solidFill>
                          <a:schemeClr val="tx2">
                            <a:lumMod val="60000"/>
                            <a:lumOff val="40000"/>
                          </a:schemeClr>
                        </a:solidFill>
                      </a:rPr>
                      <a:t>консервативный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D67-4013-8B64-16D6FB1A1DCF}"/>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безработица!$A$12:$A$17</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безработица!$B$12:$B$17</c:f>
              <c:numCache>
                <c:formatCode>0.00</c:formatCode>
                <c:ptCount val="6"/>
                <c:pt idx="0">
                  <c:v>51.6</c:v>
                </c:pt>
                <c:pt idx="1">
                  <c:v>54.7</c:v>
                </c:pt>
                <c:pt idx="2">
                  <c:v>52.2</c:v>
                </c:pt>
                <c:pt idx="3">
                  <c:v>53.5</c:v>
                </c:pt>
                <c:pt idx="4">
                  <c:v>52.8</c:v>
                </c:pt>
                <c:pt idx="5">
                  <c:v>52</c:v>
                </c:pt>
              </c:numCache>
            </c:numRef>
          </c:val>
          <c:smooth val="0"/>
          <c:extLst xmlns:c16r2="http://schemas.microsoft.com/office/drawing/2015/06/chart">
            <c:ext xmlns:c16="http://schemas.microsoft.com/office/drawing/2014/chart" uri="{C3380CC4-5D6E-409C-BE32-E72D297353CC}">
              <c16:uniqueId val="{00000003-3D67-4013-8B64-16D6FB1A1DCF}"/>
            </c:ext>
          </c:extLst>
        </c:ser>
        <c:ser>
          <c:idx val="1"/>
          <c:order val="1"/>
          <c:tx>
            <c:strRef>
              <c:f>безработица!$C$11</c:f>
              <c:strCache>
                <c:ptCount val="1"/>
                <c:pt idx="0">
                  <c:v>Численность безработных (по методологии МОТ) (тыс. человек), базовый вариант</c:v>
                </c:pt>
              </c:strCache>
            </c:strRef>
          </c:tx>
          <c:spPr>
            <a:ln w="38100" cap="rnd">
              <a:solidFill>
                <a:srgbClr val="6BB567"/>
              </a:solidFill>
              <a:round/>
            </a:ln>
            <a:effectLst/>
          </c:spPr>
          <c:marker>
            <c:symbol val="circle"/>
            <c:size val="6"/>
            <c:spPr>
              <a:solidFill>
                <a:srgbClr val="00B050"/>
              </a:solidFill>
              <a:ln w="9525">
                <a:solidFill>
                  <a:srgbClr val="6BB567"/>
                </a:solidFill>
              </a:ln>
              <a:effectLst/>
            </c:spPr>
          </c:marker>
          <c:dLbls>
            <c:dLbl>
              <c:idx val="1"/>
              <c:delete val="1"/>
              <c:extLst xmlns:c16r2="http://schemas.microsoft.com/office/drawing/2015/06/chart">
                <c:ext xmlns:c16="http://schemas.microsoft.com/office/drawing/2014/chart" uri="{C3380CC4-5D6E-409C-BE32-E72D297353CC}">
                  <c16:uniqueId val="{00000004-3D67-4013-8B64-16D6FB1A1DCF}"/>
                </c:ext>
                <c:ext xmlns:c15="http://schemas.microsoft.com/office/drawing/2012/chart" uri="{CE6537A1-D6FC-4f65-9D91-7224C49458BB}"/>
              </c:extLst>
            </c:dLbl>
            <c:dLbl>
              <c:idx val="5"/>
              <c:layout>
                <c:manualLayout>
                  <c:x val="2.1225080697088172E-2"/>
                  <c:y val="7.0838201676403353E-2"/>
                </c:manualLayout>
              </c:layout>
              <c:tx>
                <c:rich>
                  <a:bodyPr/>
                  <a:lstStyle/>
                  <a:p>
                    <a:fld id="{7723A59A-F589-432B-BD6A-6D077B2DFE28}" type="VALUE">
                      <a:rPr lang="ru-RU"/>
                      <a:pPr/>
                      <a:t>[ЗНАЧЕНИЕ]</a:t>
                    </a:fld>
                    <a:r>
                      <a:rPr lang="ru-RU"/>
                      <a:t>; </a:t>
                    </a:r>
                  </a:p>
                  <a:p>
                    <a:r>
                      <a:rPr lang="ru-RU">
                        <a:solidFill>
                          <a:srgbClr val="6BB567"/>
                        </a:solidFill>
                      </a:rPr>
                      <a:t>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3D67-4013-8B64-16D6FB1A1DCF}"/>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безработица!$A$12:$A$17</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безработица!$C$12:$C$17</c:f>
              <c:numCache>
                <c:formatCode>0.00</c:formatCode>
                <c:ptCount val="6"/>
                <c:pt idx="0">
                  <c:v>51.6</c:v>
                </c:pt>
                <c:pt idx="1">
                  <c:v>54.7</c:v>
                </c:pt>
                <c:pt idx="2">
                  <c:v>52.2</c:v>
                </c:pt>
                <c:pt idx="3">
                  <c:v>52</c:v>
                </c:pt>
                <c:pt idx="4">
                  <c:v>52</c:v>
                </c:pt>
                <c:pt idx="5">
                  <c:v>51.6</c:v>
                </c:pt>
              </c:numCache>
            </c:numRef>
          </c:val>
          <c:smooth val="0"/>
          <c:extLst xmlns:c16r2="http://schemas.microsoft.com/office/drawing/2015/06/chart">
            <c:ext xmlns:c16="http://schemas.microsoft.com/office/drawing/2014/chart" uri="{C3380CC4-5D6E-409C-BE32-E72D297353CC}">
              <c16:uniqueId val="{00000006-3D67-4013-8B64-16D6FB1A1DCF}"/>
            </c:ext>
          </c:extLst>
        </c:ser>
        <c:dLbls>
          <c:showLegendKey val="0"/>
          <c:showVal val="0"/>
          <c:showCatName val="0"/>
          <c:showSerName val="0"/>
          <c:showPercent val="0"/>
          <c:showBubbleSize val="0"/>
        </c:dLbls>
        <c:marker val="1"/>
        <c:smooth val="0"/>
        <c:axId val="83412480"/>
        <c:axId val="83414016"/>
      </c:lineChart>
      <c:catAx>
        <c:axId val="83412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3414016"/>
        <c:crosses val="autoZero"/>
        <c:auto val="1"/>
        <c:lblAlgn val="ctr"/>
        <c:lblOffset val="100"/>
        <c:noMultiLvlLbl val="0"/>
      </c:catAx>
      <c:valAx>
        <c:axId val="83414016"/>
        <c:scaling>
          <c:orientation val="minMax"/>
          <c:max val="55"/>
          <c:min val="51"/>
        </c:scaling>
        <c:delete val="1"/>
        <c:axPos val="l"/>
        <c:numFmt formatCode="0.00" sourceLinked="1"/>
        <c:majorTickMark val="none"/>
        <c:minorTickMark val="none"/>
        <c:tickLblPos val="nextTo"/>
        <c:crossAx val="834124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безработица!$B$32</c:f>
          <c:strCache>
            <c:ptCount val="1"/>
            <c:pt idx="0">
              <c:v>Уровень зарегистрированной безработицы на конец года  (% к численности рабочей силы)</c:v>
            </c:pt>
          </c:strCache>
        </c:strRef>
      </c:tx>
      <c:layout>
        <c:manualLayout>
          <c:xMode val="edge"/>
          <c:yMode val="edge"/>
          <c:x val="0.1078842208161906"/>
          <c:y val="0"/>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3.0555555555555555E-2"/>
          <c:y val="0.15062700495771364"/>
          <c:w val="0.81388888888888888"/>
          <c:h val="0.67651391549029349"/>
        </c:manualLayout>
      </c:layout>
      <c:lineChart>
        <c:grouping val="standard"/>
        <c:varyColors val="0"/>
        <c:ser>
          <c:idx val="0"/>
          <c:order val="0"/>
          <c:tx>
            <c:strRef>
              <c:f>безработица!$B$32</c:f>
              <c:strCache>
                <c:ptCount val="1"/>
                <c:pt idx="0">
                  <c:v>Уровень зарегистрированной безработицы на конец года  (% к численности рабочей силы)</c:v>
                </c:pt>
              </c:strCache>
            </c:strRef>
          </c:tx>
          <c:spPr>
            <a:ln w="28575" cap="rnd">
              <a:solidFill>
                <a:srgbClr val="82EEA3"/>
              </a:solidFill>
              <a:round/>
            </a:ln>
            <a:effectLst/>
          </c:spPr>
          <c:marker>
            <c:symbol val="circle"/>
            <c:size val="7"/>
            <c:spPr>
              <a:solidFill>
                <a:srgbClr val="82EEA3"/>
              </a:solidFill>
              <a:ln w="9525">
                <a:solidFill>
                  <a:schemeClr val="accent1"/>
                </a:solidFill>
              </a:ln>
              <a:effectLst/>
            </c:spPr>
          </c:marker>
          <c:dLbls>
            <c:dLbl>
              <c:idx val="0"/>
              <c:delete val="1"/>
              <c:extLst xmlns:c16r2="http://schemas.microsoft.com/office/drawing/2015/06/chart">
                <c:ext xmlns:c16="http://schemas.microsoft.com/office/drawing/2014/chart" uri="{C3380CC4-5D6E-409C-BE32-E72D297353CC}">
                  <c16:uniqueId val="{00000000-2ABF-42DB-AC03-19EB7F1D6B01}"/>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1-2ABF-42DB-AC03-19EB7F1D6B01}"/>
                </c:ext>
                <c:ext xmlns:c15="http://schemas.microsoft.com/office/drawing/2012/chart" uri="{CE6537A1-D6FC-4f65-9D91-7224C49458BB}"/>
              </c:extLst>
            </c:dLbl>
            <c:dLbl>
              <c:idx val="5"/>
              <c:layout>
                <c:manualLayout>
                  <c:x val="1.4659915932609912E-2"/>
                  <c:y val="-8.0962364526637118E-2"/>
                </c:manualLayout>
              </c:layout>
              <c:tx>
                <c:rich>
                  <a:bodyPr/>
                  <a:lstStyle/>
                  <a:p>
                    <a:fld id="{CC99F67F-B596-47A6-88FD-AB83B7CF55CB}" type="VALUE">
                      <a:rPr lang="ru-RU"/>
                      <a:pPr/>
                      <a:t>[ЗНАЧЕНИЕ]</a:t>
                    </a:fld>
                    <a:r>
                      <a:rPr lang="ru-RU"/>
                      <a:t>;</a:t>
                    </a:r>
                  </a:p>
                  <a:p>
                    <a:r>
                      <a:rPr lang="ru-RU"/>
                      <a:t> </a:t>
                    </a:r>
                    <a:r>
                      <a:rPr lang="ru-RU">
                        <a:solidFill>
                          <a:srgbClr val="82EEA3"/>
                        </a:solidFill>
                      </a:rPr>
                      <a:t>консервативный вариант </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ABF-42DB-AC03-19EB7F1D6B01}"/>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безработица!$A$33:$A$38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безработица!$B$33:$B$38</c:f>
              <c:numCache>
                <c:formatCode>0.00</c:formatCode>
                <c:ptCount val="6"/>
                <c:pt idx="0">
                  <c:v>1.1000000000000001</c:v>
                </c:pt>
                <c:pt idx="1">
                  <c:v>1.8</c:v>
                </c:pt>
                <c:pt idx="2">
                  <c:v>1.3</c:v>
                </c:pt>
                <c:pt idx="3">
                  <c:v>1.3</c:v>
                </c:pt>
                <c:pt idx="4">
                  <c:v>1.3</c:v>
                </c:pt>
                <c:pt idx="5">
                  <c:v>1.2</c:v>
                </c:pt>
              </c:numCache>
            </c:numRef>
          </c:val>
          <c:smooth val="0"/>
          <c:extLst xmlns:c16r2="http://schemas.microsoft.com/office/drawing/2015/06/chart">
            <c:ext xmlns:c16="http://schemas.microsoft.com/office/drawing/2014/chart" uri="{C3380CC4-5D6E-409C-BE32-E72D297353CC}">
              <c16:uniqueId val="{00000003-2ABF-42DB-AC03-19EB7F1D6B01}"/>
            </c:ext>
          </c:extLst>
        </c:ser>
        <c:ser>
          <c:idx val="1"/>
          <c:order val="1"/>
          <c:tx>
            <c:strRef>
              <c:f>безработица!$C$32</c:f>
              <c:strCache>
                <c:ptCount val="1"/>
                <c:pt idx="0">
                  <c:v> Уровень зарегичстрированный безработицы на конец года (% к численности рабочей силы), базовый вариант</c:v>
                </c:pt>
              </c:strCache>
            </c:strRef>
          </c:tx>
          <c:spPr>
            <a:ln w="28575" cap="rnd">
              <a:solidFill>
                <a:srgbClr val="002060"/>
              </a:solidFill>
              <a:round/>
            </a:ln>
            <a:effectLst/>
          </c:spPr>
          <c:marker>
            <c:symbol val="circle"/>
            <c:size val="7"/>
            <c:spPr>
              <a:solidFill>
                <a:srgbClr val="002060"/>
              </a:solidFill>
              <a:ln w="9525">
                <a:solidFill>
                  <a:srgbClr val="002060"/>
                </a:solidFill>
              </a:ln>
              <a:effectLst/>
            </c:spPr>
          </c:marker>
          <c:dLbls>
            <c:dLbl>
              <c:idx val="1"/>
              <c:delete val="1"/>
              <c:extLst xmlns:c16r2="http://schemas.microsoft.com/office/drawing/2015/06/chart">
                <c:ext xmlns:c16="http://schemas.microsoft.com/office/drawing/2014/chart" uri="{C3380CC4-5D6E-409C-BE32-E72D297353CC}">
                  <c16:uniqueId val="{00000004-2ABF-42DB-AC03-19EB7F1D6B01}"/>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5-2ABF-42DB-AC03-19EB7F1D6B01}"/>
                </c:ext>
                <c:ext xmlns:c15="http://schemas.microsoft.com/office/drawing/2012/chart" uri="{CE6537A1-D6FC-4f65-9D91-7224C49458BB}"/>
              </c:extLst>
            </c:dLbl>
            <c:dLbl>
              <c:idx val="5"/>
              <c:layout>
                <c:manualLayout>
                  <c:x val="3.4229641508156265E-2"/>
                  <c:y val="4.6438254194808477E-4"/>
                </c:manualLayout>
              </c:layout>
              <c:tx>
                <c:rich>
                  <a:bodyPr/>
                  <a:lstStyle/>
                  <a:p>
                    <a:fld id="{CAA0889A-6220-4188-95AF-3478B2BA789A}" type="VALUE">
                      <a:rPr lang="ru-RU"/>
                      <a:pPr/>
                      <a:t>[ЗНАЧЕНИЕ]</a:t>
                    </a:fld>
                    <a:r>
                      <a:rPr lang="ru-RU"/>
                      <a:t>; </a:t>
                    </a:r>
                  </a:p>
                  <a:p>
                    <a:r>
                      <a:rPr lang="ru-RU">
                        <a:solidFill>
                          <a:srgbClr val="002060"/>
                        </a:solidFill>
                      </a:rPr>
                      <a:t>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ABF-42DB-AC03-19EB7F1D6B01}"/>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безработица!$A$33:$A$38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безработица!$C$33:$C$38</c:f>
              <c:numCache>
                <c:formatCode>0.00</c:formatCode>
                <c:ptCount val="6"/>
                <c:pt idx="0">
                  <c:v>1.1000000000000001</c:v>
                </c:pt>
                <c:pt idx="1">
                  <c:v>1.8</c:v>
                </c:pt>
                <c:pt idx="2">
                  <c:v>1.3</c:v>
                </c:pt>
                <c:pt idx="3">
                  <c:v>1.3</c:v>
                </c:pt>
                <c:pt idx="4">
                  <c:v>1.2</c:v>
                </c:pt>
                <c:pt idx="5">
                  <c:v>1.1000000000000001</c:v>
                </c:pt>
              </c:numCache>
            </c:numRef>
          </c:val>
          <c:smooth val="0"/>
          <c:extLst xmlns:c16r2="http://schemas.microsoft.com/office/drawing/2015/06/chart">
            <c:ext xmlns:c16="http://schemas.microsoft.com/office/drawing/2014/chart" uri="{C3380CC4-5D6E-409C-BE32-E72D297353CC}">
              <c16:uniqueId val="{00000007-2ABF-42DB-AC03-19EB7F1D6B01}"/>
            </c:ext>
          </c:extLst>
        </c:ser>
        <c:dLbls>
          <c:showLegendKey val="0"/>
          <c:showVal val="0"/>
          <c:showCatName val="0"/>
          <c:showSerName val="0"/>
          <c:showPercent val="0"/>
          <c:showBubbleSize val="0"/>
        </c:dLbls>
        <c:marker val="1"/>
        <c:smooth val="0"/>
        <c:axId val="83464960"/>
        <c:axId val="83466496"/>
      </c:lineChart>
      <c:catAx>
        <c:axId val="8346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3466496"/>
        <c:crosses val="autoZero"/>
        <c:auto val="1"/>
        <c:lblAlgn val="ctr"/>
        <c:lblOffset val="100"/>
        <c:noMultiLvlLbl val="0"/>
      </c:catAx>
      <c:valAx>
        <c:axId val="83466496"/>
        <c:scaling>
          <c:orientation val="minMax"/>
          <c:min val="1"/>
        </c:scaling>
        <c:delete val="1"/>
        <c:axPos val="l"/>
        <c:numFmt formatCode="0.00" sourceLinked="1"/>
        <c:majorTickMark val="none"/>
        <c:minorTickMark val="none"/>
        <c:tickLblPos val="nextTo"/>
        <c:crossAx val="834649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безработица!$B$42</c:f>
          <c:strCache>
            <c:ptCount val="1"/>
            <c:pt idx="0">
              <c:v>Среднегодовая численность занятых в экономике, тыс. человек</c:v>
            </c:pt>
          </c:strCache>
        </c:strRef>
      </c:tx>
      <c:layout>
        <c:manualLayout>
          <c:xMode val="edge"/>
          <c:yMode val="edge"/>
          <c:x val="0.17592518215641059"/>
          <c:y val="2.7703244570333893E-2"/>
        </c:manualLayout>
      </c:layout>
      <c:overlay val="0"/>
      <c:spPr>
        <a:noFill/>
        <a:ln>
          <a:noFill/>
        </a:ln>
        <a:effectLst/>
      </c:spPr>
      <c:txPr>
        <a:bodyPr rot="0" spcFirstLastPara="1" vertOverflow="ellipsis" vert="horz" wrap="square" anchor="ctr" anchorCtr="1"/>
        <a:lstStyle/>
        <a:p>
          <a:pPr>
            <a:defRPr sz="13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3.5718212869833156E-2"/>
          <c:y val="7.2358614715977695E-2"/>
          <c:w val="0.86228956334492024"/>
          <c:h val="0.79329012569685597"/>
        </c:manualLayout>
      </c:layout>
      <c:lineChart>
        <c:grouping val="standard"/>
        <c:varyColors val="0"/>
        <c:ser>
          <c:idx val="0"/>
          <c:order val="0"/>
          <c:tx>
            <c:strRef>
              <c:f>безработица!$B$42</c:f>
              <c:strCache>
                <c:ptCount val="1"/>
                <c:pt idx="0">
                  <c:v>Среднегодовая численность занятых в экономике, тыс. человек</c:v>
                </c:pt>
              </c:strCache>
            </c:strRef>
          </c:tx>
          <c:spPr>
            <a:ln w="38100" cap="rnd">
              <a:solidFill>
                <a:srgbClr val="CFAB87"/>
              </a:solidFill>
              <a:round/>
            </a:ln>
            <a:effectLst/>
          </c:spPr>
          <c:marker>
            <c:symbol val="circle"/>
            <c:size val="7"/>
            <c:spPr>
              <a:solidFill>
                <a:srgbClr val="CFAB87"/>
              </a:solidFill>
              <a:ln w="9525">
                <a:solidFill>
                  <a:srgbClr val="CFAB87"/>
                </a:solidFill>
              </a:ln>
              <a:effectLst/>
            </c:spPr>
          </c:marker>
          <c:dLbls>
            <c:dLbl>
              <c:idx val="0"/>
              <c:delete val="1"/>
              <c:extLst xmlns:c16r2="http://schemas.microsoft.com/office/drawing/2015/06/chart">
                <c:ext xmlns:c16="http://schemas.microsoft.com/office/drawing/2014/chart" uri="{C3380CC4-5D6E-409C-BE32-E72D297353CC}">
                  <c16:uniqueId val="{00000000-2A13-4619-8139-D1BA119972F0}"/>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1-2A13-4619-8139-D1BA119972F0}"/>
                </c:ext>
                <c:ext xmlns:c15="http://schemas.microsoft.com/office/drawing/2012/chart" uri="{CE6537A1-D6FC-4f65-9D91-7224C49458BB}"/>
              </c:extLst>
            </c:dLbl>
            <c:dLbl>
              <c:idx val="5"/>
              <c:layout>
                <c:manualLayout>
                  <c:x val="-2.1809637693198294E-3"/>
                  <c:y val="0.1195578008305998"/>
                </c:manualLayout>
              </c:layout>
              <c:tx>
                <c:rich>
                  <a:bodyPr/>
                  <a:lstStyle/>
                  <a:p>
                    <a:fld id="{A753087F-C351-4916-A993-DDBBA6B1B501}" type="VALUE">
                      <a:rPr lang="ru-RU"/>
                      <a:pPr/>
                      <a:t>[ЗНАЧЕНИЕ]</a:t>
                    </a:fld>
                    <a:r>
                      <a:rPr lang="ru-RU"/>
                      <a:t>;</a:t>
                    </a:r>
                  </a:p>
                  <a:p>
                    <a:r>
                      <a:rPr lang="ru-RU"/>
                      <a:t>  </a:t>
                    </a:r>
                    <a:r>
                      <a:rPr lang="ru-RU">
                        <a:solidFill>
                          <a:srgbClr val="CFAB87"/>
                        </a:solidFill>
                      </a:rPr>
                      <a:t>консервативный</a:t>
                    </a:r>
                    <a:r>
                      <a:rPr lang="ru-RU"/>
                      <a:t> </a:t>
                    </a:r>
                    <a:r>
                      <a:rPr lang="ru-RU">
                        <a:solidFill>
                          <a:srgbClr val="CFAB87"/>
                        </a:solidFill>
                      </a:rPr>
                      <a:t>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2A13-4619-8139-D1BA119972F0}"/>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безработица!$A$43:$A$48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безработица!$B$43:$B$48</c:f>
              <c:numCache>
                <c:formatCode>0.00</c:formatCode>
                <c:ptCount val="6"/>
                <c:pt idx="0">
                  <c:v>971.8</c:v>
                </c:pt>
                <c:pt idx="1">
                  <c:v>940.1</c:v>
                </c:pt>
                <c:pt idx="2">
                  <c:v>941.5</c:v>
                </c:pt>
                <c:pt idx="3">
                  <c:v>944.2</c:v>
                </c:pt>
                <c:pt idx="4">
                  <c:v>944.2</c:v>
                </c:pt>
                <c:pt idx="5">
                  <c:v>944</c:v>
                </c:pt>
              </c:numCache>
            </c:numRef>
          </c:val>
          <c:smooth val="0"/>
          <c:extLst xmlns:c16r2="http://schemas.microsoft.com/office/drawing/2015/06/chart">
            <c:ext xmlns:c16="http://schemas.microsoft.com/office/drawing/2014/chart" uri="{C3380CC4-5D6E-409C-BE32-E72D297353CC}">
              <c16:uniqueId val="{00000003-2A13-4619-8139-D1BA119972F0}"/>
            </c:ext>
          </c:extLst>
        </c:ser>
        <c:ser>
          <c:idx val="1"/>
          <c:order val="1"/>
          <c:tx>
            <c:strRef>
              <c:f>безработица!$C$42</c:f>
              <c:strCache>
                <c:ptCount val="1"/>
                <c:pt idx="0">
                  <c:v> Среднегодовая численность занятых в экономике, тыс. человек</c:v>
                </c:pt>
              </c:strCache>
            </c:strRef>
          </c:tx>
          <c:spPr>
            <a:ln w="38100" cap="rnd">
              <a:solidFill>
                <a:schemeClr val="accent3">
                  <a:lumMod val="75000"/>
                </a:schemeClr>
              </a:solidFill>
              <a:round/>
            </a:ln>
            <a:effectLst/>
          </c:spPr>
          <c:marker>
            <c:symbol val="circle"/>
            <c:size val="7"/>
            <c:spPr>
              <a:solidFill>
                <a:schemeClr val="accent3">
                  <a:lumMod val="75000"/>
                </a:schemeClr>
              </a:solidFill>
              <a:ln w="9525">
                <a:solidFill>
                  <a:schemeClr val="accent3">
                    <a:lumMod val="75000"/>
                  </a:schemeClr>
                </a:solidFill>
              </a:ln>
              <a:effectLst/>
            </c:spPr>
          </c:marker>
          <c:dLbls>
            <c:dLbl>
              <c:idx val="1"/>
              <c:delete val="1"/>
              <c:extLst xmlns:c16r2="http://schemas.microsoft.com/office/drawing/2015/06/chart">
                <c:ext xmlns:c16="http://schemas.microsoft.com/office/drawing/2014/chart" uri="{C3380CC4-5D6E-409C-BE32-E72D297353CC}">
                  <c16:uniqueId val="{00000004-2A13-4619-8139-D1BA119972F0}"/>
                </c:ext>
                <c:ext xmlns:c15="http://schemas.microsoft.com/office/drawing/2012/chart" uri="{CE6537A1-D6FC-4f65-9D91-7224C49458BB}"/>
              </c:extLst>
            </c:dLbl>
            <c:dLbl>
              <c:idx val="5"/>
              <c:layout>
                <c:manualLayout>
                  <c:x val="-2.5930374030442106E-2"/>
                  <c:y val="-0.11732583008660818"/>
                </c:manualLayout>
              </c:layout>
              <c:tx>
                <c:rich>
                  <a:bodyPr/>
                  <a:lstStyle/>
                  <a:p>
                    <a:fld id="{9CA0498A-020E-47AC-91B9-32C107E11391}" type="VALUE">
                      <a:rPr lang="ru-RU"/>
                      <a:pPr/>
                      <a:t>[ЗНАЧЕНИЕ]</a:t>
                    </a:fld>
                    <a:endParaRPr lang="ru-RU"/>
                  </a:p>
                  <a:p>
                    <a:r>
                      <a:rPr lang="ru-RU">
                        <a:solidFill>
                          <a:schemeClr val="accent3">
                            <a:lumMod val="75000"/>
                          </a:schemeClr>
                        </a:solidFill>
                      </a:rPr>
                      <a:t>базовый вариант</a:t>
                    </a:r>
                  </a:p>
                </c:rich>
              </c:tx>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A13-4619-8139-D1BA119972F0}"/>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solidFill>
                      <a:round/>
                    </a:ln>
                    <a:effectLst/>
                  </c:spPr>
                </c15:leaderLines>
              </c:ext>
            </c:extLst>
          </c:dLbls>
          <c:cat>
            <c:strRef>
              <c:f>безработица!$A$43:$A$48</c:f>
              <c:strCache>
                <c:ptCount val="6"/>
                <c:pt idx="0">
                  <c:v>2019 год                                 (отчет)</c:v>
                </c:pt>
                <c:pt idx="1">
                  <c:v>2020 год                                (отчет)</c:v>
                </c:pt>
                <c:pt idx="2">
                  <c:v>2021 год                            (оценка)</c:v>
                </c:pt>
                <c:pt idx="3">
                  <c:v>2022 год                            (прогн.)</c:v>
                </c:pt>
                <c:pt idx="4">
                  <c:v>2023 год                              (прогн.)</c:v>
                </c:pt>
                <c:pt idx="5">
                  <c:v>2024 год                                      (прогн.)</c:v>
                </c:pt>
              </c:strCache>
            </c:strRef>
          </c:cat>
          <c:val>
            <c:numRef>
              <c:f>безработица!$C$43:$C$48</c:f>
              <c:numCache>
                <c:formatCode>0.00</c:formatCode>
                <c:ptCount val="6"/>
                <c:pt idx="0">
                  <c:v>971.8</c:v>
                </c:pt>
                <c:pt idx="1">
                  <c:v>940.1</c:v>
                </c:pt>
                <c:pt idx="2">
                  <c:v>941.5</c:v>
                </c:pt>
                <c:pt idx="3">
                  <c:v>950.1</c:v>
                </c:pt>
                <c:pt idx="4">
                  <c:v>951.1</c:v>
                </c:pt>
                <c:pt idx="5">
                  <c:v>956</c:v>
                </c:pt>
              </c:numCache>
            </c:numRef>
          </c:val>
          <c:smooth val="0"/>
          <c:extLst xmlns:c16r2="http://schemas.microsoft.com/office/drawing/2015/06/chart">
            <c:ext xmlns:c16="http://schemas.microsoft.com/office/drawing/2014/chart" uri="{C3380CC4-5D6E-409C-BE32-E72D297353CC}">
              <c16:uniqueId val="{00000006-2A13-4619-8139-D1BA119972F0}"/>
            </c:ext>
          </c:extLst>
        </c:ser>
        <c:dLbls>
          <c:showLegendKey val="0"/>
          <c:showVal val="0"/>
          <c:showCatName val="0"/>
          <c:showSerName val="0"/>
          <c:showPercent val="0"/>
          <c:showBubbleSize val="0"/>
        </c:dLbls>
        <c:marker val="1"/>
        <c:smooth val="0"/>
        <c:axId val="83598336"/>
        <c:axId val="83612416"/>
      </c:lineChart>
      <c:catAx>
        <c:axId val="83598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3612416"/>
        <c:crosses val="autoZero"/>
        <c:auto val="1"/>
        <c:lblAlgn val="ctr"/>
        <c:lblOffset val="100"/>
        <c:noMultiLvlLbl val="0"/>
      </c:catAx>
      <c:valAx>
        <c:axId val="83612416"/>
        <c:scaling>
          <c:orientation val="minMax"/>
          <c:min val="935"/>
        </c:scaling>
        <c:delete val="1"/>
        <c:axPos val="l"/>
        <c:numFmt formatCode="0.00" sourceLinked="1"/>
        <c:majorTickMark val="none"/>
        <c:minorTickMark val="none"/>
        <c:tickLblPos val="nextTo"/>
        <c:crossAx val="8359833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Лист1!$D$13</c:f>
          <c:strCache>
            <c:ptCount val="1"/>
            <c:pt idx="0">
              <c:v>Доходы краевого бюджета, млн рублей </c:v>
            </c:pt>
          </c:strCache>
        </c:strRef>
      </c:tx>
      <c:layout>
        <c:manualLayout>
          <c:xMode val="edge"/>
          <c:yMode val="edge"/>
          <c:x val="0.29142191004852347"/>
          <c:y val="2.6505659406964323E-3"/>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4.8217257182777327E-2"/>
          <c:y val="0.32575568399218635"/>
          <c:w val="0.92469461360087857"/>
          <c:h val="0.50121381320250835"/>
        </c:manualLayout>
      </c:layout>
      <c:barChart>
        <c:barDir val="col"/>
        <c:grouping val="clustered"/>
        <c:varyColors val="0"/>
        <c:ser>
          <c:idx val="2"/>
          <c:order val="2"/>
          <c:tx>
            <c:strRef>
              <c:f>Лист1!$D$1</c:f>
              <c:strCache>
                <c:ptCount val="1"/>
                <c:pt idx="0">
                  <c:v>Всего доходов </c:v>
                </c:pt>
              </c:strCache>
            </c:strRef>
          </c:tx>
          <c:spPr>
            <a:solidFill>
              <a:schemeClr val="bg1">
                <a:lumMod val="75000"/>
              </a:schemeClr>
            </a:solidFill>
            <a:ln>
              <a:noFill/>
            </a:ln>
            <a:effectLst/>
            <a:scene3d>
              <a:camera prst="orthographicFront"/>
              <a:lightRig rig="threePt" dir="t"/>
            </a:scene3d>
            <a:sp3d>
              <a:bevelT w="165100" prst="coolSlant"/>
            </a:sp3d>
          </c:spPr>
          <c:invertIfNegative val="0"/>
          <c:dLbls>
            <c:dLbl>
              <c:idx val="4"/>
              <c:layout>
                <c:manualLayout>
                  <c:x val="4.8922425584028862E-3"/>
                  <c:y val="-2.652676986305520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380-4CA3-B88A-9674FF1F796E}"/>
                </c:ext>
                <c:ext xmlns:c15="http://schemas.microsoft.com/office/drawing/2012/chart" uri="{CE6537A1-D6FC-4f65-9D91-7224C49458BB}"/>
              </c:extLst>
            </c:dLbl>
            <c:spPr>
              <a:solidFill>
                <a:sysClr val="window" lastClr="FFFFFF"/>
              </a:solidFill>
              <a:ln>
                <a:noFill/>
              </a:ln>
              <a:effectLst/>
            </c:spPr>
            <c:txPr>
              <a:bodyPr rot="0" spcFirstLastPara="1" vertOverflow="clip" horzOverflow="clip" vert="horz" wrap="square" lIns="36576" tIns="18288" rIns="36576" bIns="18288" anchor="t"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15:showLeaderLines val="0"/>
              </c:ext>
            </c:extLst>
          </c:dLbls>
          <c:cat>
            <c:strRef>
              <c:f>Лист1!$A$2:$A$7</c:f>
              <c:strCache>
                <c:ptCount val="6"/>
                <c:pt idx="0">
                  <c:v>Поступило в 2020 году </c:v>
                </c:pt>
                <c:pt idx="1">
                  <c:v>Утверждено Законом № 969-КЗ на 2021 год (8 ред.)</c:v>
                </c:pt>
                <c:pt idx="2">
                  <c:v>Утверждено Законом № 969-КЗ на 2022 год (8 ред.)</c:v>
                </c:pt>
                <c:pt idx="3">
                  <c:v>Проект на 2022 год</c:v>
                </c:pt>
                <c:pt idx="4">
                  <c:v>Проект на 2023 год</c:v>
                </c:pt>
                <c:pt idx="5">
                  <c:v>Проект на 2024 год</c:v>
                </c:pt>
              </c:strCache>
            </c:strRef>
          </c:cat>
          <c:val>
            <c:numRef>
              <c:f>Лист1!$D$2:$D$7</c:f>
              <c:numCache>
                <c:formatCode>#,##0.00</c:formatCode>
                <c:ptCount val="6"/>
                <c:pt idx="0">
                  <c:v>144813.25</c:v>
                </c:pt>
                <c:pt idx="1">
                  <c:v>157970.84999999998</c:v>
                </c:pt>
                <c:pt idx="2">
                  <c:v>134907.69</c:v>
                </c:pt>
                <c:pt idx="3">
                  <c:v>152445.19</c:v>
                </c:pt>
                <c:pt idx="4">
                  <c:v>148224.51999999999</c:v>
                </c:pt>
                <c:pt idx="5">
                  <c:v>151001.70000000001</c:v>
                </c:pt>
              </c:numCache>
            </c:numRef>
          </c:val>
          <c:extLst xmlns:c16r2="http://schemas.microsoft.com/office/drawing/2015/06/chart">
            <c:ext xmlns:c16="http://schemas.microsoft.com/office/drawing/2014/chart" uri="{C3380CC4-5D6E-409C-BE32-E72D297353CC}">
              <c16:uniqueId val="{00000001-6380-4CA3-B88A-9674FF1F796E}"/>
            </c:ext>
          </c:extLst>
        </c:ser>
        <c:dLbls>
          <c:showLegendKey val="0"/>
          <c:showVal val="0"/>
          <c:showCatName val="0"/>
          <c:showSerName val="0"/>
          <c:showPercent val="0"/>
          <c:showBubbleSize val="0"/>
        </c:dLbls>
        <c:gapWidth val="37"/>
        <c:overlap val="-1"/>
        <c:axId val="83682048"/>
        <c:axId val="83683584"/>
      </c:barChart>
      <c:barChart>
        <c:barDir val="col"/>
        <c:grouping val="clustered"/>
        <c:varyColors val="0"/>
        <c:ser>
          <c:idx val="0"/>
          <c:order val="0"/>
          <c:tx>
            <c:strRef>
              <c:f>Лист1!$B$1</c:f>
              <c:strCache>
                <c:ptCount val="1"/>
                <c:pt idx="0">
                  <c:v>Налоговые и неналоговые доходы </c:v>
                </c:pt>
              </c:strCache>
            </c:strRef>
          </c:tx>
          <c:spPr>
            <a:solidFill>
              <a:schemeClr val="accent1"/>
            </a:solidFill>
            <a:ln>
              <a:noFill/>
            </a:ln>
            <a:effectLst/>
            <a:scene3d>
              <a:camera prst="orthographicFront"/>
              <a:lightRig rig="threePt" dir="t"/>
            </a:scene3d>
            <a:sp3d>
              <a:bevelT w="165100" prst="coolSlant"/>
            </a:sp3d>
          </c:spPr>
          <c:invertIfNegative val="0"/>
          <c:dLbls>
            <c:dLbl>
              <c:idx val="0"/>
              <c:layout>
                <c:manualLayout>
                  <c:x val="-6.4067100618978995E-3"/>
                  <c:y val="8.514394074165461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380-4CA3-B88A-9674FF1F796E}"/>
                </c:ext>
                <c:ext xmlns:c15="http://schemas.microsoft.com/office/drawing/2012/chart" uri="{CE6537A1-D6FC-4f65-9D91-7224C49458BB}"/>
              </c:extLst>
            </c:dLbl>
            <c:dLbl>
              <c:idx val="1"/>
              <c:layout>
                <c:manualLayout>
                  <c:x val="-2.135570020632633E-3"/>
                  <c:y val="0.1061282421709554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380-4CA3-B88A-9674FF1F796E}"/>
                </c:ext>
                <c:ext xmlns:c15="http://schemas.microsoft.com/office/drawing/2012/chart" uri="{CE6537A1-D6FC-4f65-9D91-7224C49458BB}"/>
              </c:extLst>
            </c:dLbl>
            <c:dLbl>
              <c:idx val="2"/>
              <c:layout>
                <c:manualLayout>
                  <c:x val="0"/>
                  <c:y val="9.913347502785507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380-4CA3-B88A-9674FF1F796E}"/>
                </c:ext>
                <c:ext xmlns:c15="http://schemas.microsoft.com/office/drawing/2012/chart" uri="{CE6537A1-D6FC-4f65-9D91-7224C49458BB}"/>
              </c:extLst>
            </c:dLbl>
            <c:dLbl>
              <c:idx val="3"/>
              <c:layout>
                <c:manualLayout>
                  <c:x val="-2.135570020632633E-3"/>
                  <c:y val="0.10612824217095548"/>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380-4CA3-B88A-9674FF1F796E}"/>
                </c:ext>
                <c:ext xmlns:c15="http://schemas.microsoft.com/office/drawing/2012/chart" uri="{CE6537A1-D6FC-4f65-9D91-7224C49458BB}"/>
              </c:extLst>
            </c:dLbl>
            <c:dLbl>
              <c:idx val="4"/>
              <c:layout>
                <c:manualLayout>
                  <c:x val="2.135570020632633E-3"/>
                  <c:y val="0.10962562574250555"/>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380-4CA3-B88A-9674FF1F796E}"/>
                </c:ext>
                <c:ext xmlns:c15="http://schemas.microsoft.com/office/drawing/2012/chart" uri="{CE6537A1-D6FC-4f65-9D91-7224C49458BB}"/>
              </c:extLst>
            </c:dLbl>
            <c:dLbl>
              <c:idx val="5"/>
              <c:layout>
                <c:manualLayout>
                  <c:x val="4.271140041265266E-3"/>
                  <c:y val="0.10612824217095541"/>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380-4CA3-B88A-9674FF1F796E}"/>
                </c:ext>
                <c:ext xmlns:c15="http://schemas.microsoft.com/office/drawing/2012/chart" uri="{CE6537A1-D6FC-4f65-9D91-7224C49458BB}"/>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ound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Поступило в 2020 году </c:v>
                </c:pt>
                <c:pt idx="1">
                  <c:v>Утверждено Законом № 969-КЗ на 2021 год (8 ред.)</c:v>
                </c:pt>
                <c:pt idx="2">
                  <c:v>Утверждено Законом № 969-КЗ на 2022 год (8 ред.)</c:v>
                </c:pt>
                <c:pt idx="3">
                  <c:v>Проект на 2022 год</c:v>
                </c:pt>
                <c:pt idx="4">
                  <c:v>Проект на 2023 год</c:v>
                </c:pt>
                <c:pt idx="5">
                  <c:v>Проект на 2024 год</c:v>
                </c:pt>
              </c:strCache>
            </c:strRef>
          </c:cat>
          <c:val>
            <c:numRef>
              <c:f>Лист1!$B$2:$B$7</c:f>
              <c:numCache>
                <c:formatCode>#,##0.00</c:formatCode>
                <c:ptCount val="6"/>
                <c:pt idx="0">
                  <c:v>91065.03</c:v>
                </c:pt>
                <c:pt idx="1">
                  <c:v>106502.54</c:v>
                </c:pt>
                <c:pt idx="2">
                  <c:v>101273.03</c:v>
                </c:pt>
                <c:pt idx="3">
                  <c:v>109728.74</c:v>
                </c:pt>
                <c:pt idx="4">
                  <c:v>113760.09</c:v>
                </c:pt>
                <c:pt idx="5">
                  <c:v>118302.8</c:v>
                </c:pt>
              </c:numCache>
            </c:numRef>
          </c:val>
          <c:extLst xmlns:c16r2="http://schemas.microsoft.com/office/drawing/2015/06/chart">
            <c:ext xmlns:c16="http://schemas.microsoft.com/office/drawing/2014/chart" uri="{C3380CC4-5D6E-409C-BE32-E72D297353CC}">
              <c16:uniqueId val="{00000008-6380-4CA3-B88A-9674FF1F796E}"/>
            </c:ext>
          </c:extLst>
        </c:ser>
        <c:ser>
          <c:idx val="1"/>
          <c:order val="1"/>
          <c:tx>
            <c:strRef>
              <c:f>Лист1!$C$1</c:f>
              <c:strCache>
                <c:ptCount val="1"/>
                <c:pt idx="0">
                  <c:v>Безвозмездные поступления от других бюджетов бюджетной системы РФ</c:v>
                </c:pt>
              </c:strCache>
            </c:strRef>
          </c:tx>
          <c:spPr>
            <a:solidFill>
              <a:schemeClr val="accent4">
                <a:lumMod val="60000"/>
                <a:lumOff val="40000"/>
              </a:schemeClr>
            </a:solidFill>
            <a:ln>
              <a:solidFill>
                <a:sysClr val="windowText" lastClr="000000">
                  <a:lumMod val="25000"/>
                  <a:lumOff val="75000"/>
                </a:sysClr>
              </a:solidFill>
            </a:ln>
            <a:effectLst/>
            <a:scene3d>
              <a:camera prst="orthographicFront"/>
              <a:lightRig rig="threePt" dir="t"/>
            </a:scene3d>
            <a:sp3d>
              <a:bevelT w="165100" prst="coolSlan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Base"/>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oundRect">
                    <a:avLst/>
                  </a:prstGeom>
                </c15:spPr>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Поступило в 2020 году </c:v>
                </c:pt>
                <c:pt idx="1">
                  <c:v>Утверждено Законом № 969-КЗ на 2021 год (8 ред.)</c:v>
                </c:pt>
                <c:pt idx="2">
                  <c:v>Утверждено Законом № 969-КЗ на 2022 год (8 ред.)</c:v>
                </c:pt>
                <c:pt idx="3">
                  <c:v>Проект на 2022 год</c:v>
                </c:pt>
                <c:pt idx="4">
                  <c:v>Проект на 2023 год</c:v>
                </c:pt>
                <c:pt idx="5">
                  <c:v>Проект на 2024 год</c:v>
                </c:pt>
              </c:strCache>
            </c:strRef>
          </c:cat>
          <c:val>
            <c:numRef>
              <c:f>Лист1!$C$2:$C$7</c:f>
              <c:numCache>
                <c:formatCode>#,##0.00</c:formatCode>
                <c:ptCount val="6"/>
                <c:pt idx="0">
                  <c:v>53748.22</c:v>
                </c:pt>
                <c:pt idx="1">
                  <c:v>51468.31</c:v>
                </c:pt>
                <c:pt idx="2">
                  <c:v>33634.660000000003</c:v>
                </c:pt>
                <c:pt idx="3">
                  <c:v>42716.45</c:v>
                </c:pt>
                <c:pt idx="4">
                  <c:v>34464.43</c:v>
                </c:pt>
                <c:pt idx="5">
                  <c:v>32698.9</c:v>
                </c:pt>
              </c:numCache>
            </c:numRef>
          </c:val>
          <c:extLst xmlns:c16r2="http://schemas.microsoft.com/office/drawing/2015/06/chart">
            <c:ext xmlns:c16="http://schemas.microsoft.com/office/drawing/2014/chart" uri="{C3380CC4-5D6E-409C-BE32-E72D297353CC}">
              <c16:uniqueId val="{00000009-6380-4CA3-B88A-9674FF1F796E}"/>
            </c:ext>
          </c:extLst>
        </c:ser>
        <c:dLbls>
          <c:showLegendKey val="0"/>
          <c:showVal val="0"/>
          <c:showCatName val="0"/>
          <c:showSerName val="0"/>
          <c:showPercent val="0"/>
          <c:showBubbleSize val="0"/>
        </c:dLbls>
        <c:gapWidth val="150"/>
        <c:axId val="83715584"/>
        <c:axId val="83714048"/>
      </c:barChart>
      <c:catAx>
        <c:axId val="836820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3683584"/>
        <c:crosses val="autoZero"/>
        <c:auto val="1"/>
        <c:lblAlgn val="ctr"/>
        <c:lblOffset val="100"/>
        <c:noMultiLvlLbl val="0"/>
      </c:catAx>
      <c:valAx>
        <c:axId val="83683584"/>
        <c:scaling>
          <c:orientation val="minMax"/>
          <c:max val="160000"/>
          <c:min val="0"/>
        </c:scaling>
        <c:delete val="1"/>
        <c:axPos val="l"/>
        <c:numFmt formatCode="#,##0.00" sourceLinked="1"/>
        <c:majorTickMark val="none"/>
        <c:minorTickMark val="none"/>
        <c:tickLblPos val="nextTo"/>
        <c:crossAx val="83682048"/>
        <c:crosses val="autoZero"/>
        <c:crossBetween val="between"/>
        <c:minorUnit val="1000"/>
      </c:valAx>
      <c:valAx>
        <c:axId val="83714048"/>
        <c:scaling>
          <c:orientation val="minMax"/>
        </c:scaling>
        <c:delete val="1"/>
        <c:axPos val="r"/>
        <c:numFmt formatCode="#,##0.00" sourceLinked="1"/>
        <c:majorTickMark val="out"/>
        <c:minorTickMark val="none"/>
        <c:tickLblPos val="nextTo"/>
        <c:crossAx val="83715584"/>
        <c:crosses val="max"/>
        <c:crossBetween val="between"/>
      </c:valAx>
      <c:catAx>
        <c:axId val="83715584"/>
        <c:scaling>
          <c:orientation val="minMax"/>
        </c:scaling>
        <c:delete val="1"/>
        <c:axPos val="b"/>
        <c:numFmt formatCode="General" sourceLinked="1"/>
        <c:majorTickMark val="out"/>
        <c:minorTickMark val="none"/>
        <c:tickLblPos val="nextTo"/>
        <c:crossAx val="83714048"/>
        <c:crosses val="autoZero"/>
        <c:auto val="1"/>
        <c:lblAlgn val="ctr"/>
        <c:lblOffset val="100"/>
        <c:noMultiLvlLbl val="0"/>
      </c:catAx>
      <c:spPr>
        <a:noFill/>
        <a:ln>
          <a:noFill/>
        </a:ln>
        <a:effectLst/>
      </c:spPr>
    </c:plotArea>
    <c:legend>
      <c:legendPos val="t"/>
      <c:layout>
        <c:manualLayout>
          <c:xMode val="edge"/>
          <c:yMode val="edge"/>
          <c:x val="2.1781774873009929E-2"/>
          <c:y val="8.3398457207873311E-2"/>
          <c:w val="0.7642377439324628"/>
          <c:h val="0.15266599805105663"/>
        </c:manualLayout>
      </c:layout>
      <c:overlay val="0"/>
      <c:spPr>
        <a:noFill/>
        <a:ln>
          <a:noFill/>
        </a:ln>
        <a:effectLst/>
      </c:spPr>
      <c:txPr>
        <a:bodyPr rot="0" spcFirstLastPara="1" vertOverflow="ellipsis" vert="horz" wrap="square" anchor="ctr" anchorCtr="1"/>
        <a:lstStyle/>
        <a:p>
          <a:pPr>
            <a:defRPr sz="9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Лист1!$A$26</c:f>
          <c:strCache>
            <c:ptCount val="1"/>
            <c:pt idx="0">
              <c:v>Структура налоговых и неналоговых доходов, представленных в законопроекте  на 2022 год</c:v>
            </c:pt>
          </c:strCache>
        </c:strRef>
      </c:tx>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3317107774184786"/>
          <c:y val="0.17986128134979393"/>
          <c:w val="0.28929836308365214"/>
          <c:h val="0.5465325240322545"/>
        </c:manualLayout>
      </c:layout>
      <c:pieChart>
        <c:varyColors val="1"/>
        <c:ser>
          <c:idx val="0"/>
          <c:order val="0"/>
          <c:spPr>
            <a:ln>
              <a:solidFill>
                <a:sysClr val="window" lastClr="FFFFFF">
                  <a:lumMod val="65000"/>
                </a:sysClr>
              </a:solidFill>
            </a:ln>
            <a:scene3d>
              <a:camera prst="orthographicFront"/>
              <a:lightRig rig="threePt" dir="t">
                <a:rot lat="0" lon="0" rev="3600000"/>
              </a:lightRig>
            </a:scene3d>
            <a:sp3d>
              <a:bevelT w="165100" prst="coolSlant"/>
              <a:bevelB w="165100" prst="coolSlant"/>
            </a:sp3d>
          </c:spPr>
          <c:dPt>
            <c:idx val="0"/>
            <c:bubble3D val="0"/>
            <c:spPr>
              <a:solidFill>
                <a:srgbClr val="DABFFD"/>
              </a:solidFill>
              <a:ln w="19050">
                <a:solidFill>
                  <a:sysClr val="window" lastClr="FFFFFF">
                    <a:lumMod val="65000"/>
                  </a:sysClr>
                </a:solidFill>
              </a:ln>
              <a:effectLst/>
              <a:scene3d>
                <a:camera prst="orthographicFront"/>
                <a:lightRig rig="threePt" dir="t">
                  <a:rot lat="0" lon="0" rev="3600000"/>
                </a:lightRig>
              </a:scene3d>
              <a:sp3d>
                <a:bevelT w="165100" prst="coolSlant"/>
                <a:bevelB w="165100" prst="coolSlant"/>
              </a:sp3d>
            </c:spPr>
            <c:extLst xmlns:c16r2="http://schemas.microsoft.com/office/drawing/2015/06/chart">
              <c:ext xmlns:c16="http://schemas.microsoft.com/office/drawing/2014/chart" uri="{C3380CC4-5D6E-409C-BE32-E72D297353CC}">
                <c16:uniqueId val="{00000001-C54B-47EC-B703-2A5933BE3892}"/>
              </c:ext>
            </c:extLst>
          </c:dPt>
          <c:dPt>
            <c:idx val="1"/>
            <c:bubble3D val="0"/>
            <c:spPr>
              <a:solidFill>
                <a:schemeClr val="accent5"/>
              </a:solidFill>
              <a:ln w="19050">
                <a:solidFill>
                  <a:sysClr val="window" lastClr="FFFFFF">
                    <a:lumMod val="65000"/>
                  </a:sysClr>
                </a:solidFill>
              </a:ln>
              <a:effectLst/>
              <a:scene3d>
                <a:camera prst="orthographicFront"/>
                <a:lightRig rig="threePt" dir="t">
                  <a:rot lat="0" lon="0" rev="3600000"/>
                </a:lightRig>
              </a:scene3d>
              <a:sp3d>
                <a:bevelT w="165100" prst="coolSlant"/>
                <a:bevelB w="165100" prst="coolSlant"/>
              </a:sp3d>
            </c:spPr>
            <c:extLst xmlns:c16r2="http://schemas.microsoft.com/office/drawing/2015/06/chart">
              <c:ext xmlns:c16="http://schemas.microsoft.com/office/drawing/2014/chart" uri="{C3380CC4-5D6E-409C-BE32-E72D297353CC}">
                <c16:uniqueId val="{00000003-C54B-47EC-B703-2A5933BE3892}"/>
              </c:ext>
            </c:extLst>
          </c:dPt>
          <c:dPt>
            <c:idx val="2"/>
            <c:bubble3D val="0"/>
            <c:spPr>
              <a:solidFill>
                <a:srgbClr val="FFFF00"/>
              </a:solidFill>
              <a:ln w="19050">
                <a:solidFill>
                  <a:sysClr val="window" lastClr="FFFFFF">
                    <a:lumMod val="65000"/>
                  </a:sysClr>
                </a:solidFill>
              </a:ln>
              <a:effectLst/>
              <a:scene3d>
                <a:camera prst="orthographicFront"/>
                <a:lightRig rig="threePt" dir="t">
                  <a:rot lat="0" lon="0" rev="3600000"/>
                </a:lightRig>
              </a:scene3d>
              <a:sp3d>
                <a:bevelT w="165100" prst="coolSlant"/>
                <a:bevelB w="165100" prst="coolSlant"/>
              </a:sp3d>
            </c:spPr>
            <c:extLst xmlns:c16r2="http://schemas.microsoft.com/office/drawing/2015/06/chart">
              <c:ext xmlns:c16="http://schemas.microsoft.com/office/drawing/2014/chart" uri="{C3380CC4-5D6E-409C-BE32-E72D297353CC}">
                <c16:uniqueId val="{00000005-C54B-47EC-B703-2A5933BE3892}"/>
              </c:ext>
            </c:extLst>
          </c:dPt>
          <c:dPt>
            <c:idx val="3"/>
            <c:bubble3D val="0"/>
            <c:spPr>
              <a:solidFill>
                <a:srgbClr val="A6F4C9"/>
              </a:solidFill>
              <a:ln w="19050">
                <a:solidFill>
                  <a:sysClr val="window" lastClr="FFFFFF">
                    <a:lumMod val="65000"/>
                  </a:sysClr>
                </a:solidFill>
              </a:ln>
              <a:effectLst/>
              <a:scene3d>
                <a:camera prst="orthographicFront"/>
                <a:lightRig rig="threePt" dir="t">
                  <a:rot lat="0" lon="0" rev="3600000"/>
                </a:lightRig>
              </a:scene3d>
              <a:sp3d>
                <a:bevelT w="165100" prst="coolSlant"/>
                <a:bevelB w="165100" prst="coolSlant"/>
              </a:sp3d>
            </c:spPr>
            <c:extLst xmlns:c16r2="http://schemas.microsoft.com/office/drawing/2015/06/chart">
              <c:ext xmlns:c16="http://schemas.microsoft.com/office/drawing/2014/chart" uri="{C3380CC4-5D6E-409C-BE32-E72D297353CC}">
                <c16:uniqueId val="{00000007-C54B-47EC-B703-2A5933BE3892}"/>
              </c:ext>
            </c:extLst>
          </c:dPt>
          <c:dPt>
            <c:idx val="4"/>
            <c:bubble3D val="0"/>
            <c:spPr>
              <a:solidFill>
                <a:srgbClr val="1CADE4">
                  <a:lumMod val="50000"/>
                </a:srgbClr>
              </a:solidFill>
              <a:ln w="19050">
                <a:solidFill>
                  <a:sysClr val="window" lastClr="FFFFFF">
                    <a:lumMod val="65000"/>
                  </a:sysClr>
                </a:solidFill>
              </a:ln>
              <a:effectLst/>
              <a:scene3d>
                <a:camera prst="orthographicFront"/>
                <a:lightRig rig="threePt" dir="t">
                  <a:rot lat="0" lon="0" rev="3600000"/>
                </a:lightRig>
              </a:scene3d>
              <a:sp3d>
                <a:bevelT w="165100" prst="coolSlant"/>
                <a:bevelB w="165100" prst="coolSlant"/>
              </a:sp3d>
            </c:spPr>
            <c:extLst xmlns:c16r2="http://schemas.microsoft.com/office/drawing/2015/06/chart">
              <c:ext xmlns:c16="http://schemas.microsoft.com/office/drawing/2014/chart" uri="{C3380CC4-5D6E-409C-BE32-E72D297353CC}">
                <c16:uniqueId val="{00000009-C54B-47EC-B703-2A5933BE3892}"/>
              </c:ext>
            </c:extLst>
          </c:dPt>
          <c:dPt>
            <c:idx val="5"/>
            <c:bubble3D val="0"/>
            <c:spPr>
              <a:solidFill>
                <a:srgbClr val="23CBD3"/>
              </a:solidFill>
              <a:ln w="19050">
                <a:solidFill>
                  <a:sysClr val="window" lastClr="FFFFFF">
                    <a:lumMod val="65000"/>
                  </a:sysClr>
                </a:solidFill>
              </a:ln>
              <a:effectLst/>
              <a:scene3d>
                <a:camera prst="orthographicFront"/>
                <a:lightRig rig="threePt" dir="t">
                  <a:rot lat="0" lon="0" rev="3600000"/>
                </a:lightRig>
              </a:scene3d>
              <a:sp3d>
                <a:bevelT w="165100" prst="coolSlant"/>
                <a:bevelB w="165100" prst="coolSlant"/>
              </a:sp3d>
            </c:spPr>
            <c:extLst xmlns:c16r2="http://schemas.microsoft.com/office/drawing/2015/06/chart">
              <c:ext xmlns:c16="http://schemas.microsoft.com/office/drawing/2014/chart" uri="{C3380CC4-5D6E-409C-BE32-E72D297353CC}">
                <c16:uniqueId val="{0000000B-C54B-47EC-B703-2A5933BE3892}"/>
              </c:ext>
            </c:extLst>
          </c:dPt>
          <c:dPt>
            <c:idx val="6"/>
            <c:bubble3D val="0"/>
            <c:spPr>
              <a:solidFill>
                <a:schemeClr val="accent6">
                  <a:lumMod val="80000"/>
                  <a:lumOff val="20000"/>
                </a:schemeClr>
              </a:solidFill>
              <a:ln w="19050">
                <a:solidFill>
                  <a:sysClr val="window" lastClr="FFFFFF">
                    <a:lumMod val="65000"/>
                  </a:sysClr>
                </a:solidFill>
              </a:ln>
              <a:effectLst/>
              <a:scene3d>
                <a:camera prst="orthographicFront"/>
                <a:lightRig rig="threePt" dir="t">
                  <a:rot lat="0" lon="0" rev="3600000"/>
                </a:lightRig>
              </a:scene3d>
              <a:sp3d>
                <a:bevelT w="165100" prst="coolSlant"/>
                <a:bevelB w="165100" prst="coolSlant"/>
              </a:sp3d>
            </c:spPr>
            <c:extLst xmlns:c16r2="http://schemas.microsoft.com/office/drawing/2015/06/chart">
              <c:ext xmlns:c16="http://schemas.microsoft.com/office/drawing/2014/chart" uri="{C3380CC4-5D6E-409C-BE32-E72D297353CC}">
                <c16:uniqueId val="{0000000D-C54B-47EC-B703-2A5933BE3892}"/>
              </c:ext>
            </c:extLst>
          </c:dPt>
          <c:dLbls>
            <c:dLbl>
              <c:idx val="0"/>
              <c:layout>
                <c:manualLayout>
                  <c:x val="0.12183339475446246"/>
                  <c:y val="-0.15199334516560281"/>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BBCA15B9-C1C4-401D-AB20-E9FBD9113CEE}" type="CATEGORYNAME">
                      <a:rPr lang="ru-RU"/>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[ИМЯ КАТЕГОРИИ]</a:t>
                    </a:fld>
                    <a:r>
                      <a:rPr lang="ru-RU" baseline="0"/>
                      <a:t>; </a:t>
                    </a:r>
                    <a:fld id="{202D83CE-0898-4F86-BD83-21AF38E47181}" type="VALUE">
                      <a:rPr lang="ru-RU" b="1" baseline="0"/>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endParaRPr lang="ru-RU" baseline="0"/>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dLblPos val="bestFi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1-C54B-47EC-B703-2A5933BE3892}"/>
                </c:ext>
                <c:ext xmlns:c15="http://schemas.microsoft.com/office/drawing/2012/chart" uri="{CE6537A1-D6FC-4f65-9D91-7224C49458BB}">
                  <c15:spPr xmlns:c15="http://schemas.microsoft.com/office/drawing/2012/chart">
                    <a:prstGeom prst="wedgeRoundRectCallout">
                      <a:avLst>
                        <a:gd name="adj1" fmla="val -140842"/>
                        <a:gd name="adj2" fmla="val 1236"/>
                        <a:gd name="adj3" fmla="val 16667"/>
                      </a:avLst>
                    </a:prstGeom>
                  </c15:spPr>
                  <c15:dlblFieldTable/>
                  <c15:showDataLabelsRange val="0"/>
                </c:ext>
              </c:extLst>
            </c:dLbl>
            <c:dLbl>
              <c:idx val="1"/>
              <c:layout>
                <c:manualLayout>
                  <c:x val="0.10233002351304629"/>
                  <c:y val="0.10066286857355781"/>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B225C493-8CAE-475E-B1EF-6E32F7BC55E0}" type="CATEGORYNAME">
                      <a:rPr lang="ru-RU"/>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[ИМЯ КАТЕГОРИИ]</a:t>
                    </a:fld>
                    <a:r>
                      <a:rPr lang="ru-RU" baseline="0"/>
                      <a:t>; </a:t>
                    </a:r>
                    <a:fld id="{A3DFAA62-1A26-4D17-AF3A-0E7ED44F27FB}" type="VALUE">
                      <a:rPr lang="ru-RU" b="1" baseline="0"/>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endParaRPr lang="ru-RU" baseline="0"/>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dLblPos val="bestFi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3-C54B-47EC-B703-2A5933BE3892}"/>
                </c:ext>
                <c:ext xmlns:c15="http://schemas.microsoft.com/office/drawing/2012/chart" uri="{CE6537A1-D6FC-4f65-9D91-7224C49458BB}">
                  <c15:spPr xmlns:c15="http://schemas.microsoft.com/office/drawing/2012/chart">
                    <a:prstGeom prst="wedgeRoundRectCallout">
                      <a:avLst>
                        <a:gd name="adj1" fmla="val -128622"/>
                        <a:gd name="adj2" fmla="val -177590"/>
                        <a:gd name="adj3" fmla="val 16667"/>
                      </a:avLst>
                    </a:prstGeom>
                  </c15:spPr>
                  <c15:dlblFieldTable/>
                  <c15:showDataLabelsRange val="0"/>
                </c:ext>
              </c:extLst>
            </c:dLbl>
            <c:dLbl>
              <c:idx val="2"/>
              <c:layout>
                <c:manualLayout>
                  <c:x val="-0.11057957323561322"/>
                  <c:y val="3.7158065391265538E-2"/>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EC0D30C3-4161-4D03-8FB9-0D56CF808453}" type="CATEGORYNAME">
                      <a:rPr lang="ru-RU"/>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[ИМЯ КАТЕГОРИИ]</a:t>
                    </a:fld>
                    <a:r>
                      <a:rPr lang="ru-RU" baseline="0"/>
                      <a:t>; </a:t>
                    </a:r>
                    <a:fld id="{30CE3A7F-2545-4055-A0F2-98D03D131527}" type="VALUE">
                      <a:rPr lang="ru-RU" b="1" baseline="0"/>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endParaRPr lang="ru-RU" baseline="0"/>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dLblPos val="bestFi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5-C54B-47EC-B703-2A5933BE3892}"/>
                </c:ext>
                <c:ext xmlns:c15="http://schemas.microsoft.com/office/drawing/2012/chart" uri="{CE6537A1-D6FC-4f65-9D91-7224C49458BB}">
                  <c15:spPr xmlns:c15="http://schemas.microsoft.com/office/drawing/2012/chart">
                    <a:prstGeom prst="wedgeRoundRectCallout">
                      <a:avLst>
                        <a:gd name="adj1" fmla="val 10048"/>
                        <a:gd name="adj2" fmla="val -86878"/>
                        <a:gd name="adj3" fmla="val 16667"/>
                      </a:avLst>
                    </a:prstGeom>
                  </c15:spPr>
                  <c15:layout>
                    <c:manualLayout>
                      <c:w val="0.2984809084098502"/>
                      <c:h val="0.22130723696897783"/>
                    </c:manualLayout>
                  </c15:layout>
                  <c15:dlblFieldTable/>
                  <c15:showDataLabelsRange val="0"/>
                </c:ext>
              </c:extLst>
            </c:dLbl>
            <c:dLbl>
              <c:idx val="3"/>
              <c:layout>
                <c:manualLayout>
                  <c:x val="-8.9525361735847631E-2"/>
                  <c:y val="-0.10654566373474797"/>
                </c:manualLayout>
              </c:layout>
              <c:tx>
                <c:rich>
                  <a:bodyPr rot="0" spcFirstLastPara="1" vertOverflow="clip" horzOverflow="clip" vert="horz" wrap="square" lIns="36576" tIns="18288" rIns="36576" bIns="18288"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0C36596E-E25F-4A2F-A4F3-B43769F58F7A}" type="CATEGORYNAME">
                      <a:rPr lang="ru-RU"/>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[ИМЯ КАТЕГОРИИ]</a:t>
                    </a:fld>
                    <a:r>
                      <a:rPr lang="ru-RU" baseline="0"/>
                      <a:t>; </a:t>
                    </a:r>
                    <a:fld id="{ADEC9CF8-F76F-4E2B-B860-AA6F904846AE}" type="VALUE">
                      <a:rPr lang="ru-RU" b="1" baseline="0"/>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endParaRPr lang="ru-RU" baseline="0"/>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dLblPos val="bestFi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7-C54B-47EC-B703-2A5933BE3892}"/>
                </c:ext>
                <c:ext xmlns:c15="http://schemas.microsoft.com/office/drawing/2012/chart" uri="{CE6537A1-D6FC-4f65-9D91-7224C49458BB}">
                  <c15:spPr xmlns:c15="http://schemas.microsoft.com/office/drawing/2012/chart">
                    <a:prstGeom prst="wedgeRoundRectCallout">
                      <a:avLst>
                        <a:gd name="adj1" fmla="val 86779"/>
                        <a:gd name="adj2" fmla="val -31906"/>
                        <a:gd name="adj3" fmla="val 16667"/>
                      </a:avLst>
                    </a:prstGeom>
                  </c15:spPr>
                  <c15:layout>
                    <c:manualLayout>
                      <c:w val="0.25120930417646375"/>
                      <c:h val="0.25911689432345242"/>
                    </c:manualLayout>
                  </c15:layout>
                  <c15:dlblFieldTable/>
                  <c15:showDataLabelsRange val="0"/>
                </c:ext>
              </c:extLst>
            </c:dLbl>
            <c:dLbl>
              <c:idx val="4"/>
              <c:layout>
                <c:manualLayout>
                  <c:x val="-4.2288533972805145E-2"/>
                  <c:y val="-0.14459409105617713"/>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1067D197-C35F-4CF6-95DE-13016D079905}" type="CATEGORYNAME">
                      <a:rPr lang="ru-RU"/>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[ИМЯ КАТЕГОРИИ]</a:t>
                    </a:fld>
                    <a:r>
                      <a:rPr lang="ru-RU" baseline="0"/>
                      <a:t>; </a:t>
                    </a:r>
                    <a:fld id="{A618206A-0E86-49E9-AEEF-CF39B911485A}" type="VALUE">
                      <a:rPr lang="ru-RU" b="1" baseline="0"/>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endParaRPr lang="ru-RU" baseline="0"/>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dLblPos val="bestFi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9-C54B-47EC-B703-2A5933BE3892}"/>
                </c:ext>
                <c:ext xmlns:c15="http://schemas.microsoft.com/office/drawing/2012/chart" uri="{CE6537A1-D6FC-4f65-9D91-7224C49458BB}">
                  <c15:spPr xmlns:c15="http://schemas.microsoft.com/office/drawing/2012/chart">
                    <a:prstGeom prst="wedgeRoundRectCallout">
                      <a:avLst>
                        <a:gd name="adj1" fmla="val 81298"/>
                        <a:gd name="adj2" fmla="val 43612"/>
                        <a:gd name="adj3" fmla="val 16667"/>
                      </a:avLst>
                    </a:prstGeom>
                  </c15:spPr>
                  <c15:layout>
                    <c:manualLayout>
                      <c:w val="0.22127368390091648"/>
                      <c:h val="0.15822877465578447"/>
                    </c:manualLayout>
                  </c15:layout>
                  <c15:dlblFieldTable/>
                  <c15:showDataLabelsRange val="0"/>
                </c:ext>
              </c:extLst>
            </c:dLbl>
            <c:dLbl>
              <c:idx val="5"/>
              <c:layout>
                <c:manualLayout>
                  <c:x val="-4.2849455947208993E-3"/>
                  <c:y val="7.3948341444767682E-2"/>
                </c:manualLayout>
              </c:layout>
              <c:tx>
                <c:rich>
                  <a:bodyPr rot="0" spcFirstLastPara="1" vertOverflow="clip" horzOverflow="clip" vert="horz" wrap="square" lIns="36576" tIns="18288" rIns="36576" bIns="18288" anchor="ctr" anchorCtr="1">
                    <a:no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B25C5F11-7F4C-4768-ACFA-37EF6B9D7E8D}" type="CATEGORYNAME">
                      <a:rPr lang="ru-RU"/>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[ИМЯ КАТЕГОРИИ]</a:t>
                    </a:fld>
                    <a:r>
                      <a:rPr lang="ru-RU" baseline="0"/>
                      <a:t>; </a:t>
                    </a:r>
                    <a:fld id="{BF54A063-8C3E-49D3-843C-103C0323DF3C}" type="VALUE">
                      <a:rPr lang="ru-RU" b="1" baseline="0"/>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endParaRPr lang="ru-RU" baseline="0"/>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dLblPos val="bestFi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B-C54B-47EC-B703-2A5933BE3892}"/>
                </c:ext>
                <c:ext xmlns:c15="http://schemas.microsoft.com/office/drawing/2012/chart" uri="{CE6537A1-D6FC-4f65-9D91-7224C49458BB}">
                  <c15:spPr xmlns:c15="http://schemas.microsoft.com/office/drawing/2012/chart">
                    <a:prstGeom prst="wedgeRoundRectCallout">
                      <a:avLst>
                        <a:gd name="adj1" fmla="val 80567"/>
                        <a:gd name="adj2" fmla="val 64303"/>
                        <a:gd name="adj3" fmla="val 16667"/>
                      </a:avLst>
                    </a:prstGeom>
                  </c15:spPr>
                  <c15:layout>
                    <c:manualLayout>
                      <c:w val="0.21596620626772345"/>
                      <c:h val="0.18634059285553187"/>
                    </c:manualLayout>
                  </c15:layout>
                  <c15:dlblFieldTable/>
                  <c15:showDataLabelsRange val="0"/>
                </c:ext>
              </c:extLst>
            </c:dLbl>
            <c:dLbl>
              <c:idx val="6"/>
              <c:layout>
                <c:manualLayout>
                  <c:x val="1.3036850947356037E-3"/>
                  <c:y val="-7.2834482240155887E-2"/>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fld id="{88CE8C53-F288-4D6F-8134-909834888CBA}" type="CATEGORYNAME">
                      <a:rPr lang="ru-RU"/>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[ИМЯ КАТЕГОРИИ]</a:t>
                    </a:fld>
                    <a:r>
                      <a:rPr lang="ru-RU" baseline="0"/>
                      <a:t>; </a:t>
                    </a:r>
                    <a:fld id="{9B9AC0A6-0513-4EC1-8F22-A2FFBF2B1AFB}" type="VALUE">
                      <a:rPr lang="ru-RU" b="1" baseline="0"/>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t>[ЗНАЧЕНИЕ]</a:t>
                    </a:fld>
                    <a:endParaRPr lang="ru-RU" baseline="0"/>
                  </a:p>
                </c:rich>
              </c:tx>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dLblPos val="bestFit"/>
              <c:showLegendKey val="0"/>
              <c:showVal val="1"/>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D-C54B-47EC-B703-2A5933BE3892}"/>
                </c:ext>
                <c:ext xmlns:c15="http://schemas.microsoft.com/office/drawing/2012/chart" uri="{CE6537A1-D6FC-4f65-9D91-7224C49458BB}">
                  <c15:spPr xmlns:c15="http://schemas.microsoft.com/office/drawing/2012/chart">
                    <a:prstGeom prst="wedgeRoundRectCallout">
                      <a:avLst>
                        <a:gd name="adj1" fmla="val -81886"/>
                        <a:gd name="adj2" fmla="val 65889"/>
                        <a:gd name="adj3" fmla="val 16667"/>
                      </a:avLst>
                    </a:prstGeom>
                  </c15:spPr>
                  <c15:dlblFieldTable/>
                  <c15:showDataLabelsRange val="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1"/>
            <c:showSerName val="0"/>
            <c:showPercent val="0"/>
            <c:showBubbleSize val="0"/>
            <c:separator>; </c:separator>
            <c:showLeaderLines val="0"/>
            <c:extLst xmlns:c16r2="http://schemas.microsoft.com/office/drawing/2015/06/chart">
              <c:ext xmlns:c15="http://schemas.microsoft.com/office/drawing/2012/chart" uri="{CE6537A1-D6FC-4f65-9D91-7224C49458BB}">
                <c15:spPr xmlns:c15="http://schemas.microsoft.com/office/drawing/2012/chart">
                  <a:prstGeom prst="wedgeRoundRectCallout">
                    <a:avLst/>
                  </a:prstGeom>
                </c15:spPr>
              </c:ext>
            </c:extLst>
          </c:dLbls>
          <c:cat>
            <c:strRef>
              <c:f>Лист1!$A$16:$A$22</c:f>
              <c:strCache>
                <c:ptCount val="7"/>
                <c:pt idx="0">
                  <c:v>Остальные налоговые и неналоговые доходы</c:v>
                </c:pt>
                <c:pt idx="1">
                  <c:v>Транспортный налог</c:v>
                </c:pt>
                <c:pt idx="2">
                  <c:v>Налог, взимаемый в связи с применением упрощенной системы налогообложения</c:v>
                </c:pt>
                <c:pt idx="3">
                  <c:v>Акцизы по подакцизным товарам (продукции), производимым на территории Российской Федерации</c:v>
                </c:pt>
                <c:pt idx="4">
                  <c:v>Налог на имущество организаций</c:v>
                </c:pt>
                <c:pt idx="5">
                  <c:v>Налог на прибыль организаций</c:v>
                </c:pt>
                <c:pt idx="6">
                  <c:v>Налог на доходы физических лиц</c:v>
                </c:pt>
              </c:strCache>
            </c:strRef>
          </c:cat>
          <c:val>
            <c:numRef>
              <c:f>Лист1!$B$16:$B$22</c:f>
              <c:numCache>
                <c:formatCode>0.00%</c:formatCode>
                <c:ptCount val="7"/>
                <c:pt idx="0">
                  <c:v>2.2999999999999909E-2</c:v>
                </c:pt>
                <c:pt idx="1">
                  <c:v>2.0899999999999998E-2</c:v>
                </c:pt>
                <c:pt idx="2">
                  <c:v>6.7299999999999999E-2</c:v>
                </c:pt>
                <c:pt idx="3">
                  <c:v>0.107</c:v>
                </c:pt>
                <c:pt idx="4">
                  <c:v>0.11459999999999999</c:v>
                </c:pt>
                <c:pt idx="5">
                  <c:v>0.26569999999999999</c:v>
                </c:pt>
                <c:pt idx="6">
                  <c:v>0.40150000000000002</c:v>
                </c:pt>
              </c:numCache>
            </c:numRef>
          </c:val>
          <c:extLst xmlns:c16r2="http://schemas.microsoft.com/office/drawing/2015/06/chart">
            <c:ext xmlns:c16="http://schemas.microsoft.com/office/drawing/2014/chart" uri="{C3380CC4-5D6E-409C-BE32-E72D297353CC}">
              <c16:uniqueId val="{0000000E-C54B-47EC-B703-2A5933BE3892}"/>
            </c:ext>
          </c:extLst>
        </c:ser>
        <c:dLbls>
          <c:showLegendKey val="0"/>
          <c:showVal val="0"/>
          <c:showCatName val="0"/>
          <c:showSerName val="0"/>
          <c:showPercent val="0"/>
          <c:showBubbleSize val="0"/>
          <c:showLeaderLines val="0"/>
        </c:dLbls>
        <c:firstSliceAng val="143"/>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Диаграмма!$A$1</c:f>
          <c:strCache>
            <c:ptCount val="1"/>
            <c:pt idx="0">
              <c:v>Безвозмездные поступления из федерального бюджета,                                                             млн рублей</c:v>
            </c:pt>
          </c:strCache>
        </c:strRef>
      </c:tx>
      <c:layout>
        <c:manualLayout>
          <c:xMode val="edge"/>
          <c:yMode val="edge"/>
          <c:x val="0.1578660167201538"/>
          <c:y val="4.1994750656167978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30709623049089552"/>
          <c:y val="0.22362204724409449"/>
          <c:w val="0.57965851581753125"/>
          <c:h val="0.71863517060367466"/>
        </c:manualLayout>
      </c:layout>
      <c:barChart>
        <c:barDir val="bar"/>
        <c:grouping val="clustered"/>
        <c:varyColors val="0"/>
        <c:ser>
          <c:idx val="0"/>
          <c:order val="0"/>
          <c:tx>
            <c:strRef>
              <c:f>Диаграмма!$A$4</c:f>
              <c:strCache>
                <c:ptCount val="1"/>
                <c:pt idx="0">
                  <c:v>БЕЗВОЗМЕЗДНЫЕ ПОСТУПЛЕНИЯ</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Диаграмма!$B$3:$G$3</c:f>
              <c:strCache>
                <c:ptCount val="6"/>
                <c:pt idx="0">
                  <c:v>Поступило в 2020 году</c:v>
                </c:pt>
                <c:pt idx="1">
                  <c:v>Утверждено  Законом № 969-КЗ                                                                                                                               на 2021 год (8 ред.)</c:v>
                </c:pt>
                <c:pt idx="2">
                  <c:v>Утверждено  Законом № 969-КЗ                                                                                                                                                              на 2022 год (8 ред.)</c:v>
                </c:pt>
                <c:pt idx="3">
                  <c:v>Проект на 2022 год</c:v>
                </c:pt>
                <c:pt idx="4">
                  <c:v>Проект на 2023 год</c:v>
                </c:pt>
                <c:pt idx="5">
                  <c:v>Проект на 2024 год</c:v>
                </c:pt>
              </c:strCache>
            </c:strRef>
          </c:cat>
          <c:val>
            <c:numRef>
              <c:f>Диаграмма!$B$4:$G$4</c:f>
              <c:numCache>
                <c:formatCode>#,##0.00</c:formatCode>
                <c:ptCount val="6"/>
                <c:pt idx="0">
                  <c:v>52364.06</c:v>
                </c:pt>
                <c:pt idx="1">
                  <c:v>48714.42</c:v>
                </c:pt>
                <c:pt idx="2">
                  <c:v>31298.43</c:v>
                </c:pt>
                <c:pt idx="3">
                  <c:v>40380.22</c:v>
                </c:pt>
                <c:pt idx="4">
                  <c:v>34464.43</c:v>
                </c:pt>
                <c:pt idx="5">
                  <c:v>32698.9</c:v>
                </c:pt>
              </c:numCache>
            </c:numRef>
          </c:val>
          <c:extLst xmlns:c16r2="http://schemas.microsoft.com/office/drawing/2015/06/chart">
            <c:ext xmlns:c16="http://schemas.microsoft.com/office/drawing/2014/chart" uri="{C3380CC4-5D6E-409C-BE32-E72D297353CC}">
              <c16:uniqueId val="{00000000-33AF-48D4-9DD9-77A8D62029BF}"/>
            </c:ext>
          </c:extLst>
        </c:ser>
        <c:dLbls>
          <c:showLegendKey val="0"/>
          <c:showVal val="0"/>
          <c:showCatName val="0"/>
          <c:showSerName val="0"/>
          <c:showPercent val="0"/>
          <c:showBubbleSize val="0"/>
        </c:dLbls>
        <c:gapWidth val="93"/>
        <c:axId val="83914752"/>
        <c:axId val="83916288"/>
      </c:barChart>
      <c:catAx>
        <c:axId val="839147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3916288"/>
        <c:crosses val="autoZero"/>
        <c:auto val="1"/>
        <c:lblAlgn val="ctr"/>
        <c:lblOffset val="100"/>
        <c:noMultiLvlLbl val="0"/>
      </c:catAx>
      <c:valAx>
        <c:axId val="83916288"/>
        <c:scaling>
          <c:orientation val="minMax"/>
        </c:scaling>
        <c:delete val="1"/>
        <c:axPos val="t"/>
        <c:numFmt formatCode="#,##0.00" sourceLinked="1"/>
        <c:majorTickMark val="none"/>
        <c:minorTickMark val="none"/>
        <c:tickLblPos val="nextTo"/>
        <c:crossAx val="839147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strRef>
          <c:f>Диаграмма!$A$22</c:f>
          <c:strCache>
            <c:ptCount val="1"/>
            <c:pt idx="0">
              <c:v>Структура безвозмездных поступлений из федерального бюджета, представленных в законопроекте на 2022 год,                                                                              % (млн рублей)</c:v>
            </c:pt>
          </c:strCache>
        </c:strRef>
      </c:tx>
      <c:layout>
        <c:manualLayout>
          <c:xMode val="edge"/>
          <c:yMode val="edge"/>
          <c:x val="0.15875"/>
          <c:y val="0"/>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0.35043635251752325"/>
          <c:y val="0.31297980656781055"/>
          <c:w val="0.40279549431321082"/>
          <c:h val="0.60991115858151801"/>
        </c:manualLayout>
      </c:layout>
      <c:pieChart>
        <c:varyColors val="1"/>
        <c:ser>
          <c:idx val="0"/>
          <c:order val="0"/>
          <c:spPr>
            <a:ln>
              <a:solidFill>
                <a:schemeClr val="bg1">
                  <a:lumMod val="75000"/>
                </a:schemeClr>
              </a:solidFill>
            </a:ln>
            <a:scene3d>
              <a:camera prst="orthographicFront"/>
              <a:lightRig rig="threePt" dir="t"/>
            </a:scene3d>
            <a:sp3d>
              <a:bevelT w="165100" prst="coolSlant"/>
            </a:sp3d>
          </c:spPr>
          <c:dPt>
            <c:idx val="0"/>
            <c:bubble3D val="0"/>
            <c:spPr>
              <a:solidFill>
                <a:srgbClr val="A94967"/>
              </a:solidFill>
              <a:ln w="19050">
                <a:solidFill>
                  <a:schemeClr val="bg1">
                    <a:lumMod val="75000"/>
                  </a:schemeClr>
                </a:solidFill>
              </a:ln>
              <a:effectLst/>
              <a:scene3d>
                <a:camera prst="orthographicFront"/>
                <a:lightRig rig="threePt" dir="t"/>
              </a:scene3d>
              <a:sp3d>
                <a:bevelT w="165100" prst="coolSlant"/>
              </a:sp3d>
            </c:spPr>
            <c:extLst xmlns:c16r2="http://schemas.microsoft.com/office/drawing/2015/06/chart">
              <c:ext xmlns:c16="http://schemas.microsoft.com/office/drawing/2014/chart" uri="{C3380CC4-5D6E-409C-BE32-E72D297353CC}">
                <c16:uniqueId val="{00000001-014A-40DA-9C43-865D16EB310F}"/>
              </c:ext>
            </c:extLst>
          </c:dPt>
          <c:dPt>
            <c:idx val="1"/>
            <c:bubble3D val="0"/>
            <c:spPr>
              <a:solidFill>
                <a:srgbClr val="92D050"/>
              </a:solidFill>
              <a:ln w="19050">
                <a:solidFill>
                  <a:schemeClr val="bg1">
                    <a:lumMod val="75000"/>
                  </a:schemeClr>
                </a:solidFill>
              </a:ln>
              <a:effectLst/>
              <a:scene3d>
                <a:camera prst="orthographicFront"/>
                <a:lightRig rig="threePt" dir="t"/>
              </a:scene3d>
              <a:sp3d>
                <a:bevelT w="165100" prst="coolSlant"/>
              </a:sp3d>
            </c:spPr>
            <c:extLst xmlns:c16r2="http://schemas.microsoft.com/office/drawing/2015/06/chart">
              <c:ext xmlns:c16="http://schemas.microsoft.com/office/drawing/2014/chart" uri="{C3380CC4-5D6E-409C-BE32-E72D297353CC}">
                <c16:uniqueId val="{00000003-014A-40DA-9C43-865D16EB310F}"/>
              </c:ext>
            </c:extLst>
          </c:dPt>
          <c:dPt>
            <c:idx val="2"/>
            <c:bubble3D val="0"/>
            <c:spPr>
              <a:solidFill>
                <a:srgbClr val="F8F456"/>
              </a:solidFill>
              <a:ln w="19050">
                <a:solidFill>
                  <a:schemeClr val="bg1">
                    <a:lumMod val="75000"/>
                  </a:schemeClr>
                </a:solidFill>
              </a:ln>
              <a:effectLst/>
              <a:scene3d>
                <a:camera prst="orthographicFront"/>
                <a:lightRig rig="threePt" dir="t"/>
              </a:scene3d>
              <a:sp3d>
                <a:bevelT w="165100" prst="coolSlant"/>
              </a:sp3d>
            </c:spPr>
            <c:extLst xmlns:c16r2="http://schemas.microsoft.com/office/drawing/2015/06/chart">
              <c:ext xmlns:c16="http://schemas.microsoft.com/office/drawing/2014/chart" uri="{C3380CC4-5D6E-409C-BE32-E72D297353CC}">
                <c16:uniqueId val="{00000005-014A-40DA-9C43-865D16EB310F}"/>
              </c:ext>
            </c:extLst>
          </c:dPt>
          <c:dPt>
            <c:idx val="3"/>
            <c:bubble3D val="0"/>
            <c:spPr>
              <a:solidFill>
                <a:srgbClr val="42BEAF"/>
              </a:solidFill>
              <a:ln w="19050">
                <a:solidFill>
                  <a:schemeClr val="bg1">
                    <a:lumMod val="75000"/>
                  </a:schemeClr>
                </a:solidFill>
              </a:ln>
              <a:effectLst/>
              <a:scene3d>
                <a:camera prst="orthographicFront"/>
                <a:lightRig rig="threePt" dir="t"/>
              </a:scene3d>
              <a:sp3d>
                <a:bevelT w="165100" prst="coolSlant"/>
              </a:sp3d>
            </c:spPr>
            <c:extLst xmlns:c16r2="http://schemas.microsoft.com/office/drawing/2015/06/chart">
              <c:ext xmlns:c16="http://schemas.microsoft.com/office/drawing/2014/chart" uri="{C3380CC4-5D6E-409C-BE32-E72D297353CC}">
                <c16:uniqueId val="{00000007-014A-40DA-9C43-865D16EB310F}"/>
              </c:ext>
            </c:extLst>
          </c:dPt>
          <c:dLbls>
            <c:dLbl>
              <c:idx val="0"/>
              <c:layout>
                <c:manualLayout>
                  <c:x val="-1.4830141793210185E-3"/>
                  <c:y val="3.9875558980157974E-4"/>
                </c:manualLayout>
              </c:layout>
              <c:tx>
                <c:rich>
                  <a:bodyPr rot="0" spcFirstLastPara="1" vertOverflow="clip" horzOverflow="clip" vert="horz" wrap="square" lIns="36576" tIns="18288" rIns="36576" bIns="18288" anchor="ctr" anchorCtr="1">
                    <a:spAutoFit/>
                  </a:bodyPr>
                  <a:lstStyle/>
                  <a:p>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fld id="{EBF9A6AD-3614-4019-9DEF-DCF2F40A8437}" type="CATEGORYNAME">
                      <a:rPr lang="ru-RU" sz="950">
                        <a:solidFill>
                          <a:sysClr val="windowText" lastClr="000000"/>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[ИМЯ КАТЕГОРИИ]</a:t>
                    </a:fld>
                    <a:r>
                      <a:rPr lang="ru-RU" sz="950" baseline="0"/>
                      <a:t>
</a:t>
                    </a:r>
                    <a:fld id="{72ED0524-45F0-4F6F-8EA4-BD705B241114}" type="PERCENTAGE">
                      <a:rPr lang="ru-RU" sz="950" b="1" baseline="0">
                        <a:solidFill>
                          <a:srgbClr val="D75974"/>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[ПРОЦЕНТ]</a:t>
                    </a:fld>
                    <a:r>
                      <a:rPr lang="ru-RU" sz="950" b="1" baseline="0">
                        <a:solidFill>
                          <a:srgbClr val="D75974"/>
                        </a:solidFill>
                      </a:rPr>
                      <a:t> (9 313,27)</a:t>
                    </a:r>
                  </a:p>
                </c:rich>
              </c:tx>
              <c:numFmt formatCode="0.00%" sourceLinked="0"/>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014A-40DA-9C43-865D16EB310F}"/>
                </c:ext>
                <c:ext xmlns:c15="http://schemas.microsoft.com/office/drawing/2012/chart" uri="{CE6537A1-D6FC-4f65-9D91-7224C49458BB}">
                  <c15:spPr xmlns:c15="http://schemas.microsoft.com/office/drawing/2012/chart">
                    <a:prstGeom prst="wedgeRoundRectCallout">
                      <a:avLst>
                        <a:gd name="adj1" fmla="val 52092"/>
                        <a:gd name="adj2" fmla="val 94769"/>
                        <a:gd name="adj3" fmla="val 16667"/>
                      </a:avLst>
                    </a:prstGeom>
                  </c15:spPr>
                  <c15:layout>
                    <c:manualLayout>
                      <c:w val="0.27872555072342398"/>
                      <c:h val="0.17125016856139447"/>
                    </c:manualLayout>
                  </c15:layout>
                  <c15:dlblFieldTable/>
                  <c15:showDataLabelsRange val="0"/>
                </c:ext>
              </c:extLst>
            </c:dLbl>
            <c:dLbl>
              <c:idx val="1"/>
              <c:layout>
                <c:manualLayout>
                  <c:x val="3.5654801435746827E-2"/>
                  <c:y val="-0.16369334138519365"/>
                </c:manualLayout>
              </c:layout>
              <c:tx>
                <c:rich>
                  <a:bodyPr rot="0" spcFirstLastPara="1" vertOverflow="clip" horzOverflow="clip" vert="horz" wrap="square" lIns="36576" tIns="18288" rIns="36576" bIns="18288" anchor="ctr" anchorCtr="1">
                    <a:spAutoFit/>
                  </a:bodyPr>
                  <a:lstStyle/>
                  <a:p>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fld id="{CC6CAB09-19FF-4CFF-A187-08281650B092}" type="CATEGORYNAME">
                      <a:rPr lang="ru-RU" sz="950">
                        <a:solidFill>
                          <a:sysClr val="windowText" lastClr="000000"/>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[ИМЯ КАТЕГОРИИ]</a:t>
                    </a:fld>
                    <a:r>
                      <a:rPr lang="ru-RU" sz="950" baseline="0"/>
                      <a:t>
</a:t>
                    </a:r>
                    <a:fld id="{AD69B1E4-DA54-4CBB-A7D2-4EFE6DCAFFFF}" type="PERCENTAGE">
                      <a:rPr lang="ru-RU" sz="950" b="1" baseline="0">
                        <a:solidFill>
                          <a:srgbClr val="00B050"/>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[ПРОЦЕНТ]</a:t>
                    </a:fld>
                    <a:r>
                      <a:rPr lang="ru-RU" sz="950" b="1" baseline="0">
                        <a:solidFill>
                          <a:srgbClr val="00B050"/>
                        </a:solidFill>
                      </a:rPr>
                      <a:t> (22 066,95)</a:t>
                    </a:r>
                  </a:p>
                </c:rich>
              </c:tx>
              <c:numFmt formatCode="0.00%" sourceLinked="0"/>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014A-40DA-9C43-865D16EB310F}"/>
                </c:ext>
                <c:ext xmlns:c15="http://schemas.microsoft.com/office/drawing/2012/chart" uri="{CE6537A1-D6FC-4f65-9D91-7224C49458BB}">
                  <c15:spPr xmlns:c15="http://schemas.microsoft.com/office/drawing/2012/chart">
                    <a:prstGeom prst="wedgeRoundRectCallout">
                      <a:avLst>
                        <a:gd name="adj1" fmla="val -94515"/>
                        <a:gd name="adj2" fmla="val 30075"/>
                        <a:gd name="adj3" fmla="val 16667"/>
                      </a:avLst>
                    </a:prstGeom>
                  </c15:spPr>
                  <c15:layout>
                    <c:manualLayout>
                      <c:w val="0.21704034052521104"/>
                      <c:h val="0.16047575134189307"/>
                    </c:manualLayout>
                  </c15:layout>
                  <c15:dlblFieldTable/>
                  <c15:showDataLabelsRange val="0"/>
                </c:ext>
              </c:extLst>
            </c:dLbl>
            <c:dLbl>
              <c:idx val="2"/>
              <c:layout>
                <c:manualLayout>
                  <c:x val="-5.6809475305816821E-2"/>
                  <c:y val="-3.4748076445768182E-2"/>
                </c:manualLayout>
              </c:layout>
              <c:tx>
                <c:rich>
                  <a:bodyPr rot="0" spcFirstLastPara="1" vertOverflow="clip" horzOverflow="clip" vert="horz" wrap="square" lIns="36576" tIns="18288" rIns="36576" bIns="18288" anchor="ctr" anchorCtr="1">
                    <a:spAutoFit/>
                  </a:bodyPr>
                  <a:lstStyle/>
                  <a:p>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fld id="{7CF257BA-6457-4A2C-B3DD-715875252ED4}" type="CATEGORYNAME">
                      <a:rPr lang="ru-RU">
                        <a:solidFill>
                          <a:sysClr val="windowText" lastClr="000000"/>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[ИМЯ КАТЕГОРИИ]</a:t>
                    </a:fld>
                    <a:r>
                      <a:rPr lang="ru-RU" baseline="0"/>
                      <a:t>
</a:t>
                    </a:r>
                    <a:fld id="{488DC3E7-B9A9-453C-9D57-A18AD02C6CBF}" type="PERCENTAGE">
                      <a:rPr lang="ru-RU" b="1" baseline="0">
                        <a:solidFill>
                          <a:srgbClr val="FFC000"/>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[ПРОЦЕНТ]</a:t>
                    </a:fld>
                    <a:r>
                      <a:rPr lang="ru-RU" b="1" baseline="0">
                        <a:solidFill>
                          <a:srgbClr val="FFC000"/>
                        </a:solidFill>
                      </a:rPr>
                      <a:t> (6 492,66)</a:t>
                    </a:r>
                  </a:p>
                </c:rich>
              </c:tx>
              <c:numFmt formatCode="0.00%" sourceLinked="0"/>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014A-40DA-9C43-865D16EB310F}"/>
                </c:ext>
                <c:ext xmlns:c15="http://schemas.microsoft.com/office/drawing/2012/chart" uri="{CE6537A1-D6FC-4f65-9D91-7224C49458BB}">
                  <c15:spPr xmlns:c15="http://schemas.microsoft.com/office/drawing/2012/chart">
                    <a:prstGeom prst="wedgeRoundRectCallout">
                      <a:avLst>
                        <a:gd name="adj1" fmla="val 82351"/>
                        <a:gd name="adj2" fmla="val -50448"/>
                        <a:gd name="adj3" fmla="val 16667"/>
                      </a:avLst>
                    </a:prstGeom>
                  </c15:spPr>
                  <c15:layout>
                    <c:manualLayout>
                      <c:w val="0.22323000188914052"/>
                      <c:h val="0.18614220132386655"/>
                    </c:manualLayout>
                  </c15:layout>
                  <c15:dlblFieldTable/>
                  <c15:showDataLabelsRange val="0"/>
                </c:ext>
              </c:extLst>
            </c:dLbl>
            <c:dLbl>
              <c:idx val="3"/>
              <c:layout>
                <c:manualLayout>
                  <c:x val="-4.3825821240561599E-2"/>
                  <c:y val="-2.4991758136887803E-2"/>
                </c:manualLayout>
              </c:layout>
              <c:tx>
                <c:rich>
                  <a:bodyPr rot="0" spcFirstLastPara="1" vertOverflow="clip" horzOverflow="clip" vert="horz" wrap="square" lIns="36576" tIns="18288" rIns="36576" bIns="18288" anchor="ctr" anchorCtr="1">
                    <a:spAutoFit/>
                  </a:bodyPr>
                  <a:lstStyle/>
                  <a:p>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fld id="{9AC43B10-41C0-4AA1-BDF0-114765281C7B}" type="CATEGORYNAME">
                      <a:rPr lang="ru-RU" sz="950">
                        <a:solidFill>
                          <a:sysClr val="windowText" lastClr="000000"/>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[ИМЯ КАТЕГОРИИ]</a:t>
                    </a:fld>
                    <a:r>
                      <a:rPr lang="ru-RU" sz="950" baseline="0"/>
                      <a:t>
</a:t>
                    </a:r>
                    <a:fld id="{026FE78E-6DA9-412A-AC51-21D317987403}" type="PERCENTAGE">
                      <a:rPr lang="ru-RU" sz="950" b="1" baseline="0">
                        <a:solidFill>
                          <a:srgbClr val="42BEAF"/>
                        </a:solidFill>
                      </a:rPr>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t>[ПРОЦЕНТ]</a:t>
                    </a:fld>
                    <a:r>
                      <a:rPr lang="ru-RU" sz="950" b="1" baseline="0">
                        <a:solidFill>
                          <a:srgbClr val="42BEAF"/>
                        </a:solidFill>
                      </a:rPr>
                      <a:t> (2 507,34)</a:t>
                    </a:r>
                  </a:p>
                </c:rich>
              </c:tx>
              <c:numFmt formatCode="0.00%" sourceLinked="0"/>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014A-40DA-9C43-865D16EB310F}"/>
                </c:ext>
                <c:ext xmlns:c15="http://schemas.microsoft.com/office/drawing/2012/chart" uri="{CE6537A1-D6FC-4f65-9D91-7224C49458BB}">
                  <c15:spPr xmlns:c15="http://schemas.microsoft.com/office/drawing/2012/chart">
                    <a:prstGeom prst="wedgeRoundRectCallout">
                      <a:avLst>
                        <a:gd name="adj1" fmla="val 81125"/>
                        <a:gd name="adj2" fmla="val -4754"/>
                        <a:gd name="adj3" fmla="val 16667"/>
                      </a:avLst>
                    </a:prstGeom>
                  </c15:spPr>
                  <c15:layout>
                    <c:manualLayout>
                      <c:w val="0.22196486198562301"/>
                      <c:h val="0.27843650989197088"/>
                    </c:manualLayout>
                  </c15:layout>
                  <c15:dlblFieldTable/>
                  <c15:showDataLabelsRange val="0"/>
                </c:ext>
              </c:extLst>
            </c:dLbl>
            <c:numFmt formatCode="0.00%" sourceLinked="0"/>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5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oundRectCallout">
                    <a:avLst/>
                  </a:prstGeom>
                </c15:spPr>
              </c:ext>
            </c:extLst>
          </c:dLbls>
          <c:cat>
            <c:strRef>
              <c:f>Диаграмма!$A$24:$A$27</c:f>
              <c:strCache>
                <c:ptCount val="4"/>
                <c:pt idx="0">
                  <c:v>Дотации</c:v>
                </c:pt>
                <c:pt idx="1">
                  <c:v>Субсидии</c:v>
                </c:pt>
                <c:pt idx="2">
                  <c:v>Субвенции</c:v>
                </c:pt>
                <c:pt idx="3">
                  <c:v>Иные межбюджетные трансферты</c:v>
                </c:pt>
              </c:strCache>
            </c:strRef>
          </c:cat>
          <c:val>
            <c:numRef>
              <c:f>Диаграмма!$B$24:$B$27</c:f>
              <c:numCache>
                <c:formatCode>#,##0.00</c:formatCode>
                <c:ptCount val="4"/>
                <c:pt idx="0">
                  <c:v>9313.27</c:v>
                </c:pt>
                <c:pt idx="1">
                  <c:v>22066.95</c:v>
                </c:pt>
                <c:pt idx="2">
                  <c:v>6492.66</c:v>
                </c:pt>
                <c:pt idx="3">
                  <c:v>2507.34</c:v>
                </c:pt>
              </c:numCache>
            </c:numRef>
          </c:val>
          <c:extLst xmlns:c16r2="http://schemas.microsoft.com/office/drawing/2015/06/chart">
            <c:ext xmlns:c16="http://schemas.microsoft.com/office/drawing/2014/chart" uri="{C3380CC4-5D6E-409C-BE32-E72D297353CC}">
              <c16:uniqueId val="{00000008-014A-40DA-9C43-865D16EB310F}"/>
            </c:ext>
          </c:extLst>
        </c:ser>
        <c:dLbls>
          <c:showLegendKey val="0"/>
          <c:showVal val="0"/>
          <c:showCatName val="0"/>
          <c:showSerName val="0"/>
          <c:showPercent val="0"/>
          <c:showBubbleSize val="0"/>
          <c:showLeaderLines val="0"/>
        </c:dLbls>
        <c:firstSliceAng val="278"/>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pPr>
        <a:ln>
          <a:noFill/>
        </a:ln>
      </c:spPr>
    </c:sideWall>
    <c:backWall>
      <c:thickness val="0"/>
      <c:spPr>
        <a:ln>
          <a:noFill/>
        </a:ln>
      </c:spPr>
    </c:backWall>
    <c:plotArea>
      <c:layout>
        <c:manualLayout>
          <c:layoutTarget val="inner"/>
          <c:xMode val="edge"/>
          <c:yMode val="edge"/>
          <c:x val="0.49305580223524698"/>
          <c:y val="2.6311146529644534E-2"/>
          <c:w val="0.43813521293709257"/>
          <c:h val="0.88853628945928576"/>
        </c:manualLayout>
      </c:layout>
      <c:bar3DChart>
        <c:barDir val="bar"/>
        <c:grouping val="clustered"/>
        <c:varyColors val="0"/>
        <c:ser>
          <c:idx val="0"/>
          <c:order val="0"/>
          <c:tx>
            <c:strRef>
              <c:f>Лист1!$C$1:$C$2</c:f>
              <c:strCache>
                <c:ptCount val="2"/>
                <c:pt idx="1">
                  <c:v>Доля в утвержденных расходах 2021 года (%)</c:v>
                </c:pt>
              </c:strCache>
            </c:strRef>
          </c:tx>
          <c:spPr>
            <a:pattFill prst="dkDnDiag">
              <a:fgClr>
                <a:srgbClr val="0070C0"/>
              </a:fgClr>
              <a:bgClr>
                <a:schemeClr val="bg1"/>
              </a:bgClr>
            </a:pattFill>
          </c:spPr>
          <c:invertIfNegative val="0"/>
          <c:dLbls>
            <c:dLbl>
              <c:idx val="12"/>
              <c:layout>
                <c:manualLayout>
                  <c:x val="9.7465886939571145E-3"/>
                  <c:y val="2.525252525252525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F3E-4FC5-A4C1-6060FF878D9D}"/>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Лист1!$B$3:$B$13</c:f>
              <c:strCache>
                <c:ptCount val="11"/>
                <c:pt idx="0">
                  <c:v>Прочие разделы*</c:v>
                </c:pt>
                <c:pt idx="1">
                  <c:v>Культура, кинемаготрафия</c:v>
                </c:pt>
                <c:pt idx="2">
                  <c:v>Национальная безопасность и правоохранительная деятельность</c:v>
                </c:pt>
                <c:pt idx="3">
                  <c:v>МБТ общего характера бюджетам бюджетной системы РФ</c:v>
                </c:pt>
                <c:pt idx="4">
                  <c:v>Физическая культура и спорт</c:v>
                </c:pt>
                <c:pt idx="5">
                  <c:v>Общегосударнственные вопросы</c:v>
                </c:pt>
                <c:pt idx="6">
                  <c:v>Здравоохранение</c:v>
                </c:pt>
                <c:pt idx="7">
                  <c:v>Жилищно-коммунальное хозяйство</c:v>
                </c:pt>
                <c:pt idx="8">
                  <c:v>Национальная экономика</c:v>
                </c:pt>
                <c:pt idx="9">
                  <c:v>Образование</c:v>
                </c:pt>
                <c:pt idx="10">
                  <c:v>Социальная политика</c:v>
                </c:pt>
              </c:strCache>
            </c:strRef>
          </c:cat>
          <c:val>
            <c:numRef>
              <c:f>Лист1!$C$3:$C$13</c:f>
              <c:numCache>
                <c:formatCode>#,##0.00</c:formatCode>
                <c:ptCount val="11"/>
                <c:pt idx="0">
                  <c:v>0.35</c:v>
                </c:pt>
                <c:pt idx="1">
                  <c:v>0.80289501348352277</c:v>
                </c:pt>
                <c:pt idx="2">
                  <c:v>1.1149512604126035</c:v>
                </c:pt>
                <c:pt idx="3">
                  <c:v>2.7502139923547828</c:v>
                </c:pt>
                <c:pt idx="4">
                  <c:v>1.759530309491216</c:v>
                </c:pt>
                <c:pt idx="5">
                  <c:v>4.18408522661856</c:v>
                </c:pt>
                <c:pt idx="6">
                  <c:v>8.6645656339704384</c:v>
                </c:pt>
                <c:pt idx="7">
                  <c:v>11.811777349576973</c:v>
                </c:pt>
                <c:pt idx="8">
                  <c:v>20.113263877859225</c:v>
                </c:pt>
                <c:pt idx="9">
                  <c:v>19.625394335353612</c:v>
                </c:pt>
                <c:pt idx="10">
                  <c:v>28.823059723344979</c:v>
                </c:pt>
              </c:numCache>
            </c:numRef>
          </c:val>
          <c:extLst xmlns:c16r2="http://schemas.microsoft.com/office/drawing/2015/06/chart">
            <c:ext xmlns:c16="http://schemas.microsoft.com/office/drawing/2014/chart" uri="{C3380CC4-5D6E-409C-BE32-E72D297353CC}">
              <c16:uniqueId val="{00000001-CF3E-4FC5-A4C1-6060FF878D9D}"/>
            </c:ext>
          </c:extLst>
        </c:ser>
        <c:ser>
          <c:idx val="1"/>
          <c:order val="1"/>
          <c:tx>
            <c:strRef>
              <c:f>Лист1!$D$1:$D$2</c:f>
              <c:strCache>
                <c:ptCount val="2"/>
                <c:pt idx="1">
                  <c:v>Доля в утвержденных расходах 2022 года (%)</c:v>
                </c:pt>
              </c:strCache>
            </c:strRef>
          </c:tx>
          <c:spPr>
            <a:pattFill prst="dkUpDiag">
              <a:fgClr>
                <a:schemeClr val="accent2">
                  <a:lumMod val="60000"/>
                  <a:lumOff val="40000"/>
                </a:schemeClr>
              </a:fgClr>
              <a:bgClr>
                <a:schemeClr val="bg1"/>
              </a:bgClr>
            </a:pattFill>
          </c:spPr>
          <c:invertIfNegative val="0"/>
          <c:dLbls>
            <c:dLbl>
              <c:idx val="7"/>
              <c:layout>
                <c:manualLayout>
                  <c:x val="6.9013112491373377E-3"/>
                  <c:y val="-2.745744096650193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F3E-4FC5-A4C1-6060FF878D9D}"/>
                </c:ext>
                <c:ext xmlns:c15="http://schemas.microsoft.com/office/drawing/2012/chart" uri="{CE6537A1-D6FC-4f65-9D91-7224C49458BB}"/>
              </c:extLst>
            </c:dLbl>
            <c:dLbl>
              <c:idx val="8"/>
              <c:layout>
                <c:manualLayout>
                  <c:x val="5.1759834368529396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F3E-4FC5-A4C1-6060FF878D9D}"/>
                </c:ext>
                <c:ext xmlns:c15="http://schemas.microsoft.com/office/drawing/2012/chart" uri="{CE6537A1-D6FC-4f65-9D91-7224C49458BB}"/>
              </c:extLst>
            </c:dLbl>
            <c:dLbl>
              <c:idx val="9"/>
              <c:layout>
                <c:manualLayout>
                  <c:x val="9.9910065589627426E-3"/>
                  <c:y val="-5.847005192462398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F3E-4FC5-A4C1-6060FF878D9D}"/>
                </c:ext>
                <c:ext xmlns:c15="http://schemas.microsoft.com/office/drawing/2012/chart" uri="{CE6537A1-D6FC-4f65-9D91-7224C49458BB}"/>
              </c:extLst>
            </c:dLbl>
            <c:dLbl>
              <c:idx val="12"/>
              <c:layout>
                <c:manualLayout>
                  <c:x val="1.531606794764689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F3E-4FC5-A4C1-6060FF878D9D}"/>
                </c:ext>
                <c:ext xmlns:c15="http://schemas.microsoft.com/office/drawing/2012/chart" uri="{CE6537A1-D6FC-4f65-9D91-7224C49458BB}"/>
              </c:extLst>
            </c:dLbl>
            <c:dLbl>
              <c:idx val="13"/>
              <c:layout>
                <c:manualLayout>
                  <c:x val="8.3542546312144507E-3"/>
                  <c:y val="-6.61758678014711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F3E-4FC5-A4C1-6060FF878D9D}"/>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Лист1!$B$3:$B$13</c:f>
              <c:strCache>
                <c:ptCount val="11"/>
                <c:pt idx="0">
                  <c:v>Прочие разделы*</c:v>
                </c:pt>
                <c:pt idx="1">
                  <c:v>Культура, кинемаготрафия</c:v>
                </c:pt>
                <c:pt idx="2">
                  <c:v>Национальная безопасность и правоохранительная деятельность</c:v>
                </c:pt>
                <c:pt idx="3">
                  <c:v>МБТ общего характера бюджетам бюджетной системы РФ</c:v>
                </c:pt>
                <c:pt idx="4">
                  <c:v>Физическая культура и спорт</c:v>
                </c:pt>
                <c:pt idx="5">
                  <c:v>Общегосударнственные вопросы</c:v>
                </c:pt>
                <c:pt idx="6">
                  <c:v>Здравоохранение</c:v>
                </c:pt>
                <c:pt idx="7">
                  <c:v>Жилищно-коммунальное хозяйство</c:v>
                </c:pt>
                <c:pt idx="8">
                  <c:v>Национальная экономика</c:v>
                </c:pt>
                <c:pt idx="9">
                  <c:v>Образование</c:v>
                </c:pt>
                <c:pt idx="10">
                  <c:v>Социальная политика</c:v>
                </c:pt>
              </c:strCache>
            </c:strRef>
          </c:cat>
          <c:val>
            <c:numRef>
              <c:f>Лист1!$D$3:$D$13</c:f>
              <c:numCache>
                <c:formatCode>#,##0.00</c:formatCode>
                <c:ptCount val="11"/>
                <c:pt idx="0">
                  <c:v>0.82</c:v>
                </c:pt>
                <c:pt idx="1">
                  <c:v>0.66540904038386794</c:v>
                </c:pt>
                <c:pt idx="2">
                  <c:v>1.1256937182689652</c:v>
                </c:pt>
                <c:pt idx="3">
                  <c:v>1.5035614284428258</c:v>
                </c:pt>
                <c:pt idx="4">
                  <c:v>1.9234962099865689</c:v>
                </c:pt>
                <c:pt idx="5">
                  <c:v>4.5034810705984158</c:v>
                </c:pt>
                <c:pt idx="6">
                  <c:v>8.386630803726371</c:v>
                </c:pt>
                <c:pt idx="7">
                  <c:v>10.314133755446173</c:v>
                </c:pt>
                <c:pt idx="8">
                  <c:v>16.205590304190491</c:v>
                </c:pt>
                <c:pt idx="9">
                  <c:v>20.945989493118915</c:v>
                </c:pt>
                <c:pt idx="10">
                  <c:v>33.60750151256358</c:v>
                </c:pt>
              </c:numCache>
            </c:numRef>
          </c:val>
          <c:extLst xmlns:c16r2="http://schemas.microsoft.com/office/drawing/2015/06/chart">
            <c:ext xmlns:c16="http://schemas.microsoft.com/office/drawing/2014/chart" uri="{C3380CC4-5D6E-409C-BE32-E72D297353CC}">
              <c16:uniqueId val="{00000007-CF3E-4FC5-A4C1-6060FF878D9D}"/>
            </c:ext>
          </c:extLst>
        </c:ser>
        <c:ser>
          <c:idx val="2"/>
          <c:order val="2"/>
          <c:tx>
            <c:strRef>
              <c:f>Лист1!$E$1:$E$2</c:f>
              <c:strCache>
                <c:ptCount val="2"/>
                <c:pt idx="1">
                  <c:v>Доля в расходах в законопроекте на 2022 год (%)</c:v>
                </c:pt>
              </c:strCache>
            </c:strRef>
          </c:tx>
          <c:spPr>
            <a:pattFill prst="weave">
              <a:fgClr>
                <a:schemeClr val="accent4">
                  <a:lumMod val="75000"/>
                </a:schemeClr>
              </a:fgClr>
              <a:bgClr>
                <a:schemeClr val="bg1"/>
              </a:bgClr>
            </a:pattFill>
          </c:spPr>
          <c:invertIfNegative val="0"/>
          <c:dLbls>
            <c:dLbl>
              <c:idx val="8"/>
              <c:layout>
                <c:manualLayout>
                  <c:x val="0"/>
                  <c:y val="-1.11389585073795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CF3E-4FC5-A4C1-6060FF878D9D}"/>
                </c:ext>
                <c:ext xmlns:c15="http://schemas.microsoft.com/office/drawing/2012/chart" uri="{CE6537A1-D6FC-4f65-9D91-7224C49458BB}"/>
              </c:extLst>
            </c:dLbl>
            <c:dLbl>
              <c:idx val="9"/>
              <c:layout>
                <c:manualLayout>
                  <c:x val="0"/>
                  <c:y val="-1.485194467650607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CF3E-4FC5-A4C1-6060FF878D9D}"/>
                </c:ext>
                <c:ext xmlns:c15="http://schemas.microsoft.com/office/drawing/2012/chart" uri="{CE6537A1-D6FC-4f65-9D91-7224C49458BB}"/>
              </c:extLst>
            </c:dLbl>
            <c:dLbl>
              <c:idx val="10"/>
              <c:layout>
                <c:manualLayout>
                  <c:x val="0"/>
                  <c:y val="-1.856493084563260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CF3E-4FC5-A4C1-6060FF878D9D}"/>
                </c:ext>
                <c:ext xmlns:c15="http://schemas.microsoft.com/office/drawing/2012/chart" uri="{CE6537A1-D6FC-4f65-9D91-7224C49458BB}"/>
              </c:extLst>
            </c:dLbl>
            <c:dLbl>
              <c:idx val="13"/>
              <c:layout>
                <c:manualLayout>
                  <c:x val="-5.1759834368531286E-3"/>
                  <c:y val="-1.365420720259430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CF3E-4FC5-A4C1-6060FF878D9D}"/>
                </c:ext>
                <c:ext xmlns:c15="http://schemas.microsoft.com/office/drawing/2012/chart" uri="{CE6537A1-D6FC-4f65-9D91-7224C49458BB}"/>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Лист1!$B$3:$B$13</c:f>
              <c:strCache>
                <c:ptCount val="11"/>
                <c:pt idx="0">
                  <c:v>Прочие разделы*</c:v>
                </c:pt>
                <c:pt idx="1">
                  <c:v>Культура, кинемаготрафия</c:v>
                </c:pt>
                <c:pt idx="2">
                  <c:v>Национальная безопасность и правоохранительная деятельность</c:v>
                </c:pt>
                <c:pt idx="3">
                  <c:v>МБТ общего характера бюджетам бюджетной системы РФ</c:v>
                </c:pt>
                <c:pt idx="4">
                  <c:v>Физическая культура и спорт</c:v>
                </c:pt>
                <c:pt idx="5">
                  <c:v>Общегосударнственные вопросы</c:v>
                </c:pt>
                <c:pt idx="6">
                  <c:v>Здравоохранение</c:v>
                </c:pt>
                <c:pt idx="7">
                  <c:v>Жилищно-коммунальное хозяйство</c:v>
                </c:pt>
                <c:pt idx="8">
                  <c:v>Национальная экономика</c:v>
                </c:pt>
                <c:pt idx="9">
                  <c:v>Образование</c:v>
                </c:pt>
                <c:pt idx="10">
                  <c:v>Социальная политика</c:v>
                </c:pt>
              </c:strCache>
            </c:strRef>
          </c:cat>
          <c:val>
            <c:numRef>
              <c:f>Лист1!$E$3:$E$13</c:f>
              <c:numCache>
                <c:formatCode>#,##0.00</c:formatCode>
                <c:ptCount val="11"/>
                <c:pt idx="0">
                  <c:v>0.69</c:v>
                </c:pt>
                <c:pt idx="1">
                  <c:v>1.293789813428327</c:v>
                </c:pt>
                <c:pt idx="2">
                  <c:v>1.1736756470954233</c:v>
                </c:pt>
                <c:pt idx="3">
                  <c:v>2.5888238673232862</c:v>
                </c:pt>
                <c:pt idx="4">
                  <c:v>2.1044886935092975</c:v>
                </c:pt>
                <c:pt idx="5">
                  <c:v>4.1258020047715664</c:v>
                </c:pt>
                <c:pt idx="6">
                  <c:v>8.7359651860717236</c:v>
                </c:pt>
                <c:pt idx="7">
                  <c:v>11.999958894020587</c:v>
                </c:pt>
                <c:pt idx="8">
                  <c:v>17.668462238897078</c:v>
                </c:pt>
                <c:pt idx="9">
                  <c:v>19.709663968607014</c:v>
                </c:pt>
                <c:pt idx="10">
                  <c:v>29.90899132578776</c:v>
                </c:pt>
              </c:numCache>
            </c:numRef>
          </c:val>
          <c:extLst xmlns:c16r2="http://schemas.microsoft.com/office/drawing/2015/06/chart">
            <c:ext xmlns:c16="http://schemas.microsoft.com/office/drawing/2014/chart" uri="{C3380CC4-5D6E-409C-BE32-E72D297353CC}">
              <c16:uniqueId val="{0000000C-CF3E-4FC5-A4C1-6060FF878D9D}"/>
            </c:ext>
          </c:extLst>
        </c:ser>
        <c:dLbls>
          <c:showLegendKey val="0"/>
          <c:showVal val="1"/>
          <c:showCatName val="0"/>
          <c:showSerName val="0"/>
          <c:showPercent val="0"/>
          <c:showBubbleSize val="0"/>
        </c:dLbls>
        <c:gapWidth val="75"/>
        <c:shape val="box"/>
        <c:axId val="107715200"/>
        <c:axId val="107721088"/>
        <c:axId val="0"/>
      </c:bar3DChart>
      <c:catAx>
        <c:axId val="107715200"/>
        <c:scaling>
          <c:orientation val="minMax"/>
        </c:scaling>
        <c:delete val="0"/>
        <c:axPos val="l"/>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07721088"/>
        <c:crosses val="autoZero"/>
        <c:auto val="1"/>
        <c:lblAlgn val="r"/>
        <c:lblOffset val="100"/>
        <c:tickLblSkip val="1"/>
        <c:noMultiLvlLbl val="0"/>
      </c:catAx>
      <c:valAx>
        <c:axId val="107721088"/>
        <c:scaling>
          <c:orientation val="minMax"/>
        </c:scaling>
        <c:delete val="1"/>
        <c:axPos val="b"/>
        <c:majorGridlines>
          <c:spPr>
            <a:ln>
              <a:noFill/>
            </a:ln>
          </c:spPr>
        </c:majorGridlines>
        <c:numFmt formatCode="#,##0.00" sourceLinked="1"/>
        <c:majorTickMark val="out"/>
        <c:minorTickMark val="none"/>
        <c:tickLblPos val="nextTo"/>
        <c:crossAx val="107715200"/>
        <c:crosses val="autoZero"/>
        <c:crossBetween val="between"/>
      </c:valAx>
      <c:spPr>
        <a:ln>
          <a:noFill/>
        </a:ln>
      </c:spPr>
    </c:plotArea>
    <c:legend>
      <c:legendPos val="b"/>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txPr>
    <a:bodyPr/>
    <a:lstStyle/>
    <a:p>
      <a:pPr>
        <a:defRPr>
          <a:solidFill>
            <a:schemeClr val="tx1"/>
          </a:solidFill>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r>
              <a:rPr lang="ru-RU">
                <a:solidFill>
                  <a:sysClr val="windowText" lastClr="000000"/>
                </a:solidFill>
              </a:rPr>
              <a:t>Структура расходов краевого бюджета в разрезе программных мероприятий на 2022 год, %</a:t>
            </a:r>
          </a:p>
        </c:rich>
      </c:tx>
      <c:overlay val="0"/>
      <c:spPr>
        <a:noFill/>
        <a:ln>
          <a:noFill/>
        </a:ln>
        <a:effectLst/>
      </c:spPr>
    </c:title>
    <c:autoTitleDeleted val="0"/>
    <c:view3D>
      <c:rotX val="40"/>
      <c:rotY val="27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107545007578279"/>
          <c:y val="0.20973145305989294"/>
          <c:w val="0.6808341281283502"/>
          <c:h val="0.62742559722407576"/>
        </c:manualLayout>
      </c:layout>
      <c:pie3DChart>
        <c:varyColors val="1"/>
        <c:ser>
          <c:idx val="0"/>
          <c:order val="0"/>
          <c:dPt>
            <c:idx val="0"/>
            <c:bubble3D val="0"/>
            <c:explosion val="3"/>
            <c:spPr>
              <a:solidFill>
                <a:schemeClr val="accent1"/>
              </a:solidFill>
              <a:ln w="25400">
                <a:solidFill>
                  <a:schemeClr val="lt1"/>
                </a:solidFill>
              </a:ln>
              <a:effectLst/>
              <a:sp3d contourW="25400">
                <a:contourClr>
                  <a:schemeClr val="lt1"/>
                </a:contourClr>
              </a:sp3d>
            </c:spPr>
          </c:dPt>
          <c:dPt>
            <c:idx val="1"/>
            <c:bubble3D val="0"/>
            <c:explosion val="11"/>
            <c:spPr>
              <a:solidFill>
                <a:schemeClr val="accent2"/>
              </a:solidFill>
              <a:ln w="25400">
                <a:solidFill>
                  <a:schemeClr val="lt1"/>
                </a:solidFill>
              </a:ln>
              <a:effectLst/>
              <a:sp3d contourW="25400">
                <a:contourClr>
                  <a:schemeClr val="lt1"/>
                </a:contourClr>
              </a:sp3d>
            </c:spPr>
          </c:dPt>
          <c:dPt>
            <c:idx val="2"/>
            <c:bubble3D val="0"/>
            <c:explosion val="1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Pt>
            <c:idx val="5"/>
            <c:bubble3D val="0"/>
            <c:explosion val="16"/>
            <c:spPr>
              <a:solidFill>
                <a:schemeClr val="accent6"/>
              </a:solidFill>
              <a:ln w="25400">
                <a:solidFill>
                  <a:schemeClr val="lt1"/>
                </a:solidFill>
              </a:ln>
              <a:effectLst/>
              <a:sp3d contourW="25400">
                <a:contourClr>
                  <a:schemeClr val="lt1"/>
                </a:contourClr>
              </a:sp3d>
            </c:spPr>
          </c:dPt>
          <c:dPt>
            <c:idx val="6"/>
            <c:bubble3D val="0"/>
            <c:spPr>
              <a:solidFill>
                <a:schemeClr val="accent1">
                  <a:lumMod val="60000"/>
                </a:schemeClr>
              </a:solidFill>
              <a:ln w="25400">
                <a:solidFill>
                  <a:schemeClr val="lt1"/>
                </a:solidFill>
              </a:ln>
              <a:effectLst/>
              <a:sp3d contourW="25400">
                <a:contourClr>
                  <a:schemeClr val="lt1"/>
                </a:contourClr>
              </a:sp3d>
            </c:spPr>
          </c:dPt>
          <c:dPt>
            <c:idx val="7"/>
            <c:bubble3D val="0"/>
            <c:spPr>
              <a:solidFill>
                <a:schemeClr val="accent2">
                  <a:lumMod val="60000"/>
                </a:schemeClr>
              </a:solidFill>
              <a:ln w="25400">
                <a:solidFill>
                  <a:schemeClr val="lt1"/>
                </a:solidFill>
              </a:ln>
              <a:effectLst/>
              <a:sp3d contourW="25400">
                <a:contourClr>
                  <a:schemeClr val="lt1"/>
                </a:contourClr>
              </a:sp3d>
            </c:spPr>
          </c:dPt>
          <c:dPt>
            <c:idx val="8"/>
            <c:bubble3D val="0"/>
            <c:spPr>
              <a:solidFill>
                <a:schemeClr val="accent3">
                  <a:lumMod val="60000"/>
                </a:schemeClr>
              </a:solidFill>
              <a:ln w="25400">
                <a:solidFill>
                  <a:schemeClr val="lt1"/>
                </a:solidFill>
              </a:ln>
              <a:effectLst/>
              <a:sp3d contourW="25400">
                <a:contourClr>
                  <a:schemeClr val="lt1"/>
                </a:contourClr>
              </a:sp3d>
            </c:spPr>
          </c:dPt>
          <c:dPt>
            <c:idx val="9"/>
            <c:bubble3D val="0"/>
            <c:spPr>
              <a:solidFill>
                <a:schemeClr val="accent4">
                  <a:lumMod val="60000"/>
                </a:schemeClr>
              </a:solidFill>
              <a:ln w="25400">
                <a:solidFill>
                  <a:schemeClr val="lt1"/>
                </a:solidFill>
              </a:ln>
              <a:effectLst/>
              <a:sp3d contourW="25400">
                <a:contourClr>
                  <a:schemeClr val="lt1"/>
                </a:contourClr>
              </a:sp3d>
            </c:spPr>
          </c:dPt>
          <c:dPt>
            <c:idx val="10"/>
            <c:bubble3D val="0"/>
            <c:spPr>
              <a:solidFill>
                <a:schemeClr val="accent5">
                  <a:lumMod val="60000"/>
                </a:schemeClr>
              </a:solidFill>
              <a:ln w="25400">
                <a:solidFill>
                  <a:schemeClr val="lt1"/>
                </a:solidFill>
              </a:ln>
              <a:effectLst/>
              <a:sp3d contourW="25400">
                <a:contourClr>
                  <a:schemeClr val="lt1"/>
                </a:contourClr>
              </a:sp3d>
            </c:spPr>
          </c:dPt>
          <c:dPt>
            <c:idx val="11"/>
            <c:bubble3D val="0"/>
            <c:spPr>
              <a:solidFill>
                <a:schemeClr val="accent6">
                  <a:lumMod val="60000"/>
                </a:schemeClr>
              </a:solidFill>
              <a:ln w="25400">
                <a:solidFill>
                  <a:schemeClr val="lt1"/>
                </a:solidFill>
              </a:ln>
              <a:effectLst/>
              <a:sp3d contourW="25400">
                <a:contourClr>
                  <a:schemeClr val="lt1"/>
                </a:contourClr>
              </a:sp3d>
            </c:spPr>
          </c:dPt>
          <c:dPt>
            <c:idx val="12"/>
            <c:bubble3D val="0"/>
            <c:spPr>
              <a:solidFill>
                <a:schemeClr val="accent1">
                  <a:lumMod val="80000"/>
                  <a:lumOff val="20000"/>
                </a:schemeClr>
              </a:solidFill>
              <a:ln w="25400">
                <a:solidFill>
                  <a:schemeClr val="lt1"/>
                </a:solidFill>
              </a:ln>
              <a:effectLst/>
              <a:sp3d contourW="25400">
                <a:contourClr>
                  <a:schemeClr val="lt1"/>
                </a:contourClr>
              </a:sp3d>
            </c:spPr>
          </c:dPt>
          <c:dPt>
            <c:idx val="13"/>
            <c:bubble3D val="0"/>
            <c:spPr>
              <a:solidFill>
                <a:schemeClr val="accent2">
                  <a:lumMod val="80000"/>
                  <a:lumOff val="20000"/>
                </a:schemeClr>
              </a:solidFill>
              <a:ln w="25400">
                <a:solidFill>
                  <a:schemeClr val="lt1"/>
                </a:solidFill>
              </a:ln>
              <a:effectLst/>
              <a:sp3d contourW="25400">
                <a:contourClr>
                  <a:schemeClr val="lt1"/>
                </a:contourClr>
              </a:sp3d>
            </c:spPr>
          </c:dPt>
          <c:dPt>
            <c:idx val="14"/>
            <c:bubble3D val="0"/>
            <c:spPr>
              <a:solidFill>
                <a:schemeClr val="accent3">
                  <a:lumMod val="80000"/>
                  <a:lumOff val="20000"/>
                </a:schemeClr>
              </a:solidFill>
              <a:ln w="25400">
                <a:solidFill>
                  <a:schemeClr val="lt1"/>
                </a:solidFill>
              </a:ln>
              <a:effectLst/>
              <a:sp3d contourW="25400">
                <a:contourClr>
                  <a:schemeClr val="lt1"/>
                </a:contourClr>
              </a:sp3d>
            </c:spPr>
          </c:dPt>
          <c:dPt>
            <c:idx val="15"/>
            <c:bubble3D val="0"/>
            <c:spPr>
              <a:solidFill>
                <a:schemeClr val="accent4">
                  <a:lumMod val="80000"/>
                  <a:lumOff val="20000"/>
                </a:schemeClr>
              </a:solidFill>
              <a:ln w="25400">
                <a:solidFill>
                  <a:schemeClr val="lt1"/>
                </a:solidFill>
              </a:ln>
              <a:effectLst/>
              <a:sp3d contourW="25400">
                <a:contourClr>
                  <a:schemeClr val="lt1"/>
                </a:contourClr>
              </a:sp3d>
            </c:spPr>
          </c:dPt>
          <c:dPt>
            <c:idx val="16"/>
            <c:bubble3D val="0"/>
            <c:spPr>
              <a:solidFill>
                <a:schemeClr val="accent5">
                  <a:lumMod val="80000"/>
                  <a:lumOff val="20000"/>
                </a:schemeClr>
              </a:solidFill>
              <a:ln w="25400">
                <a:solidFill>
                  <a:schemeClr val="lt1"/>
                </a:solidFill>
              </a:ln>
              <a:effectLst/>
              <a:sp3d contourW="25400">
                <a:contourClr>
                  <a:schemeClr val="lt1"/>
                </a:contourClr>
              </a:sp3d>
            </c:spPr>
          </c:dPt>
          <c:dPt>
            <c:idx val="17"/>
            <c:bubble3D val="0"/>
            <c:spPr>
              <a:solidFill>
                <a:schemeClr val="accent6">
                  <a:lumMod val="80000"/>
                  <a:lumOff val="20000"/>
                </a:schemeClr>
              </a:solidFill>
              <a:ln w="25400">
                <a:solidFill>
                  <a:schemeClr val="lt1"/>
                </a:solidFill>
              </a:ln>
              <a:effectLst/>
              <a:sp3d contourW="25400">
                <a:contourClr>
                  <a:schemeClr val="lt1"/>
                </a:contourClr>
              </a:sp3d>
            </c:spPr>
          </c:dPt>
          <c:dPt>
            <c:idx val="18"/>
            <c:bubble3D val="0"/>
            <c:spPr>
              <a:solidFill>
                <a:schemeClr val="accent1">
                  <a:lumMod val="80000"/>
                </a:schemeClr>
              </a:solidFill>
              <a:ln w="25400">
                <a:solidFill>
                  <a:schemeClr val="lt1"/>
                </a:solidFill>
              </a:ln>
              <a:effectLst/>
              <a:sp3d contourW="25400">
                <a:contourClr>
                  <a:schemeClr val="lt1"/>
                </a:contourClr>
              </a:sp3d>
            </c:spPr>
          </c:dPt>
          <c:dPt>
            <c:idx val="19"/>
            <c:bubble3D val="0"/>
            <c:spPr>
              <a:solidFill>
                <a:schemeClr val="accent2">
                  <a:lumMod val="80000"/>
                </a:schemeClr>
              </a:solidFill>
              <a:ln w="25400">
                <a:solidFill>
                  <a:schemeClr val="lt1"/>
                </a:solidFill>
              </a:ln>
              <a:effectLst/>
              <a:sp3d contourW="25400">
                <a:contourClr>
                  <a:schemeClr val="lt1"/>
                </a:contourClr>
              </a:sp3d>
            </c:spPr>
          </c:dPt>
          <c:dLbls>
            <c:dLbl>
              <c:idx val="0"/>
              <c:layout>
                <c:manualLayout>
                  <c:x val="0.20968156445233077"/>
                  <c:y val="-0.13641294838145232"/>
                </c:manualLayout>
              </c:layout>
              <c:dLblPos val="bestFit"/>
              <c:showLegendKey val="0"/>
              <c:showVal val="1"/>
              <c:showCatName val="1"/>
              <c:showSerName val="0"/>
              <c:showPercent val="0"/>
              <c:showBubbleSize val="0"/>
              <c:extLst>
                <c:ext xmlns:c15="http://schemas.microsoft.com/office/drawing/2012/chart" uri="{CE6537A1-D6FC-4f65-9D91-7224C49458BB}"/>
              </c:extLst>
            </c:dLbl>
            <c:dLbl>
              <c:idx val="1"/>
              <c:layout>
                <c:manualLayout>
                  <c:x val="3.2942624399929281E-2"/>
                  <c:y val="-4.6937323162217839E-2"/>
                </c:manualLayout>
              </c:layout>
              <c:showLegendKey val="1"/>
              <c:showVal val="1"/>
              <c:showCatName val="1"/>
              <c:showSerName val="0"/>
              <c:showPercent val="0"/>
              <c:showBubbleSize val="0"/>
              <c:extLst>
                <c:ext xmlns:c15="http://schemas.microsoft.com/office/drawing/2012/chart" uri="{CE6537A1-D6FC-4f65-9D91-7224C49458BB}"/>
              </c:extLst>
            </c:dLbl>
            <c:dLbl>
              <c:idx val="2"/>
              <c:layout>
                <c:manualLayout>
                  <c:x val="-1.2614031354188834E-2"/>
                  <c:y val="-9.1349448665855579E-2"/>
                </c:manualLayout>
              </c:layout>
              <c:showLegendKey val="1"/>
              <c:showVal val="1"/>
              <c:showCatName val="1"/>
              <c:showSerName val="0"/>
              <c:showPercent val="0"/>
              <c:showBubbleSize val="0"/>
              <c:extLst>
                <c:ext xmlns:c15="http://schemas.microsoft.com/office/drawing/2012/chart" uri="{CE6537A1-D6FC-4f65-9D91-7224C49458BB}"/>
              </c:extLst>
            </c:dLbl>
            <c:dLbl>
              <c:idx val="3"/>
              <c:layout>
                <c:manualLayout>
                  <c:x val="2.4179620034542316E-2"/>
                  <c:y val="-1.8598073056780615E-2"/>
                </c:manualLayout>
              </c:layout>
              <c:showLegendKey val="1"/>
              <c:showVal val="1"/>
              <c:showCatName val="1"/>
              <c:showSerName val="0"/>
              <c:showPercent val="0"/>
              <c:showBubbleSize val="0"/>
              <c:extLst>
                <c:ext xmlns:c15="http://schemas.microsoft.com/office/drawing/2012/chart" uri="{CE6537A1-D6FC-4f65-9D91-7224C49458BB}"/>
              </c:extLst>
            </c:dLbl>
            <c:dLbl>
              <c:idx val="4"/>
              <c:layout>
                <c:manualLayout>
                  <c:x val="4.9173908313274312E-2"/>
                  <c:y val="2.4070984886639561E-2"/>
                </c:manualLayout>
              </c:layout>
              <c:showLegendKey val="1"/>
              <c:showVal val="1"/>
              <c:showCatName val="1"/>
              <c:showSerName val="0"/>
              <c:showPercent val="0"/>
              <c:showBubbleSize val="0"/>
              <c:extLst>
                <c:ext xmlns:c15="http://schemas.microsoft.com/office/drawing/2012/chart" uri="{CE6537A1-D6FC-4f65-9D91-7224C49458BB}"/>
              </c:extLst>
            </c:dLbl>
            <c:dLbl>
              <c:idx val="5"/>
              <c:layout>
                <c:manualLayout>
                  <c:x val="9.6135663222277248E-2"/>
                  <c:y val="-2.5507219760795348E-2"/>
                </c:manualLayout>
              </c:layout>
              <c:showLegendKey val="1"/>
              <c:showVal val="1"/>
              <c:showCatName val="1"/>
              <c:showSerName val="0"/>
              <c:showPercent val="0"/>
              <c:showBubbleSize val="0"/>
              <c:extLst>
                <c:ext xmlns:c15="http://schemas.microsoft.com/office/drawing/2012/chart" uri="{CE6537A1-D6FC-4f65-9D91-7224C49458BB}"/>
              </c:extLst>
            </c:dLbl>
            <c:dLbl>
              <c:idx val="6"/>
              <c:layout>
                <c:manualLayout>
                  <c:x val="7.4689335004295559E-2"/>
                  <c:y val="2.4528515568206892E-2"/>
                </c:manualLayout>
              </c:layout>
              <c:showLegendKey val="1"/>
              <c:showVal val="1"/>
              <c:showCatName val="1"/>
              <c:showSerName val="0"/>
              <c:showPercent val="0"/>
              <c:showBubbleSize val="0"/>
              <c:extLst>
                <c:ext xmlns:c15="http://schemas.microsoft.com/office/drawing/2012/chart" uri="{CE6537A1-D6FC-4f65-9D91-7224C49458BB}"/>
              </c:extLst>
            </c:dLbl>
            <c:dLbl>
              <c:idx val="7"/>
              <c:layout>
                <c:manualLayout>
                  <c:x val="5.3868987097333482E-2"/>
                  <c:y val="9.44572744733439E-2"/>
                </c:manualLayout>
              </c:layout>
              <c:showLegendKey val="1"/>
              <c:showVal val="1"/>
              <c:showCatName val="1"/>
              <c:showSerName val="0"/>
              <c:showPercent val="0"/>
              <c:showBubbleSize val="0"/>
              <c:extLst>
                <c:ext xmlns:c15="http://schemas.microsoft.com/office/drawing/2012/chart" uri="{CE6537A1-D6FC-4f65-9D91-7224C49458BB}"/>
              </c:extLst>
            </c:dLbl>
            <c:dLbl>
              <c:idx val="8"/>
              <c:layout>
                <c:manualLayout>
                  <c:x val="0.10269623954663318"/>
                  <c:y val="0.15728916538493898"/>
                </c:manualLayout>
              </c:layout>
              <c:showLegendKey val="1"/>
              <c:showVal val="1"/>
              <c:showCatName val="1"/>
              <c:showSerName val="0"/>
              <c:showPercent val="0"/>
              <c:showBubbleSize val="0"/>
              <c:extLst>
                <c:ext xmlns:c15="http://schemas.microsoft.com/office/drawing/2012/chart" uri="{CE6537A1-D6FC-4f65-9D91-7224C49458BB}"/>
              </c:extLst>
            </c:dLbl>
            <c:dLbl>
              <c:idx val="9"/>
              <c:layout>
                <c:manualLayout>
                  <c:x val="-1.6867250748586072E-2"/>
                  <c:y val="0.19619422572178463"/>
                </c:manualLayout>
              </c:layout>
              <c:showLegendKey val="1"/>
              <c:showVal val="1"/>
              <c:showCatName val="1"/>
              <c:showSerName val="0"/>
              <c:showPercent val="0"/>
              <c:showBubbleSize val="0"/>
              <c:extLst>
                <c:ext xmlns:c15="http://schemas.microsoft.com/office/drawing/2012/chart" uri="{CE6537A1-D6FC-4f65-9D91-7224C49458BB}"/>
              </c:extLst>
            </c:dLbl>
            <c:dLbl>
              <c:idx val="10"/>
              <c:layout>
                <c:manualLayout>
                  <c:x val="-6.6287020981583081E-2"/>
                  <c:y val="0.12059726593273819"/>
                </c:manualLayout>
              </c:layout>
              <c:showLegendKey val="1"/>
              <c:showVal val="1"/>
              <c:showCatName val="1"/>
              <c:showSerName val="0"/>
              <c:showPercent val="0"/>
              <c:showBubbleSize val="0"/>
              <c:extLst>
                <c:ext xmlns:c15="http://schemas.microsoft.com/office/drawing/2012/chart" uri="{CE6537A1-D6FC-4f65-9D91-7224C49458BB}"/>
              </c:extLst>
            </c:dLbl>
            <c:dLbl>
              <c:idx val="11"/>
              <c:layout>
                <c:manualLayout>
                  <c:x val="0.10664152540499219"/>
                  <c:y val="5.679528783629869E-2"/>
                </c:manualLayout>
              </c:layout>
              <c:showLegendKey val="1"/>
              <c:showVal val="1"/>
              <c:showCatName val="1"/>
              <c:showSerName val="0"/>
              <c:showPercent val="0"/>
              <c:showBubbleSize val="0"/>
              <c:extLst>
                <c:ext xmlns:c15="http://schemas.microsoft.com/office/drawing/2012/chart" uri="{CE6537A1-D6FC-4f65-9D91-7224C49458BB}"/>
              </c:extLst>
            </c:dLbl>
            <c:dLbl>
              <c:idx val="12"/>
              <c:layout>
                <c:manualLayout>
                  <c:x val="-1.3989870984436804E-2"/>
                  <c:y val="0.13965997894331006"/>
                </c:manualLayout>
              </c:layout>
              <c:showLegendKey val="1"/>
              <c:showVal val="1"/>
              <c:showCatName val="1"/>
              <c:showSerName val="0"/>
              <c:showPercent val="0"/>
              <c:showBubbleSize val="0"/>
              <c:extLst>
                <c:ext xmlns:c15="http://schemas.microsoft.com/office/drawing/2012/chart" uri="{CE6537A1-D6FC-4f65-9D91-7224C49458BB}"/>
              </c:extLst>
            </c:dLbl>
            <c:dLbl>
              <c:idx val="13"/>
              <c:layout>
                <c:manualLayout>
                  <c:x val="-4.2920853203208757E-2"/>
                  <c:y val="9.6116078710500166E-2"/>
                </c:manualLayout>
              </c:layout>
              <c:showLegendKey val="1"/>
              <c:showVal val="1"/>
              <c:showCatName val="1"/>
              <c:showSerName val="0"/>
              <c:showPercent val="0"/>
              <c:showBubbleSize val="0"/>
              <c:extLst>
                <c:ext xmlns:c15="http://schemas.microsoft.com/office/drawing/2012/chart" uri="{CE6537A1-D6FC-4f65-9D91-7224C49458BB}"/>
              </c:extLst>
            </c:dLbl>
            <c:dLbl>
              <c:idx val="14"/>
              <c:layout>
                <c:manualLayout>
                  <c:x val="-2.1440390373738495E-2"/>
                  <c:y val="3.4731675489716257E-2"/>
                </c:manualLayout>
              </c:layout>
              <c:showLegendKey val="1"/>
              <c:showVal val="1"/>
              <c:showCatName val="1"/>
              <c:showSerName val="0"/>
              <c:showPercent val="0"/>
              <c:showBubbleSize val="0"/>
              <c:extLst>
                <c:ext xmlns:c15="http://schemas.microsoft.com/office/drawing/2012/chart" uri="{CE6537A1-D6FC-4f65-9D91-7224C49458BB}"/>
              </c:extLst>
            </c:dLbl>
            <c:dLbl>
              <c:idx val="15"/>
              <c:layout>
                <c:manualLayout>
                  <c:x val="-4.3851687553140367E-2"/>
                  <c:y val="-1.9453712353752321E-2"/>
                </c:manualLayout>
              </c:layout>
              <c:showLegendKey val="1"/>
              <c:showVal val="1"/>
              <c:showCatName val="1"/>
              <c:showSerName val="0"/>
              <c:showPercent val="0"/>
              <c:showBubbleSize val="0"/>
              <c:extLst>
                <c:ext xmlns:c15="http://schemas.microsoft.com/office/drawing/2012/chart" uri="{CE6537A1-D6FC-4f65-9D91-7224C49458BB}"/>
              </c:extLst>
            </c:dLbl>
            <c:dLbl>
              <c:idx val="16"/>
              <c:layout>
                <c:manualLayout>
                  <c:x val="0"/>
                  <c:y val="-5.3098002580185953E-2"/>
                </c:manualLayout>
              </c:layout>
              <c:showLegendKey val="1"/>
              <c:showVal val="1"/>
              <c:showCatName val="1"/>
              <c:showSerName val="0"/>
              <c:showPercent val="0"/>
              <c:showBubbleSize val="0"/>
              <c:extLst>
                <c:ext xmlns:c15="http://schemas.microsoft.com/office/drawing/2012/chart" uri="{CE6537A1-D6FC-4f65-9D91-7224C49458BB}"/>
              </c:extLst>
            </c:dLbl>
            <c:dLbl>
              <c:idx val="17"/>
              <c:layout>
                <c:manualLayout>
                  <c:x val="4.004004004004004E-3"/>
                  <c:y val="-0.26477032207708734"/>
                </c:manualLayout>
              </c:layout>
              <c:showLegendKey val="1"/>
              <c:showVal val="1"/>
              <c:showCatName val="1"/>
              <c:showSerName val="0"/>
              <c:showPercent val="0"/>
              <c:showBubbleSize val="0"/>
              <c:extLst>
                <c:ext xmlns:c15="http://schemas.microsoft.com/office/drawing/2012/chart" uri="{CE6537A1-D6FC-4f65-9D91-7224C49458BB}"/>
              </c:extLst>
            </c:dLbl>
            <c:dLbl>
              <c:idx val="18"/>
              <c:layout>
                <c:manualLayout>
                  <c:x val="-7.1198846623045354E-4"/>
                  <c:y val="-9.0356629150169787E-2"/>
                </c:manualLayout>
              </c:layout>
              <c:showLegendKey val="1"/>
              <c:showVal val="1"/>
              <c:showCatName val="1"/>
              <c:showSerName val="0"/>
              <c:showPercent val="0"/>
              <c:showBubbleSize val="0"/>
              <c:extLst>
                <c:ext xmlns:c15="http://schemas.microsoft.com/office/drawing/2012/chart" uri="{CE6537A1-D6FC-4f65-9D91-7224C49458BB}"/>
              </c:extLst>
            </c:dLbl>
            <c:dLbl>
              <c:idx val="19"/>
              <c:layout>
                <c:manualLayout>
                  <c:x val="0"/>
                  <c:y val="-0.18524074321218323"/>
                </c:manualLayout>
              </c:layout>
              <c:showLegendKey val="1"/>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ru-RU"/>
              </a:p>
            </c:txPr>
            <c:showLegendKey val="1"/>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Лист2!$A$1:$A$20</c:f>
              <c:strCache>
                <c:ptCount val="20"/>
                <c:pt idx="0">
                  <c:v>Развитие здравоохранения </c:v>
                </c:pt>
                <c:pt idx="1">
                  <c:v>Развитие образования </c:v>
                </c:pt>
                <c:pt idx="2">
                  <c:v>Социальная поддержка населения</c:v>
                </c:pt>
                <c:pt idx="3">
                  <c:v>Содействие занятости населения</c:v>
                </c:pt>
                <c:pt idx="4">
                  <c:v>Развитие культуры </c:v>
                </c:pt>
                <c:pt idx="5">
                  <c:v>Обеспечение доступным жильем и качественными услугами ЖКХ  населения </c:v>
                </c:pt>
                <c:pt idx="6">
                  <c:v>Защита населения и территории от ЧС..</c:v>
                </c:pt>
                <c:pt idx="7">
                  <c:v>Охрана окружающей среды </c:v>
                </c:pt>
                <c:pt idx="8">
                  <c:v>Развитие физической культуры и спорта</c:v>
                </c:pt>
                <c:pt idx="9">
                  <c:v>Развитие туризма в Приморском крае</c:v>
                </c:pt>
                <c:pt idx="10">
                  <c:v>Информационное общество</c:v>
                </c:pt>
                <c:pt idx="11">
                  <c:v>Развитие транспортного комплекса </c:v>
                </c:pt>
                <c:pt idx="12">
                  <c:v>Энергоэффективность, развитие газоснабжения и энергетики</c:v>
                </c:pt>
                <c:pt idx="13">
                  <c:v>Развитие сельского хозяйства ..</c:v>
                </c:pt>
                <c:pt idx="14">
                  <c:v>Развитие рыбохозяйственного комплекса </c:v>
                </c:pt>
                <c:pt idx="15">
                  <c:v>Развитие лесного хозяйства </c:v>
                </c:pt>
                <c:pt idx="16">
                  <c:v>Экономическое развитие и инновационная экономика </c:v>
                </c:pt>
                <c:pt idx="17">
                  <c:v>Безопасный край</c:v>
                </c:pt>
                <c:pt idx="18">
                  <c:v> Патриотическое воспитание граждан..</c:v>
                </c:pt>
                <c:pt idx="19">
                  <c:v>Формирование современной городской среды МО ПК</c:v>
                </c:pt>
              </c:strCache>
            </c:strRef>
          </c:cat>
          <c:val>
            <c:numRef>
              <c:f>Лист2!$B$1:$B$20</c:f>
              <c:numCache>
                <c:formatCode>0.00</c:formatCode>
                <c:ptCount val="20"/>
                <c:pt idx="0">
                  <c:v>17.649999999999999</c:v>
                </c:pt>
                <c:pt idx="1">
                  <c:v>20.38</c:v>
                </c:pt>
                <c:pt idx="2">
                  <c:v>19.559999999999999</c:v>
                </c:pt>
                <c:pt idx="3">
                  <c:v>1.04</c:v>
                </c:pt>
                <c:pt idx="4">
                  <c:v>1.71</c:v>
                </c:pt>
                <c:pt idx="5">
                  <c:v>11.5</c:v>
                </c:pt>
                <c:pt idx="6">
                  <c:v>1.17</c:v>
                </c:pt>
                <c:pt idx="7">
                  <c:v>0.28999999999999998</c:v>
                </c:pt>
                <c:pt idx="8">
                  <c:v>2.14</c:v>
                </c:pt>
                <c:pt idx="9">
                  <c:v>0.51</c:v>
                </c:pt>
                <c:pt idx="10">
                  <c:v>1.6</c:v>
                </c:pt>
                <c:pt idx="11">
                  <c:v>11.05</c:v>
                </c:pt>
                <c:pt idx="12">
                  <c:v>1.1299999999999999</c:v>
                </c:pt>
                <c:pt idx="13">
                  <c:v>3.3</c:v>
                </c:pt>
                <c:pt idx="14">
                  <c:v>0.04</c:v>
                </c:pt>
                <c:pt idx="15">
                  <c:v>0.56999999999999995</c:v>
                </c:pt>
                <c:pt idx="16">
                  <c:v>4.93</c:v>
                </c:pt>
                <c:pt idx="17">
                  <c:v>0.5</c:v>
                </c:pt>
                <c:pt idx="18">
                  <c:v>0.09</c:v>
                </c:pt>
                <c:pt idx="19">
                  <c:v>0.84</c:v>
                </c:pt>
              </c:numCache>
            </c:numRef>
          </c:val>
        </c:ser>
        <c:dLbls>
          <c:showLegendKey val="0"/>
          <c:showVal val="0"/>
          <c:showCatName val="0"/>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baseline="0">
          <a:latin typeface="Times New Roman" panose="02020603050405020304" pitchFamily="18" charset="0"/>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5527192079713439"/>
          <c:y val="2.6448852586542202E-2"/>
          <c:w val="0.43333205689714316"/>
          <c:h val="0.92241874083125852"/>
        </c:manualLayout>
      </c:layout>
      <c:barChart>
        <c:barDir val="bar"/>
        <c:grouping val="clustered"/>
        <c:varyColors val="0"/>
        <c:ser>
          <c:idx val="0"/>
          <c:order val="0"/>
          <c:tx>
            <c:strRef>
              <c:f>'2022к2021'!$B$2</c:f>
              <c:strCache>
                <c:ptCount val="1"/>
                <c:pt idx="0">
                  <c:v>Утверждено на 2021 год</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'2022к2021'!$A$3:$A$22</c:f>
              <c:strCache>
                <c:ptCount val="20"/>
                <c:pt idx="0">
                  <c:v>Развитие рыбохозяйственного комплекса</c:v>
                </c:pt>
                <c:pt idx="1">
                  <c:v> Патриотическое воспитание граждан..</c:v>
                </c:pt>
                <c:pt idx="2">
                  <c:v>Охрана окружающей среды </c:v>
                </c:pt>
                <c:pt idx="3">
                  <c:v>Безопасный край</c:v>
                </c:pt>
                <c:pt idx="4">
                  <c:v>Развитие туризма</c:v>
                </c:pt>
                <c:pt idx="5">
                  <c:v>Развитие лесного хозяйства</c:v>
                </c:pt>
                <c:pt idx="6">
                  <c:v>Формирование  современной городской среды МО</c:v>
                </c:pt>
                <c:pt idx="7">
                  <c:v>Содействие занятости населения </c:v>
                </c:pt>
                <c:pt idx="8">
                  <c:v>Энергоэффективность</c:v>
                </c:pt>
                <c:pt idx="9">
                  <c:v>Защита населения и территории от ЧС</c:v>
                </c:pt>
                <c:pt idx="10">
                  <c:v>Информационное общество</c:v>
                </c:pt>
                <c:pt idx="11">
                  <c:v>Развитие культуры </c:v>
                </c:pt>
                <c:pt idx="12">
                  <c:v>Развитие физической культуры и спорта</c:v>
                </c:pt>
                <c:pt idx="13">
                  <c:v>Развитие сельского хозяйства </c:v>
                </c:pt>
                <c:pt idx="14">
                  <c:v>Экономическое развитие</c:v>
                </c:pt>
                <c:pt idx="15">
                  <c:v>Развитие транспортного комплекса </c:v>
                </c:pt>
                <c:pt idx="16">
                  <c:v>Обеспечение доступным жильем и  услугами ЖКХ населения</c:v>
                </c:pt>
                <c:pt idx="17">
                  <c:v>Развитие здравоохранения </c:v>
                </c:pt>
                <c:pt idx="18">
                  <c:v> Социальная поддержка населения</c:v>
                </c:pt>
                <c:pt idx="19">
                  <c:v>Развитие образования </c:v>
                </c:pt>
              </c:strCache>
            </c:strRef>
          </c:cat>
          <c:val>
            <c:numRef>
              <c:f>'2022к2021'!$B$3:$B$22</c:f>
              <c:numCache>
                <c:formatCode>0.00</c:formatCode>
                <c:ptCount val="20"/>
                <c:pt idx="0">
                  <c:v>59.447809999999997</c:v>
                </c:pt>
                <c:pt idx="1">
                  <c:v>165.64322000000001</c:v>
                </c:pt>
                <c:pt idx="2">
                  <c:v>513.22406000000001</c:v>
                </c:pt>
                <c:pt idx="3">
                  <c:v>806.27098999999998</c:v>
                </c:pt>
                <c:pt idx="4">
                  <c:v>771.99606999999992</c:v>
                </c:pt>
                <c:pt idx="5">
                  <c:v>911.48179000000005</c:v>
                </c:pt>
                <c:pt idx="6">
                  <c:v>1395</c:v>
                </c:pt>
                <c:pt idx="7">
                  <c:v>1984.9808299999997</c:v>
                </c:pt>
                <c:pt idx="8">
                  <c:v>1890.3336399999998</c:v>
                </c:pt>
                <c:pt idx="9">
                  <c:v>1623.4022500000001</c:v>
                </c:pt>
                <c:pt idx="10">
                  <c:v>2030.0450900000001</c:v>
                </c:pt>
                <c:pt idx="11">
                  <c:v>1879.3409299999998</c:v>
                </c:pt>
                <c:pt idx="12">
                  <c:v>2916.0512400000002</c:v>
                </c:pt>
                <c:pt idx="13">
                  <c:v>4268.1450500000001</c:v>
                </c:pt>
                <c:pt idx="14">
                  <c:v>7876.6395400000001</c:v>
                </c:pt>
                <c:pt idx="15">
                  <c:v>23108.563420000002</c:v>
                </c:pt>
                <c:pt idx="16">
                  <c:v>19274.933359999999</c:v>
                </c:pt>
                <c:pt idx="17">
                  <c:v>27456.624480000002</c:v>
                </c:pt>
                <c:pt idx="18">
                  <c:v>29881.012480000001</c:v>
                </c:pt>
                <c:pt idx="19">
                  <c:v>33164.666510000003</c:v>
                </c:pt>
              </c:numCache>
            </c:numRef>
          </c:val>
        </c:ser>
        <c:ser>
          <c:idx val="1"/>
          <c:order val="1"/>
          <c:tx>
            <c:strRef>
              <c:f>'2022к2021'!$C$2</c:f>
              <c:strCache>
                <c:ptCount val="1"/>
                <c:pt idx="0">
                  <c:v>Законопроект на 2022 год</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'2022к2021'!$A$3:$A$22</c:f>
              <c:strCache>
                <c:ptCount val="20"/>
                <c:pt idx="0">
                  <c:v>Развитие рыбохозяйственного комплекса</c:v>
                </c:pt>
                <c:pt idx="1">
                  <c:v> Патриотическое воспитание граждан..</c:v>
                </c:pt>
                <c:pt idx="2">
                  <c:v>Охрана окружающей среды </c:v>
                </c:pt>
                <c:pt idx="3">
                  <c:v>Безопасный край</c:v>
                </c:pt>
                <c:pt idx="4">
                  <c:v>Развитие туризма</c:v>
                </c:pt>
                <c:pt idx="5">
                  <c:v>Развитие лесного хозяйства</c:v>
                </c:pt>
                <c:pt idx="6">
                  <c:v>Формирование  современной городской среды МО</c:v>
                </c:pt>
                <c:pt idx="7">
                  <c:v>Содействие занятости населения </c:v>
                </c:pt>
                <c:pt idx="8">
                  <c:v>Энергоэффективность</c:v>
                </c:pt>
                <c:pt idx="9">
                  <c:v>Защита населения и территории от ЧС</c:v>
                </c:pt>
                <c:pt idx="10">
                  <c:v>Информационное общество</c:v>
                </c:pt>
                <c:pt idx="11">
                  <c:v>Развитие культуры </c:v>
                </c:pt>
                <c:pt idx="12">
                  <c:v>Развитие физической культуры и спорта</c:v>
                </c:pt>
                <c:pt idx="13">
                  <c:v>Развитие сельского хозяйства </c:v>
                </c:pt>
                <c:pt idx="14">
                  <c:v>Экономическое развитие</c:v>
                </c:pt>
                <c:pt idx="15">
                  <c:v>Развитие транспортного комплекса </c:v>
                </c:pt>
                <c:pt idx="16">
                  <c:v>Обеспечение доступным жильем и  услугами ЖКХ населения</c:v>
                </c:pt>
                <c:pt idx="17">
                  <c:v>Развитие здравоохранения </c:v>
                </c:pt>
                <c:pt idx="18">
                  <c:v> Социальная поддержка населения</c:v>
                </c:pt>
                <c:pt idx="19">
                  <c:v>Развитие образования </c:v>
                </c:pt>
              </c:strCache>
            </c:strRef>
          </c:cat>
          <c:val>
            <c:numRef>
              <c:f>'2022к2021'!$C$3:$C$22</c:f>
              <c:numCache>
                <c:formatCode>0.00</c:formatCode>
                <c:ptCount val="20"/>
                <c:pt idx="0">
                  <c:v>64.44</c:v>
                </c:pt>
                <c:pt idx="1">
                  <c:v>147.55000000000001</c:v>
                </c:pt>
                <c:pt idx="2">
                  <c:v>456.43</c:v>
                </c:pt>
                <c:pt idx="3">
                  <c:v>764.48</c:v>
                </c:pt>
                <c:pt idx="4">
                  <c:v>798.9</c:v>
                </c:pt>
                <c:pt idx="5">
                  <c:v>885.03</c:v>
                </c:pt>
                <c:pt idx="6">
                  <c:v>1313.55</c:v>
                </c:pt>
                <c:pt idx="7">
                  <c:v>1621.04</c:v>
                </c:pt>
                <c:pt idx="8">
                  <c:v>1757.1</c:v>
                </c:pt>
                <c:pt idx="9">
                  <c:v>1833.63</c:v>
                </c:pt>
                <c:pt idx="10">
                  <c:v>2502.6799999999998</c:v>
                </c:pt>
                <c:pt idx="11">
                  <c:v>2673.59</c:v>
                </c:pt>
                <c:pt idx="12">
                  <c:v>3348.02</c:v>
                </c:pt>
                <c:pt idx="13">
                  <c:v>5161.28</c:v>
                </c:pt>
                <c:pt idx="14" formatCode="0.000">
                  <c:v>7706.5451197299999</c:v>
                </c:pt>
                <c:pt idx="15">
                  <c:v>17253.990000000002</c:v>
                </c:pt>
                <c:pt idx="16">
                  <c:v>17968.79</c:v>
                </c:pt>
                <c:pt idx="17">
                  <c:v>27562.14</c:v>
                </c:pt>
                <c:pt idx="18">
                  <c:v>30552.28</c:v>
                </c:pt>
                <c:pt idx="19">
                  <c:v>31829.56</c:v>
                </c:pt>
              </c:numCache>
            </c:numRef>
          </c:val>
        </c:ser>
        <c:dLbls>
          <c:showLegendKey val="0"/>
          <c:showVal val="0"/>
          <c:showCatName val="0"/>
          <c:showSerName val="0"/>
          <c:showPercent val="0"/>
          <c:showBubbleSize val="0"/>
        </c:dLbls>
        <c:gapWidth val="182"/>
        <c:axId val="84095360"/>
        <c:axId val="84096896"/>
      </c:barChart>
      <c:catAx>
        <c:axId val="84095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4096896"/>
        <c:crosses val="autoZero"/>
        <c:auto val="1"/>
        <c:lblAlgn val="ctr"/>
        <c:lblOffset val="100"/>
        <c:noMultiLvlLbl val="0"/>
      </c:catAx>
      <c:valAx>
        <c:axId val="84096896"/>
        <c:scaling>
          <c:orientation val="minMax"/>
        </c:scaling>
        <c:delete val="1"/>
        <c:axPos val="b"/>
        <c:numFmt formatCode="0.00" sourceLinked="1"/>
        <c:majorTickMark val="none"/>
        <c:minorTickMark val="none"/>
        <c:tickLblPos val="nextTo"/>
        <c:crossAx val="84095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6218265231771517E-2"/>
          <c:y val="6.2861869313482213E-2"/>
          <c:w val="0.8912220800779671"/>
          <c:h val="0.81822994210090982"/>
        </c:manualLayout>
      </c:layout>
      <c:lineChart>
        <c:grouping val="standard"/>
        <c:varyColors val="0"/>
        <c:ser>
          <c:idx val="0"/>
          <c:order val="0"/>
          <c:spPr>
            <a:ln w="12700" cap="flat" cmpd="sng" algn="ctr">
              <a:solidFill>
                <a:srgbClr val="00B050"/>
              </a:solidFill>
              <a:prstDash val="solid"/>
              <a:miter lim="800000"/>
            </a:ln>
            <a:effectLst/>
          </c:spPr>
          <c:marker>
            <c:symbol val="triangle"/>
            <c:size val="6"/>
            <c:spPr>
              <a:solidFill>
                <a:schemeClr val="lt1"/>
              </a:solidFill>
              <a:ln w="12700" cap="flat" cmpd="sng" algn="ctr">
                <a:solidFill>
                  <a:srgbClr val="00B050"/>
                </a:solidFill>
                <a:prstDash val="solid"/>
                <a:miter lim="800000"/>
              </a:ln>
              <a:effectLst/>
            </c:spPr>
          </c:marker>
          <c:dLbls>
            <c:dLbl>
              <c:idx val="0"/>
              <c:layout>
                <c:manualLayout>
                  <c:x val="-5.409221693964382E-2"/>
                  <c:y val="-7.231011017239866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4DF-475F-8321-B04A41713C8C}"/>
                </c:ext>
                <c:ext xmlns:c15="http://schemas.microsoft.com/office/drawing/2012/chart" uri="{CE6537A1-D6FC-4f65-9D91-7224C49458BB}">
                  <c15:layout/>
                </c:ext>
              </c:extLst>
            </c:dLbl>
            <c:dLbl>
              <c:idx val="1"/>
              <c:layout>
                <c:manualLayout>
                  <c:x val="-5.0511478394736388E-2"/>
                  <c:y val="8.57608756352264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4DF-475F-8321-B04A41713C8C}"/>
                </c:ext>
                <c:ext xmlns:c15="http://schemas.microsoft.com/office/drawing/2012/chart" uri="{CE6537A1-D6FC-4f65-9D91-7224C49458BB}">
                  <c15:layout/>
                </c:ext>
              </c:extLst>
            </c:dLbl>
            <c:dLbl>
              <c:idx val="2"/>
              <c:layout>
                <c:manualLayout>
                  <c:x val="-4.6930642291239506E-2"/>
                  <c:y val="5.995167477514442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4DF-475F-8321-B04A41713C8C}"/>
                </c:ext>
                <c:ext xmlns:c15="http://schemas.microsoft.com/office/drawing/2012/chart" uri="{CE6537A1-D6FC-4f65-9D91-7224C49458BB}">
                  <c15:layout/>
                </c:ext>
              </c:extLst>
            </c:dLbl>
            <c:dLbl>
              <c:idx val="3"/>
              <c:layout>
                <c:manualLayout>
                  <c:x val="-3.5197970152208116E-2"/>
                  <c:y val="-3.40042601057846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4DF-475F-8321-B04A41713C8C}"/>
                </c:ext>
                <c:ext xmlns:c15="http://schemas.microsoft.com/office/drawing/2012/chart" uri="{CE6537A1-D6FC-4f65-9D91-7224C49458BB}">
                  <c15:layout/>
                </c:ext>
              </c:extLst>
            </c:dLbl>
            <c:dLbl>
              <c:idx val="4"/>
              <c:layout>
                <c:manualLayout>
                  <c:x val="-3.8550093225627108E-2"/>
                  <c:y val="5.292232088010275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4DF-475F-8321-B04A41713C8C}"/>
                </c:ext>
                <c:ext xmlns:c15="http://schemas.microsoft.com/office/drawing/2012/chart" uri="{CE6537A1-D6FC-4f65-9D91-7224C49458BB}">
                  <c15:layout/>
                </c:ext>
              </c:extLst>
            </c:dLbl>
            <c:dLbl>
              <c:idx val="5"/>
              <c:layout>
                <c:manualLayout>
                  <c:x val="-2.3188794350808322E-2"/>
                  <c:y val="6.64193571548237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4DF-475F-8321-B04A41713C8C}"/>
                </c:ext>
                <c:ext xmlns:c15="http://schemas.microsoft.com/office/drawing/2012/chart" uri="{CE6537A1-D6FC-4f65-9D91-7224C49458BB}">
                  <c15:layout/>
                </c:ext>
              </c:extLst>
            </c:dLbl>
            <c:dLbl>
              <c:idx val="6"/>
              <c:layout>
                <c:manualLayout>
                  <c:x val="-5.2927786320965273E-2"/>
                  <c:y val="0.18038979170156919"/>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4DF-475F-8321-B04A41713C8C}"/>
                </c:ext>
                <c:ext xmlns:c15="http://schemas.microsoft.com/office/drawing/2012/chart" uri="{CE6537A1-D6FC-4f65-9D91-7224C49458BB}">
                  <c15:layout/>
                </c:ext>
              </c:extLst>
            </c:dLbl>
            <c:dLbl>
              <c:idx val="7"/>
              <c:layout>
                <c:manualLayout>
                  <c:x val="-4.5747315118802583E-2"/>
                  <c:y val="5.186032596989206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4DF-475F-8321-B04A41713C8C}"/>
                </c:ext>
                <c:ext xmlns:c15="http://schemas.microsoft.com/office/drawing/2012/chart" uri="{CE6537A1-D6FC-4f65-9D91-7224C49458BB}">
                  <c15:layout/>
                </c:ext>
              </c:extLst>
            </c:dLbl>
            <c:dLbl>
              <c:idx val="8"/>
              <c:layout>
                <c:manualLayout>
                  <c:x val="-3.1845792983341073E-2"/>
                  <c:y val="3.63937138130686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4DF-475F-8321-B04A41713C8C}"/>
                </c:ext>
                <c:ext xmlns:c15="http://schemas.microsoft.com/office/drawing/2012/chart" uri="{CE6537A1-D6FC-4f65-9D91-7224C49458BB}">
                  <c15:layout/>
                </c:ext>
              </c:extLst>
            </c:dLbl>
            <c:dLbl>
              <c:idx val="9"/>
              <c:layout>
                <c:manualLayout>
                  <c:x val="-6.0081976186707492E-2"/>
                  <c:y val="-6.665071121428969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4DF-475F-8321-B04A41713C8C}"/>
                </c:ext>
                <c:ext xmlns:c15="http://schemas.microsoft.com/office/drawing/2012/chart" uri="{CE6537A1-D6FC-4f65-9D91-7224C49458BB}">
                  <c15:layout/>
                </c:ext>
              </c:extLst>
            </c:dLbl>
            <c:dLbl>
              <c:idx val="10"/>
              <c:layout>
                <c:manualLayout>
                  <c:x val="-5.879061229290302E-2"/>
                  <c:y val="-6.142976808749971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64DF-475F-8321-B04A41713C8C}"/>
                </c:ext>
                <c:ext xmlns:c15="http://schemas.microsoft.com/office/drawing/2012/chart" uri="{CE6537A1-D6FC-4f65-9D91-7224C49458BB}">
                  <c15:layout/>
                </c:ext>
              </c:extLst>
            </c:dLbl>
            <c:dLbl>
              <c:idx val="11"/>
              <c:layout>
                <c:manualLayout>
                  <c:x val="-3.7653256253709279E-2"/>
                  <c:y val="0.1153295199802152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4DF-475F-8321-B04A41713C8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Лист1!$D$7:$D$18</c:f>
              <c:strCache>
                <c:ptCount val="12"/>
                <c:pt idx="0">
                  <c:v>2017 год </c:v>
                </c:pt>
                <c:pt idx="1">
                  <c:v>2018 год</c:v>
                </c:pt>
                <c:pt idx="2">
                  <c:v>2019 год</c:v>
                </c:pt>
                <c:pt idx="3">
                  <c:v>2020 год</c:v>
                </c:pt>
                <c:pt idx="4">
                  <c:v>2021 год</c:v>
                </c:pt>
                <c:pt idx="5">
                  <c:v>2022 год</c:v>
                </c:pt>
                <c:pt idx="6">
                  <c:v>2023 год </c:v>
                </c:pt>
                <c:pt idx="7">
                  <c:v>2024 год</c:v>
                </c:pt>
                <c:pt idx="8">
                  <c:v>2025 год</c:v>
                </c:pt>
                <c:pt idx="9">
                  <c:v>2026 год</c:v>
                </c:pt>
                <c:pt idx="10">
                  <c:v>2027 год </c:v>
                </c:pt>
                <c:pt idx="11">
                  <c:v>2028 год</c:v>
                </c:pt>
              </c:strCache>
            </c:strRef>
          </c:cat>
          <c:val>
            <c:numRef>
              <c:f>Лист1!$E$7:$E$18</c:f>
              <c:numCache>
                <c:formatCode>0.00</c:formatCode>
                <c:ptCount val="12"/>
                <c:pt idx="0">
                  <c:v>4384.34</c:v>
                </c:pt>
                <c:pt idx="1">
                  <c:v>5203.3100000000004</c:v>
                </c:pt>
                <c:pt idx="2">
                  <c:v>5042.28</c:v>
                </c:pt>
                <c:pt idx="3">
                  <c:v>4680.22</c:v>
                </c:pt>
                <c:pt idx="4">
                  <c:v>2774.52</c:v>
                </c:pt>
                <c:pt idx="5">
                  <c:v>5785</c:v>
                </c:pt>
                <c:pt idx="6">
                  <c:v>5730.67</c:v>
                </c:pt>
                <c:pt idx="7">
                  <c:v>5243.8</c:v>
                </c:pt>
                <c:pt idx="8">
                  <c:v>5243.8</c:v>
                </c:pt>
                <c:pt idx="9">
                  <c:v>5243.8</c:v>
                </c:pt>
                <c:pt idx="10">
                  <c:v>5243.8</c:v>
                </c:pt>
                <c:pt idx="11">
                  <c:v>5243.8</c:v>
                </c:pt>
              </c:numCache>
            </c:numRef>
          </c:val>
          <c:smooth val="1"/>
          <c:extLst xmlns:c16r2="http://schemas.microsoft.com/office/drawing/2015/06/chart">
            <c:ext xmlns:c16="http://schemas.microsoft.com/office/drawing/2014/chart" uri="{C3380CC4-5D6E-409C-BE32-E72D297353CC}">
              <c16:uniqueId val="{0000000C-64DF-475F-8321-B04A41713C8C}"/>
            </c:ext>
          </c:extLst>
        </c:ser>
        <c:dLbls>
          <c:showLegendKey val="0"/>
          <c:showVal val="0"/>
          <c:showCatName val="0"/>
          <c:showSerName val="0"/>
          <c:showPercent val="0"/>
          <c:showBubbleSize val="0"/>
        </c:dLbls>
        <c:dropLines>
          <c:spPr>
            <a:ln w="9525" cap="flat" cmpd="sng" algn="ctr">
              <a:solidFill>
                <a:schemeClr val="accent1">
                  <a:lumMod val="75000"/>
                  <a:alpha val="33000"/>
                </a:schemeClr>
              </a:solidFill>
              <a:round/>
            </a:ln>
            <a:effectLst/>
          </c:spPr>
        </c:dropLines>
        <c:marker val="1"/>
        <c:smooth val="0"/>
        <c:axId val="84161280"/>
        <c:axId val="84162432"/>
      </c:lineChart>
      <c:dateAx>
        <c:axId val="84161280"/>
        <c:scaling>
          <c:orientation val="minMax"/>
        </c:scaling>
        <c:delete val="0"/>
        <c:axPos val="b"/>
        <c:numFmt formatCode="General" sourceLinked="0"/>
        <c:majorTickMark val="none"/>
        <c:minorTickMark val="none"/>
        <c:tickLblPos val="low"/>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4162432"/>
        <c:crosses val="autoZero"/>
        <c:auto val="0"/>
        <c:lblOffset val="100"/>
        <c:baseTimeUnit val="days"/>
      </c:dateAx>
      <c:valAx>
        <c:axId val="84162432"/>
        <c:scaling>
          <c:orientation val="minMax"/>
          <c:min val="0"/>
        </c:scaling>
        <c:delete val="0"/>
        <c:axPos val="l"/>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84161280"/>
        <c:crosses val="autoZero"/>
        <c:crossBetween val="between"/>
        <c:majorUnit val="500"/>
      </c:valAx>
      <c:spPr>
        <a:noFill/>
        <a:ln w="25400">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73141-7B2C-41CB-AC0B-5B181B1BC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66601</Words>
  <Characters>379626</Characters>
  <Application>Microsoft Office Word</Application>
  <DocSecurity>0</DocSecurity>
  <Lines>3163</Lines>
  <Paragraphs>890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 Алышева</dc:creator>
  <cp:lastModifiedBy>Яцук Марина Валентиновна</cp:lastModifiedBy>
  <cp:revision>2</cp:revision>
  <cp:lastPrinted>2021-11-15T03:21:00Z</cp:lastPrinted>
  <dcterms:created xsi:type="dcterms:W3CDTF">2021-11-16T22:00:00Z</dcterms:created>
  <dcterms:modified xsi:type="dcterms:W3CDTF">2021-11-16T22:00:00Z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-1394236192</vt:i4>
  </property>
</Properties>
</file>