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6831" w:rsidRDefault="00D56831" w:rsidP="00D56831">
      <w:pPr>
        <w:widowControl w:val="0"/>
        <w:autoSpaceDE w:val="0"/>
        <w:autoSpaceDN w:val="0"/>
        <w:adjustRightInd w:val="0"/>
        <w:spacing w:after="0" w:line="240" w:lineRule="auto"/>
        <w:ind w:left="6379"/>
        <w:rPr>
          <w:rFonts w:ascii="Times New Roman" w:hAnsi="Times New Roman"/>
          <w:color w:val="000000"/>
          <w:sz w:val="28"/>
          <w:szCs w:val="28"/>
        </w:rPr>
      </w:pPr>
      <w:r>
        <w:rPr>
          <w:rFonts w:ascii="Times New Roman" w:hAnsi="Times New Roman"/>
          <w:color w:val="000000"/>
          <w:sz w:val="28"/>
          <w:szCs w:val="28"/>
        </w:rPr>
        <w:t xml:space="preserve">Приложение 27 </w:t>
      </w:r>
    </w:p>
    <w:p w:rsidR="00D56831" w:rsidRDefault="00D56831" w:rsidP="00D56831">
      <w:pPr>
        <w:widowControl w:val="0"/>
        <w:autoSpaceDE w:val="0"/>
        <w:autoSpaceDN w:val="0"/>
        <w:adjustRightInd w:val="0"/>
        <w:spacing w:after="0" w:line="240" w:lineRule="auto"/>
        <w:ind w:left="6379"/>
        <w:rPr>
          <w:rFonts w:ascii="Times New Roman" w:hAnsi="Times New Roman"/>
          <w:color w:val="000000"/>
          <w:sz w:val="28"/>
          <w:szCs w:val="28"/>
        </w:rPr>
      </w:pPr>
      <w:r>
        <w:rPr>
          <w:rFonts w:ascii="Times New Roman" w:hAnsi="Times New Roman"/>
          <w:color w:val="000000"/>
          <w:sz w:val="28"/>
          <w:szCs w:val="28"/>
        </w:rPr>
        <w:t>к Закону</w:t>
      </w:r>
    </w:p>
    <w:p w:rsidR="00D56831" w:rsidRDefault="00D56831" w:rsidP="00D56831">
      <w:pPr>
        <w:spacing w:after="0" w:line="240" w:lineRule="auto"/>
        <w:ind w:left="6379"/>
        <w:rPr>
          <w:rFonts w:ascii="Times New Roman" w:hAnsi="Times New Roman"/>
          <w:color w:val="000000"/>
          <w:sz w:val="28"/>
          <w:szCs w:val="28"/>
        </w:rPr>
      </w:pPr>
      <w:r>
        <w:rPr>
          <w:rFonts w:ascii="Times New Roman" w:hAnsi="Times New Roman"/>
          <w:color w:val="000000"/>
          <w:sz w:val="28"/>
          <w:szCs w:val="28"/>
        </w:rPr>
        <w:t>Приморского края</w:t>
      </w:r>
    </w:p>
    <w:p w:rsidR="00D56831" w:rsidRDefault="00440953" w:rsidP="00D56831">
      <w:pPr>
        <w:spacing w:after="0" w:line="240" w:lineRule="auto"/>
        <w:ind w:left="6379"/>
        <w:rPr>
          <w:rFonts w:ascii="Times New Roman" w:hAnsi="Times New Roman"/>
          <w:color w:val="000000"/>
          <w:sz w:val="28"/>
          <w:szCs w:val="28"/>
        </w:rPr>
      </w:pPr>
      <w:r w:rsidRPr="00440953">
        <w:rPr>
          <w:rFonts w:ascii="Times New Roman" w:hAnsi="Times New Roman"/>
          <w:color w:val="000000"/>
          <w:sz w:val="28"/>
          <w:szCs w:val="28"/>
        </w:rPr>
        <w:t>от 31.05.2019 № 507-КЗ</w:t>
      </w:r>
      <w:bookmarkStart w:id="0" w:name="_GoBack"/>
      <w:bookmarkEnd w:id="0"/>
    </w:p>
    <w:p w:rsidR="009F23E6" w:rsidRDefault="009F23E6" w:rsidP="00D56831">
      <w:pPr>
        <w:spacing w:after="0" w:line="240" w:lineRule="auto"/>
        <w:ind w:left="6379"/>
        <w:rPr>
          <w:rFonts w:ascii="Times New Roman" w:hAnsi="Times New Roman"/>
          <w:color w:val="000000"/>
          <w:sz w:val="28"/>
          <w:szCs w:val="28"/>
        </w:rPr>
      </w:pPr>
    </w:p>
    <w:p w:rsidR="00D56831" w:rsidRDefault="00D56831" w:rsidP="00D56831">
      <w:pPr>
        <w:widowControl w:val="0"/>
        <w:autoSpaceDE w:val="0"/>
        <w:autoSpaceDN w:val="0"/>
        <w:adjustRightInd w:val="0"/>
        <w:spacing w:after="0" w:line="240" w:lineRule="auto"/>
        <w:ind w:left="6379"/>
        <w:rPr>
          <w:rFonts w:ascii="Times New Roman" w:hAnsi="Times New Roman"/>
          <w:color w:val="000000"/>
          <w:sz w:val="28"/>
          <w:szCs w:val="28"/>
        </w:rPr>
      </w:pPr>
      <w:r>
        <w:rPr>
          <w:rFonts w:ascii="Times New Roman" w:hAnsi="Times New Roman"/>
          <w:color w:val="000000"/>
          <w:sz w:val="28"/>
          <w:szCs w:val="28"/>
        </w:rPr>
        <w:t>"Приложение 29</w:t>
      </w:r>
    </w:p>
    <w:p w:rsidR="00D56831" w:rsidRDefault="00D56831" w:rsidP="00D56831">
      <w:pPr>
        <w:widowControl w:val="0"/>
        <w:autoSpaceDE w:val="0"/>
        <w:autoSpaceDN w:val="0"/>
        <w:adjustRightInd w:val="0"/>
        <w:spacing w:after="0" w:line="240" w:lineRule="auto"/>
        <w:ind w:left="6379"/>
        <w:rPr>
          <w:rFonts w:ascii="Times New Roman" w:hAnsi="Times New Roman"/>
          <w:color w:val="000000"/>
          <w:sz w:val="28"/>
          <w:szCs w:val="28"/>
        </w:rPr>
      </w:pPr>
      <w:r>
        <w:rPr>
          <w:rFonts w:ascii="Times New Roman" w:hAnsi="Times New Roman"/>
          <w:color w:val="000000"/>
          <w:sz w:val="28"/>
          <w:szCs w:val="28"/>
        </w:rPr>
        <w:t>к Закону</w:t>
      </w:r>
    </w:p>
    <w:p w:rsidR="00D56831" w:rsidRDefault="00D56831" w:rsidP="00D56831">
      <w:pPr>
        <w:widowControl w:val="0"/>
        <w:autoSpaceDE w:val="0"/>
        <w:autoSpaceDN w:val="0"/>
        <w:adjustRightInd w:val="0"/>
        <w:spacing w:after="0" w:line="240" w:lineRule="auto"/>
        <w:ind w:left="6379"/>
        <w:rPr>
          <w:rFonts w:ascii="Times New Roman" w:hAnsi="Times New Roman"/>
          <w:color w:val="000000"/>
          <w:sz w:val="28"/>
          <w:szCs w:val="28"/>
        </w:rPr>
      </w:pPr>
      <w:r>
        <w:rPr>
          <w:rFonts w:ascii="Times New Roman" w:hAnsi="Times New Roman"/>
          <w:color w:val="000000"/>
          <w:sz w:val="28"/>
          <w:szCs w:val="28"/>
        </w:rPr>
        <w:t>Приморского края</w:t>
      </w:r>
    </w:p>
    <w:p w:rsidR="00D56831" w:rsidRDefault="00D56831" w:rsidP="00D56831">
      <w:pPr>
        <w:spacing w:after="0" w:line="240" w:lineRule="auto"/>
        <w:ind w:left="6379"/>
        <w:rPr>
          <w:rFonts w:ascii="Times New Roman" w:hAnsi="Times New Roman"/>
          <w:color w:val="000000"/>
          <w:sz w:val="28"/>
          <w:szCs w:val="28"/>
        </w:rPr>
      </w:pPr>
      <w:r>
        <w:rPr>
          <w:rFonts w:ascii="Times New Roman" w:hAnsi="Times New Roman"/>
          <w:color w:val="000000"/>
          <w:sz w:val="28"/>
          <w:szCs w:val="28"/>
        </w:rPr>
        <w:t>от 24.12.2018 № 418-КЗ</w:t>
      </w:r>
    </w:p>
    <w:p w:rsidR="00D56831" w:rsidRDefault="00D56831" w:rsidP="00D56831">
      <w:pPr>
        <w:spacing w:after="0" w:line="240" w:lineRule="auto"/>
        <w:ind w:left="6379"/>
        <w:rPr>
          <w:rFonts w:ascii="Times New Roman" w:hAnsi="Times New Roman"/>
          <w:color w:val="000000"/>
          <w:sz w:val="28"/>
          <w:szCs w:val="28"/>
        </w:rPr>
      </w:pPr>
    </w:p>
    <w:p w:rsidR="00D56831" w:rsidRDefault="00D56831" w:rsidP="00D56831">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Распределение бюджетных ассигнований из краевого бюджета на 2019 год,</w:t>
      </w:r>
    </w:p>
    <w:p w:rsidR="00D56831" w:rsidRDefault="00D56831" w:rsidP="00D56831">
      <w:pPr>
        <w:spacing w:after="0" w:line="240" w:lineRule="auto"/>
        <w:jc w:val="center"/>
        <w:rPr>
          <w:rFonts w:ascii="Times New Roman" w:hAnsi="Times New Roman"/>
          <w:color w:val="000000"/>
          <w:sz w:val="28"/>
          <w:szCs w:val="28"/>
        </w:rPr>
      </w:pPr>
      <w:r>
        <w:rPr>
          <w:rFonts w:ascii="Times New Roman" w:hAnsi="Times New Roman"/>
          <w:color w:val="000000"/>
          <w:sz w:val="28"/>
          <w:szCs w:val="28"/>
        </w:rPr>
        <w:t>направленных на государственную поддержку семьи и детей</w:t>
      </w:r>
    </w:p>
    <w:p w:rsidR="00D56831" w:rsidRDefault="00D56831" w:rsidP="00D56831">
      <w:pPr>
        <w:spacing w:after="0" w:line="240" w:lineRule="auto"/>
        <w:jc w:val="center"/>
        <w:rPr>
          <w:rFonts w:ascii="Times New Roman" w:hAnsi="Times New Roman"/>
          <w:color w:val="000000"/>
          <w:sz w:val="28"/>
          <w:szCs w:val="28"/>
        </w:rPr>
      </w:pPr>
    </w:p>
    <w:p w:rsidR="00D56831" w:rsidRDefault="00D56831" w:rsidP="00D0076F">
      <w:pPr>
        <w:spacing w:after="0" w:line="240" w:lineRule="auto"/>
        <w:ind w:right="-100"/>
        <w:jc w:val="right"/>
        <w:rPr>
          <w:rFonts w:ascii="Times New Roman" w:hAnsi="Times New Roman"/>
          <w:color w:val="000000"/>
          <w:sz w:val="28"/>
          <w:szCs w:val="28"/>
        </w:rPr>
      </w:pPr>
      <w:r>
        <w:rPr>
          <w:rFonts w:ascii="Times New Roman" w:hAnsi="Times New Roman"/>
          <w:color w:val="000000"/>
          <w:sz w:val="28"/>
          <w:szCs w:val="28"/>
        </w:rPr>
        <w:t>(рублей)</w:t>
      </w:r>
    </w:p>
    <w:p w:rsidR="00D56831" w:rsidRPr="00D56831" w:rsidRDefault="00D56831" w:rsidP="00D56831">
      <w:pPr>
        <w:spacing w:after="0" w:line="240" w:lineRule="auto"/>
        <w:jc w:val="right"/>
        <w:rPr>
          <w:sz w:val="2"/>
          <w:szCs w:val="2"/>
        </w:rPr>
      </w:pPr>
    </w:p>
    <w:tbl>
      <w:tblPr>
        <w:tblW w:w="9498" w:type="dxa"/>
        <w:tblInd w:w="10" w:type="dxa"/>
        <w:tblLayout w:type="fixed"/>
        <w:tblLook w:val="0000" w:firstRow="0" w:lastRow="0" w:firstColumn="0" w:lastColumn="0" w:noHBand="0" w:noVBand="0"/>
      </w:tblPr>
      <w:tblGrid>
        <w:gridCol w:w="5387"/>
        <w:gridCol w:w="567"/>
        <w:gridCol w:w="1417"/>
        <w:gridCol w:w="2127"/>
      </w:tblGrid>
      <w:tr w:rsidR="00EC5573" w:rsidTr="006C1F3E">
        <w:trPr>
          <w:trHeight w:val="424"/>
        </w:trPr>
        <w:tc>
          <w:tcPr>
            <w:tcW w:w="538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C5573" w:rsidRDefault="00EC5573">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Наименование</w:t>
            </w:r>
          </w:p>
        </w:tc>
        <w:tc>
          <w:tcPr>
            <w:tcW w:w="56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C5573" w:rsidRDefault="00EC5573">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Ве-</w:t>
            </w:r>
          </w:p>
          <w:p w:rsidR="00EC5573" w:rsidRDefault="00EC5573">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дом-</w:t>
            </w:r>
          </w:p>
          <w:p w:rsidR="00EC5573" w:rsidRDefault="00EC5573">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ство</w:t>
            </w:r>
          </w:p>
        </w:tc>
        <w:tc>
          <w:tcPr>
            <w:tcW w:w="141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C5573" w:rsidRDefault="00EC5573">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Целевая статья</w:t>
            </w:r>
          </w:p>
        </w:tc>
        <w:tc>
          <w:tcPr>
            <w:tcW w:w="212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C5573" w:rsidRDefault="00EC5573" w:rsidP="00D56831">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EC5573" w:rsidTr="006C1F3E">
        <w:trPr>
          <w:trHeight w:val="572"/>
        </w:trPr>
        <w:tc>
          <w:tcPr>
            <w:tcW w:w="538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C5573" w:rsidRDefault="00EC5573">
            <w:pPr>
              <w:widowControl w:val="0"/>
              <w:autoSpaceDE w:val="0"/>
              <w:autoSpaceDN w:val="0"/>
              <w:adjustRightInd w:val="0"/>
              <w:spacing w:after="0" w:line="240" w:lineRule="auto"/>
              <w:rPr>
                <w:rFonts w:ascii="Arial" w:hAnsi="Arial" w:cs="Arial"/>
                <w:sz w:val="24"/>
                <w:szCs w:val="24"/>
              </w:rPr>
            </w:pPr>
          </w:p>
        </w:tc>
        <w:tc>
          <w:tcPr>
            <w:tcW w:w="56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C5573" w:rsidRDefault="00EC5573">
            <w:pPr>
              <w:widowControl w:val="0"/>
              <w:autoSpaceDE w:val="0"/>
              <w:autoSpaceDN w:val="0"/>
              <w:adjustRightInd w:val="0"/>
              <w:spacing w:after="0" w:line="240" w:lineRule="auto"/>
              <w:rPr>
                <w:rFonts w:ascii="Arial" w:hAnsi="Arial" w:cs="Arial"/>
                <w:sz w:val="24"/>
                <w:szCs w:val="24"/>
              </w:rPr>
            </w:pPr>
          </w:p>
        </w:tc>
        <w:tc>
          <w:tcPr>
            <w:tcW w:w="141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C5573" w:rsidRDefault="00EC5573">
            <w:pPr>
              <w:widowControl w:val="0"/>
              <w:autoSpaceDE w:val="0"/>
              <w:autoSpaceDN w:val="0"/>
              <w:adjustRightInd w:val="0"/>
              <w:spacing w:after="0" w:line="240" w:lineRule="auto"/>
              <w:rPr>
                <w:rFonts w:ascii="Arial" w:hAnsi="Arial" w:cs="Arial"/>
                <w:sz w:val="24"/>
                <w:szCs w:val="24"/>
              </w:rPr>
            </w:pPr>
          </w:p>
        </w:tc>
        <w:tc>
          <w:tcPr>
            <w:tcW w:w="212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EC5573" w:rsidRDefault="00EC5573">
            <w:pPr>
              <w:widowControl w:val="0"/>
              <w:autoSpaceDE w:val="0"/>
              <w:autoSpaceDN w:val="0"/>
              <w:adjustRightInd w:val="0"/>
              <w:spacing w:after="0" w:line="240" w:lineRule="auto"/>
              <w:rPr>
                <w:rFonts w:ascii="Arial" w:hAnsi="Arial" w:cs="Arial"/>
                <w:sz w:val="24"/>
                <w:szCs w:val="24"/>
              </w:rPr>
            </w:pPr>
          </w:p>
        </w:tc>
      </w:tr>
    </w:tbl>
    <w:p w:rsidR="00EC5573" w:rsidRDefault="00EC5573">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r>
        <w:rPr>
          <w:rFonts w:ascii="Arial" w:hAnsi="Arial" w:cs="Arial"/>
          <w:sz w:val="2"/>
          <w:szCs w:val="2"/>
        </w:rPr>
        <w:br/>
      </w:r>
    </w:p>
    <w:tbl>
      <w:tblPr>
        <w:tblW w:w="9498" w:type="dxa"/>
        <w:tblInd w:w="57" w:type="dxa"/>
        <w:tblLayout w:type="fixed"/>
        <w:tblLook w:val="0000" w:firstRow="0" w:lastRow="0" w:firstColumn="0" w:lastColumn="0" w:noHBand="0" w:noVBand="0"/>
      </w:tblPr>
      <w:tblGrid>
        <w:gridCol w:w="5387"/>
        <w:gridCol w:w="567"/>
        <w:gridCol w:w="1417"/>
        <w:gridCol w:w="2127"/>
      </w:tblGrid>
      <w:tr w:rsidR="00EC5573" w:rsidTr="00D755CA">
        <w:trPr>
          <w:cantSplit/>
          <w:trHeight w:val="340"/>
          <w:tblHeader/>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EC5573" w:rsidRDefault="00EC5573">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EC5573" w:rsidRDefault="00EC5573">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EC5573" w:rsidRDefault="00EC5573">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3</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cente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4</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здравоохранения Приморского края" на 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0100000000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883 297 797,00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Департамент здравоохранения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761</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0100000000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617 657 797,00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761</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011N451700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175 748 182,00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Приобретение медицинского оборудования для укрепления материально-технической базы детских поликлиник и детских поликлинических отделений краевых государственных медицинских организаций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761</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011N471170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15 164 330,00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853AF9" w:rsidRDefault="00EC5573" w:rsidP="006C1F3E">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Расходы на реализацию организационно-</w:t>
            </w:r>
          </w:p>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планировочных решений внутренних пространств детских поликлиник и детских поликлинических отделений краевых государственных медицинских организаций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761</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011N471180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59 962 221,00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Приобретение расходных материалов для неонатального и аудиологического скрининга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761</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012N421700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35 983 560,00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761</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012N421710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31 300 000,00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761</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0110381440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35 750 000,00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761</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0120221760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11 756 540,00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761</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0120570090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500 000,00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761</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0130170590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222 689 524,00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питанием обучающихся по очной форме обучения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 проживающих в общежитиях указанных организаций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761</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0130270920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15 418 340,00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761</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0130281160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13 385 100,00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Департамент градостроительства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775</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0100000000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265 640 000,00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Строительство детской поликлиники в г. Большой Камень согласно плану социального развития центров экономического роста Приморского края за счет средств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775</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0110455050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265 640 000,00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образования Приморского края" на 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0200000000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26 179 823 328,62</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Департамент образования и науки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0200000000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26 129 823 328,62</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021P252320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255 811 531,00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022E250970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18 946 250,00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Закупка оборудования для создания детских технопарков "Кванториум"</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023E251730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73 047 860,00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детских технопарков "Кванториум" согласно плану социального развития центров экономического роста Приморского края за счет средств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023E255050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43 737 000,00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создание детских технопарков "Кванториум"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023E292690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25 000 580,00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реализацию мероприятий по содействию созданию новых мест в общеобразовательных организациях</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026E155200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110 845 341,00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государственной программы Российской Федерации "Доступная среда" на 2011-2020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02205R0270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8 036 000,00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02601P5200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407 741 056,53</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0210155050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576 470 000,00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0210192010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658 769 107,64</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0210192020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101 842 120,89</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0210260030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83 491 000,00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0210293070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6 563 108 000,00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0220260010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109 170 000,00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0220270590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1 449 365 198,43</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0220293060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10 677 602 000,00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0220370590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832 405 081,72</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0220381320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3 086 000,00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Поощрение лучших учителей</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0220423580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420 000,00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Стипендии Губернатора Приморского края для одаренных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0220622660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5 760 000,00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Стипендии Губернатора Приморского края выпускникам школ, получивших 200 баллов </w:t>
            </w:r>
            <w:r w:rsidR="009F23E6">
              <w:rPr>
                <w:rFonts w:ascii="Times New Roman" w:hAnsi="Times New Roman"/>
                <w:color w:val="000000"/>
                <w:sz w:val="24"/>
                <w:szCs w:val="24"/>
              </w:rPr>
              <w:br/>
            </w:r>
            <w:r>
              <w:rPr>
                <w:rFonts w:ascii="Times New Roman" w:hAnsi="Times New Roman"/>
                <w:color w:val="000000"/>
                <w:sz w:val="24"/>
                <w:szCs w:val="24"/>
              </w:rPr>
              <w:t>по единому государственному экзамену и поступивших в высшие учебные заведения Приморского края по приоритетным специальностям</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0220624000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Стипендии Губернатора Приморского края студентам, обучающимся в высших учебных заведениях Приморского края и имеющим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0220624010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20 520 000,00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0220770600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177 025 239,67</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Субвенции бюджетам муниципальных образований Приморского края на осуществление отдельных государственных полномочий по обеспечению бесплатным питанием детей, обучающихся в муниципальных общеобразовательных организациях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0220793150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1 108 108 580,00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0230170590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39 009 900,00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том числе оснащение детского технопарка "Кванториум"</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0230170910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17 142 500,00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0230260020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38 800 000,00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0230293080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207 070 000,00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0230370130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20 078 070,00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проведение профильных см</w:t>
            </w:r>
            <w:r w:rsidR="009F23E6">
              <w:rPr>
                <w:rFonts w:ascii="Times New Roman" w:hAnsi="Times New Roman"/>
                <w:color w:val="000000"/>
                <w:sz w:val="24"/>
                <w:szCs w:val="24"/>
              </w:rPr>
              <w:t>ен для подростков группы риска</w:t>
            </w:r>
            <w:r>
              <w:rPr>
                <w:rFonts w:ascii="Times New Roman" w:hAnsi="Times New Roman"/>
                <w:color w:val="000000"/>
                <w:sz w:val="24"/>
                <w:szCs w:val="24"/>
              </w:rPr>
              <w:t xml:space="preserve"> и тренингов в детских загородных оздоровительных лагерях по формированию установок здорового образа жизни, профилактики наркомании</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0230370430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0230370440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0230470140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1 940 000,00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мероприятий для детей и молодежи</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0230620150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7 399 010,00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мероприятия Театральный урок</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0230671220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5 821 200,00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0240170590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1 563 366 810,05</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на обеспечение питанием обучающихся по очной форме обучения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 проживающих в общежитиях указанных организаций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0240270920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112 902 125,00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0240281160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181 349 100,00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 победителям региональных чемпионатов по профессиональному мастерству среди инвалидов и лиц с ограниченными возможностями здоровья "Абилимпикс"</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0240323500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5 172 480,00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0260155050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118 550 000,00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 согласно плану социального развития центров экономического роста Приморского края за счет средств федерального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0260155051</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116 493 000,00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0260192340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372 481 186,69</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Департамент по делам молодежи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774</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0200000000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50 000 000,00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Стипендии Губернатора Приморского края студентам государственных образовательных организаций высшего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774</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0220622680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Проведение мероприятий для детей и молодежи</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774</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0230620150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30 000 000,00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Приморского края "Социальная поддержка населения Приморского края на 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0300000000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5 560 098 430,00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Департамент образования и науки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0300000000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1 430 882 388,00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Выплата единовременного пособия при всех формах устройства детей, лишенных родительского попечения, в семью</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0330452600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27 991 800,00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мер социальной поддержки приемных семей</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0330480170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263 567 958,00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Вознаграждение приемным родителям</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0330480180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186 508 750,00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Ежемесячные денежные выплаты опекунам (попечителям) на содержание детей, находящихся под опекой (попечительством)</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0330480190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504 198 880,00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Компенсация родителям за воспитание и обучение детей-инвалидов на дому</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0330580200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3 832 200,00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0330593090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410 658 000,00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174A73" w:rsidRDefault="00EC5573" w:rsidP="006C1F3E">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Организация дистанционного образования детей-</w:t>
            </w:r>
          </w:p>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инвалидов</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0350270190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2 326 800,00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подпрограммы "Доступная среда",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0350270260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Социальная выплата на улучшение жилищных условий гражданам, усыновившим (удочерившим)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0380180260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20 000 000,00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0380181130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1 798 000,00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Департамент труда и социального развития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0300000000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4 129 216 042,00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033P150840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1 329 158 500,00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033P180090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316 169 073,96</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033P180460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75 760 580,00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Единовременная выплата при рождении женщиной первого ребенка</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033P180470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68 337 186,00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 при рождении второго ребенка</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033P180500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12 553 396,00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038P181030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35 364 420,00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Предоставление денежной выплаты семьям, в которых родились и (или) воспитываются пятеро и более несовершеннолетних детей или трое и более несовершеннолетних детей, один из которых ребенок-инвалид (в том числе усыновленные, а также дети супругов), на приобретение или строительство жилого помещения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038P181430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161 560 000,00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0330259400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279 400,00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0330270180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10 000,00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0330322190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75 800 000,00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Реализация мероприятий программы Фонда поддержки детей, находящихся в трудной жизненной ситуации, на территории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0330370310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12 916 420,00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Компенсация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0330480330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50 000 000,00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0330552700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22 858 200,00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0330553801</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1 005 539 900,00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 xml:space="preserve">Осуществление переданных органам государственной власти субъектов Российской Федерации полномочий Российской Федерации </w:t>
            </w:r>
            <w:r w:rsidR="009F23E6">
              <w:rPr>
                <w:rFonts w:ascii="Times New Roman" w:hAnsi="Times New Roman"/>
                <w:color w:val="000000"/>
                <w:sz w:val="24"/>
                <w:szCs w:val="24"/>
              </w:rPr>
              <w:br/>
            </w:r>
            <w:r>
              <w:rPr>
                <w:rFonts w:ascii="Times New Roman" w:hAnsi="Times New Roman"/>
                <w:color w:val="000000"/>
                <w:sz w:val="24"/>
                <w:szCs w:val="24"/>
              </w:rPr>
              <w:t>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0330553803</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97 933 300,00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мер социальной поддержки многодетных семей</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0330580080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316 120 000,00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0330580090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12 152 776,04</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Выплата ежемесячного пособия на ребенка</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0330580160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282 856 020,00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0330580480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95 000 000,00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Государственная социальная помощь на основании социального контракта</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0360581150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7 000 000,00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0360581200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176 230,00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0380180240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151 670 640,00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культуры Приморского края на 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0500000000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335 460 972,98</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Департамент культуры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765</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0500000000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335 460 972,98</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765</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053A155190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6 006 911,45</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бюджетам муниципальных образований Приморского края на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765</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053A155191</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63 843 600,00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765</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0510220400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2 100 000,00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765</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0510270590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240 342 693,25</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Расходы на обеспечение питанием обучающихся по очной форме обучения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 проживающих в общежитиях указанных организаций</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765</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0510270920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12 499 500,00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Стипендии обучающимся в краевых государственных профессиональных образовательных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765</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0510270990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2 788 100,28</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765</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0510281160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2 600 168,00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развитию хореографического образования</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765</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0530123170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5 280 000,00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9F23E6" w:rsidRDefault="00EC5573" w:rsidP="006C1F3E">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w:t>
            </w:r>
          </w:p>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коммунального хозяйства населения Приморского края" на 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0600000000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1 461 839 411,04</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Департамент образования и науки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0600000000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995 113 411,04</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06501R0820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154 209 659,09</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краевого бюджета</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06501М0820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640 903 751,95</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0650280490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200 000 000,00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Департамент по делам молодежи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774</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0600000000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266 726 000,00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бюджетам муниципальных образований Приморского края на социальные выплаты молодым семьям для приобретения (строительства) стандартного жилья</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774</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06301R4970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258 026 000,00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774</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0630181140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8 700 000,00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Департамент земельных и имущественных отношений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779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0600000000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200 000 000,00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lastRenderedPageBreak/>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779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06501R0820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200 000 000,00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Приморского края "Развитие физической культуры и спорта Приморского края" на 2013-2021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0900000000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126 166 328,00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Департамент образования и науки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0900000000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3 270 000,00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Развитие физической культуры и спорта в учреждениях образования, среди детей, подростков и молодежи</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0910320300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970 000,00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759</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0910370270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2 300 000,00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Департамент физической культуры и спорта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764</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0900000000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122 896 328,00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Субсидии из краевого бюджета физкультурно-спортивным организациям на возмещение затрат, возникающих при обеспечении подготовки спортивного резерва для спортивных команд спортивных клубов по игровым видам спорта</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764</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0920261350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122 896 328,00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Государственная программа Приморского края "Безопасный край" на 2015-2021 годы</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000</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1800000000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747 000,00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Департамент труда и социального развития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1800000000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250 000,00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профилактике правонарушений и борьбе с преступностью</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760</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1810120740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250 000,00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Департамент по делам молодежи Приморского края</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774</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
                <w:bCs/>
                <w:color w:val="000000"/>
                <w:sz w:val="24"/>
                <w:szCs w:val="24"/>
              </w:rPr>
              <w:t>1800000000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497 000,00</w:t>
            </w:r>
          </w:p>
        </w:tc>
      </w:tr>
      <w:tr w:rsidR="00EC5573" w:rsidTr="00D755CA">
        <w:trPr>
          <w:cantSplit/>
          <w:trHeight w:val="340"/>
        </w:trPr>
        <w:tc>
          <w:tcPr>
            <w:tcW w:w="538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Мероприятия по социальной профилактике, популяризации здорового образа жизни в целях противодействия распространению наркотиков</w:t>
            </w:r>
          </w:p>
        </w:tc>
        <w:tc>
          <w:tcPr>
            <w:tcW w:w="56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774</w:t>
            </w:r>
          </w:p>
        </w:tc>
        <w:tc>
          <w:tcPr>
            <w:tcW w:w="141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1810222460</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4"/>
                <w:szCs w:val="24"/>
              </w:rPr>
              <w:t>497 000,00</w:t>
            </w:r>
          </w:p>
        </w:tc>
      </w:tr>
      <w:tr w:rsidR="007C31A2" w:rsidTr="00D755CA">
        <w:trPr>
          <w:cantSplit/>
          <w:trHeight w:val="340"/>
        </w:trPr>
        <w:tc>
          <w:tcPr>
            <w:tcW w:w="7371" w:type="dxa"/>
            <w:gridSpan w:val="3"/>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tcPr>
          <w:p w:rsidR="00EC5573" w:rsidRDefault="00EC5573" w:rsidP="006C1F3E">
            <w:pPr>
              <w:widowControl w:val="0"/>
              <w:autoSpaceDE w:val="0"/>
              <w:autoSpaceDN w:val="0"/>
              <w:adjustRightInd w:val="0"/>
              <w:spacing w:after="0" w:line="240" w:lineRule="auto"/>
              <w:rPr>
                <w:rFonts w:ascii="Arial" w:hAnsi="Arial" w:cs="Arial"/>
                <w:sz w:val="2"/>
                <w:szCs w:val="2"/>
              </w:rPr>
            </w:pPr>
            <w:r>
              <w:rPr>
                <w:rFonts w:ascii="Times New Roman" w:hAnsi="Times New Roman"/>
                <w:b/>
                <w:bCs/>
                <w:color w:val="000000"/>
                <w:sz w:val="24"/>
                <w:szCs w:val="24"/>
              </w:rPr>
              <w:t>Всего расходов</w:t>
            </w:r>
          </w:p>
        </w:tc>
        <w:tc>
          <w:tcPr>
            <w:tcW w:w="2127" w:type="dxa"/>
            <w:tcBorders>
              <w:top w:val="single" w:sz="8" w:space="0" w:color="000000"/>
              <w:left w:val="single" w:sz="8" w:space="0" w:color="000000"/>
              <w:bottom w:val="single" w:sz="8" w:space="0" w:color="000000"/>
              <w:right w:val="single" w:sz="8" w:space="0" w:color="000000"/>
            </w:tcBorders>
            <w:tcMar>
              <w:top w:w="0" w:type="dxa"/>
              <w:left w:w="57" w:type="dxa"/>
              <w:bottom w:w="11" w:type="dxa"/>
              <w:right w:w="57" w:type="dxa"/>
            </w:tcMar>
            <w:vAlign w:val="bottom"/>
          </w:tcPr>
          <w:p w:rsidR="00EC5573" w:rsidRDefault="00EC5573" w:rsidP="006C1F3E">
            <w:pPr>
              <w:widowControl w:val="0"/>
              <w:autoSpaceDE w:val="0"/>
              <w:autoSpaceDN w:val="0"/>
              <w:adjustRightInd w:val="0"/>
              <w:spacing w:after="0" w:line="240" w:lineRule="auto"/>
              <w:jc w:val="right"/>
              <w:rPr>
                <w:rFonts w:ascii="Arial" w:hAnsi="Arial" w:cs="Arial"/>
                <w:sz w:val="2"/>
                <w:szCs w:val="2"/>
              </w:rPr>
            </w:pPr>
            <w:r>
              <w:rPr>
                <w:rFonts w:ascii="Times New Roman" w:hAnsi="Times New Roman"/>
                <w:b/>
                <w:bCs/>
                <w:color w:val="000000"/>
                <w:sz w:val="24"/>
                <w:szCs w:val="24"/>
              </w:rPr>
              <w:t>34 547 433 267,64</w:t>
            </w:r>
          </w:p>
        </w:tc>
      </w:tr>
    </w:tbl>
    <w:p w:rsidR="00EC5573" w:rsidRDefault="00EC5573"/>
    <w:sectPr w:rsidR="00EC5573" w:rsidSect="00D56831">
      <w:headerReference w:type="default" r:id="rId6"/>
      <w:pgSz w:w="11950" w:h="16901"/>
      <w:pgMar w:top="851" w:right="851" w:bottom="851" w:left="1701"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55CA" w:rsidRDefault="00D755CA">
      <w:pPr>
        <w:spacing w:after="0" w:line="240" w:lineRule="auto"/>
      </w:pPr>
      <w:r>
        <w:separator/>
      </w:r>
    </w:p>
  </w:endnote>
  <w:endnote w:type="continuationSeparator" w:id="0">
    <w:p w:rsidR="00D755CA" w:rsidRDefault="00D75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55CA" w:rsidRDefault="00D755CA">
      <w:pPr>
        <w:spacing w:after="0" w:line="240" w:lineRule="auto"/>
      </w:pPr>
      <w:r>
        <w:separator/>
      </w:r>
    </w:p>
  </w:footnote>
  <w:footnote w:type="continuationSeparator" w:id="0">
    <w:p w:rsidR="00D755CA" w:rsidRDefault="00D755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55CA" w:rsidRPr="006C1F3E" w:rsidRDefault="00D755CA" w:rsidP="006C1F3E">
    <w:pPr>
      <w:widowControl w:val="0"/>
      <w:autoSpaceDE w:val="0"/>
      <w:autoSpaceDN w:val="0"/>
      <w:adjustRightInd w:val="0"/>
      <w:spacing w:after="0" w:line="240" w:lineRule="auto"/>
      <w:jc w:val="center"/>
      <w:rPr>
        <w:rFonts w:ascii="Arial" w:hAnsi="Arial" w:cs="Arial"/>
        <w:sz w:val="28"/>
        <w:szCs w:val="28"/>
      </w:rPr>
    </w:pPr>
    <w:r w:rsidRPr="006C1F3E">
      <w:rPr>
        <w:rFonts w:ascii="Times New Roman" w:hAnsi="Times New Roman"/>
        <w:color w:val="000000"/>
        <w:sz w:val="28"/>
        <w:szCs w:val="28"/>
      </w:rPr>
      <w:fldChar w:fldCharType="begin"/>
    </w:r>
    <w:r w:rsidRPr="006C1F3E">
      <w:rPr>
        <w:rFonts w:ascii="Times New Roman" w:hAnsi="Times New Roman"/>
        <w:color w:val="000000"/>
        <w:sz w:val="28"/>
        <w:szCs w:val="28"/>
      </w:rPr>
      <w:instrText>PAGE</w:instrText>
    </w:r>
    <w:r w:rsidRPr="006C1F3E">
      <w:rPr>
        <w:rFonts w:ascii="Times New Roman" w:hAnsi="Times New Roman"/>
        <w:color w:val="000000"/>
        <w:sz w:val="28"/>
        <w:szCs w:val="28"/>
      </w:rPr>
      <w:fldChar w:fldCharType="separate"/>
    </w:r>
    <w:r w:rsidR="00440953">
      <w:rPr>
        <w:rFonts w:ascii="Times New Roman" w:hAnsi="Times New Roman"/>
        <w:noProof/>
        <w:color w:val="000000"/>
        <w:sz w:val="28"/>
        <w:szCs w:val="28"/>
      </w:rPr>
      <w:t>7</w:t>
    </w:r>
    <w:r w:rsidRPr="006C1F3E">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C31A2"/>
    <w:rsid w:val="00174A73"/>
    <w:rsid w:val="00205EF3"/>
    <w:rsid w:val="002C4C64"/>
    <w:rsid w:val="004038B1"/>
    <w:rsid w:val="00440953"/>
    <w:rsid w:val="006C1F3E"/>
    <w:rsid w:val="007B1B1F"/>
    <w:rsid w:val="007C31A2"/>
    <w:rsid w:val="00853AF9"/>
    <w:rsid w:val="009F23E6"/>
    <w:rsid w:val="00D0076F"/>
    <w:rsid w:val="00D56831"/>
    <w:rsid w:val="00D755CA"/>
    <w:rsid w:val="00EC5573"/>
    <w:rsid w:val="00EE69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501126AA-A766-4C1B-917C-0A5441005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C1F3E"/>
    <w:pPr>
      <w:tabs>
        <w:tab w:val="center" w:pos="4677"/>
        <w:tab w:val="right" w:pos="9355"/>
      </w:tabs>
    </w:pPr>
  </w:style>
  <w:style w:type="character" w:customStyle="1" w:styleId="a4">
    <w:name w:val="Верхний колонтитул Знак"/>
    <w:basedOn w:val="a0"/>
    <w:link w:val="a3"/>
    <w:uiPriority w:val="99"/>
    <w:rsid w:val="006C1F3E"/>
  </w:style>
  <w:style w:type="paragraph" w:styleId="a5">
    <w:name w:val="footer"/>
    <w:basedOn w:val="a"/>
    <w:link w:val="a6"/>
    <w:uiPriority w:val="99"/>
    <w:unhideWhenUsed/>
    <w:rsid w:val="006C1F3E"/>
    <w:pPr>
      <w:tabs>
        <w:tab w:val="center" w:pos="4677"/>
        <w:tab w:val="right" w:pos="9355"/>
      </w:tabs>
    </w:pPr>
  </w:style>
  <w:style w:type="character" w:customStyle="1" w:styleId="a6">
    <w:name w:val="Нижний колонтитул Знак"/>
    <w:basedOn w:val="a0"/>
    <w:link w:val="a5"/>
    <w:uiPriority w:val="99"/>
    <w:rsid w:val="006C1F3E"/>
  </w:style>
  <w:style w:type="paragraph" w:styleId="a7">
    <w:name w:val="Balloon Text"/>
    <w:basedOn w:val="a"/>
    <w:link w:val="a8"/>
    <w:uiPriority w:val="99"/>
    <w:semiHidden/>
    <w:unhideWhenUsed/>
    <w:rsid w:val="00853AF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53AF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11</Pages>
  <Words>3370</Words>
  <Characters>19211</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18.03.2019 15:02:42</dc:subject>
  <dc:creator>Суровая Ю.А.</dc:creator>
  <cp:lastModifiedBy>Иванникова Алена Валерьевна</cp:lastModifiedBy>
  <cp:revision>8</cp:revision>
  <cp:lastPrinted>2019-05-30T23:12:00Z</cp:lastPrinted>
  <dcterms:created xsi:type="dcterms:W3CDTF">2019-05-21T01:11:00Z</dcterms:created>
  <dcterms:modified xsi:type="dcterms:W3CDTF">2019-05-30T23:13:00Z</dcterms:modified>
</cp:coreProperties>
</file>