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F13" w:rsidRDefault="00A44F13" w:rsidP="00A44F1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4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8"/>
      </w:tblGrid>
      <w:tr w:rsidR="00A44F13" w:rsidTr="00A44F13">
        <w:tc>
          <w:tcPr>
            <w:tcW w:w="5494" w:type="dxa"/>
          </w:tcPr>
          <w:p w:rsidR="00A44F13" w:rsidRDefault="00A44F13" w:rsidP="00A44F1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</w:p>
          <w:p w:rsidR="00A44F13" w:rsidRDefault="00A44F13" w:rsidP="00A44F1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6AC9" w:rsidRDefault="00A44F13" w:rsidP="00A44F1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</w:p>
          <w:p w:rsidR="00A44F13" w:rsidRDefault="00A44F13" w:rsidP="00A44F1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Приморского края </w:t>
            </w:r>
          </w:p>
          <w:p w:rsidR="00A44F13" w:rsidRDefault="00A44F13" w:rsidP="00A44F1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4F13" w:rsidRDefault="00A44F13" w:rsidP="00A44F1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10 </w:t>
            </w:r>
          </w:p>
          <w:p w:rsidR="00A44F13" w:rsidRPr="00A44F13" w:rsidRDefault="00A44F13" w:rsidP="00A44F1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4F13" w:rsidRPr="00A44F13" w:rsidRDefault="00A44F13" w:rsidP="00A44F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к государственной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программе</w:t>
            </w:r>
          </w:p>
          <w:p w:rsidR="00A44F13" w:rsidRPr="00A44F13" w:rsidRDefault="00A44F13" w:rsidP="00A44F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A44F13" w:rsidRPr="00A44F13" w:rsidRDefault="004E5F81" w:rsidP="00A44F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44F13" w:rsidRPr="00A44F13">
              <w:rPr>
                <w:rFonts w:ascii="Times New Roman" w:hAnsi="Times New Roman" w:cs="Times New Roman"/>
                <w:sz w:val="28"/>
                <w:szCs w:val="28"/>
              </w:rPr>
              <w:t>Экономическое развитие и</w:t>
            </w:r>
          </w:p>
          <w:p w:rsidR="00A44F13" w:rsidRPr="00A44F13" w:rsidRDefault="00A44F13" w:rsidP="00A44F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инновационная экономика</w:t>
            </w:r>
          </w:p>
          <w:p w:rsidR="00A44F13" w:rsidRPr="00A44F13" w:rsidRDefault="00A44F13" w:rsidP="00A44F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  <w:r w:rsidR="004E5F8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на 2013 - 202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 xml:space="preserve"> годы,</w:t>
            </w:r>
          </w:p>
          <w:p w:rsidR="00A44F13" w:rsidRPr="00A44F13" w:rsidRDefault="00A44F13" w:rsidP="00A44F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твержденной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постановлением</w:t>
            </w:r>
          </w:p>
          <w:p w:rsidR="00A44F13" w:rsidRPr="00A44F13" w:rsidRDefault="00A44F13" w:rsidP="00A44F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A44F13" w:rsidRPr="00A44F13" w:rsidRDefault="00A44F13" w:rsidP="00A44F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31152">
              <w:rPr>
                <w:rFonts w:ascii="Times New Roman" w:hAnsi="Times New Roman" w:cs="Times New Roman"/>
                <w:sz w:val="28"/>
                <w:szCs w:val="28"/>
              </w:rPr>
              <w:t xml:space="preserve">7 декабря 2012 года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 xml:space="preserve"> 382-па</w:t>
            </w:r>
          </w:p>
          <w:p w:rsidR="00A44F13" w:rsidRPr="00A44F13" w:rsidRDefault="00A44F13" w:rsidP="00A44F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4F13" w:rsidRDefault="00A44F13" w:rsidP="00A44F13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44F13" w:rsidRDefault="00A44F13" w:rsidP="00A44F1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31152" w:rsidRDefault="00A44F13" w:rsidP="00A44F1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F81">
        <w:rPr>
          <w:rFonts w:ascii="Times New Roman" w:hAnsi="Times New Roman" w:cs="Times New Roman"/>
          <w:b/>
          <w:sz w:val="28"/>
          <w:szCs w:val="28"/>
        </w:rPr>
        <w:t xml:space="preserve">ПАСПОРТ </w:t>
      </w:r>
    </w:p>
    <w:p w:rsidR="00A44F13" w:rsidRDefault="00431152" w:rsidP="004E5F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1152">
        <w:rPr>
          <w:rFonts w:ascii="Times New Roman" w:hAnsi="Times New Roman" w:cs="Times New Roman"/>
          <w:b/>
          <w:sz w:val="28"/>
          <w:szCs w:val="28"/>
        </w:rPr>
        <w:t xml:space="preserve">подпрограммы № 4 </w:t>
      </w:r>
      <w:r w:rsidR="004E5F81" w:rsidRPr="00431152">
        <w:rPr>
          <w:rFonts w:ascii="Times New Roman" w:hAnsi="Times New Roman" w:cs="Times New Roman"/>
          <w:b/>
          <w:sz w:val="28"/>
          <w:szCs w:val="28"/>
        </w:rPr>
        <w:t>«</w:t>
      </w:r>
      <w:r w:rsidR="00A44F13" w:rsidRPr="00431152">
        <w:rPr>
          <w:rFonts w:ascii="Times New Roman" w:hAnsi="Times New Roman" w:cs="Times New Roman"/>
          <w:b/>
          <w:sz w:val="28"/>
          <w:szCs w:val="28"/>
        </w:rPr>
        <w:t>Управление имуществом, находящимся в собственности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4F13" w:rsidRPr="00431152">
        <w:rPr>
          <w:rFonts w:ascii="Times New Roman" w:hAnsi="Times New Roman" w:cs="Times New Roman"/>
          <w:b/>
          <w:sz w:val="28"/>
          <w:szCs w:val="28"/>
        </w:rPr>
        <w:t>и в ведении Приморского края</w:t>
      </w:r>
      <w:r w:rsidR="004E5F81" w:rsidRPr="00431152">
        <w:rPr>
          <w:rFonts w:ascii="Times New Roman" w:hAnsi="Times New Roman" w:cs="Times New Roman"/>
          <w:b/>
          <w:sz w:val="28"/>
          <w:szCs w:val="28"/>
        </w:rPr>
        <w:t>»</w:t>
      </w:r>
      <w:r w:rsidR="00A44F13" w:rsidRPr="00431152">
        <w:rPr>
          <w:rFonts w:ascii="Times New Roman" w:hAnsi="Times New Roman" w:cs="Times New Roman"/>
          <w:b/>
          <w:sz w:val="28"/>
          <w:szCs w:val="28"/>
        </w:rPr>
        <w:t xml:space="preserve"> на 2014 - 2021 годы</w:t>
      </w:r>
    </w:p>
    <w:p w:rsidR="00431152" w:rsidRDefault="00431152" w:rsidP="00431152">
      <w:pPr>
        <w:tabs>
          <w:tab w:val="left" w:pos="0"/>
        </w:tabs>
        <w:spacing w:after="0" w:line="240" w:lineRule="auto"/>
        <w:ind w:left="3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375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государственной программы Приморского края</w:t>
      </w:r>
      <w:r w:rsidRPr="00F738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</w:t>
      </w:r>
      <w:r w:rsidRPr="00D607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Экономическое развитие и инновационная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D607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экономика Прим</w:t>
      </w:r>
      <w:r w:rsidR="008D6A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орского края» на 2013 - 2021 годы</w:t>
      </w:r>
    </w:p>
    <w:p w:rsidR="00A44F13" w:rsidRPr="00A44F13" w:rsidRDefault="00A44F13" w:rsidP="00A44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4F13" w:rsidRPr="00A44F13" w:rsidRDefault="00A44F13" w:rsidP="00A44F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-1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0"/>
        <w:gridCol w:w="6158"/>
      </w:tblGrid>
      <w:tr w:rsidR="00A44F13" w:rsidRPr="00A44F13" w:rsidTr="008D6AC9">
        <w:tc>
          <w:tcPr>
            <w:tcW w:w="3340" w:type="dxa"/>
          </w:tcPr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158" w:type="dxa"/>
          </w:tcPr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департамент земельных и имущественных отношений Приморск</w:t>
            </w:r>
            <w:bookmarkStart w:id="0" w:name="_GoBack"/>
            <w:bookmarkEnd w:id="0"/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ого края</w:t>
            </w:r>
          </w:p>
        </w:tc>
      </w:tr>
      <w:tr w:rsidR="00A44F13" w:rsidRPr="00A44F13" w:rsidTr="008D6AC9">
        <w:tc>
          <w:tcPr>
            <w:tcW w:w="3340" w:type="dxa"/>
          </w:tcPr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158" w:type="dxa"/>
          </w:tcPr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A44F13" w:rsidRPr="00A44F13" w:rsidTr="008D6AC9">
        <w:tc>
          <w:tcPr>
            <w:tcW w:w="3340" w:type="dxa"/>
          </w:tcPr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6158" w:type="dxa"/>
          </w:tcPr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эффективного управления имуществом, находящимся в собственности и в ведении Приморского края, необходимым для выполнения государственных функций органами власти Приморского края, и отчуждения краевого имущества, востребованного в коммерческом обороте</w:t>
            </w:r>
          </w:p>
        </w:tc>
      </w:tr>
      <w:tr w:rsidR="00A44F13" w:rsidRPr="00A44F13" w:rsidTr="008D6AC9">
        <w:tc>
          <w:tcPr>
            <w:tcW w:w="3340" w:type="dxa"/>
          </w:tcPr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158" w:type="dxa"/>
          </w:tcPr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управление и распоряжение имуществом, находящимся в собственности и в ведении Приморского края для стимулирования реального сектора экономики, и создание оптимальной структуры собственности Приморского края</w:t>
            </w:r>
          </w:p>
        </w:tc>
      </w:tr>
      <w:tr w:rsidR="00A44F13" w:rsidRPr="00A44F13" w:rsidTr="008D6AC9">
        <w:tc>
          <w:tcPr>
            <w:tcW w:w="3340" w:type="dxa"/>
          </w:tcPr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Показатели государственной программы, характеризующие цели и задачи подпрограммы</w:t>
            </w:r>
          </w:p>
        </w:tc>
        <w:tc>
          <w:tcPr>
            <w:tcW w:w="6158" w:type="dxa"/>
          </w:tcPr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сокращение количества краевых государственных унитарных предприятий, основанных на праве хозяйственного ведения, по отношению к предыдущему году (процентов);</w:t>
            </w:r>
          </w:p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сокращение количества акционерных обществ с участием Приморского края по отношению к предыдущему году (процентов);</w:t>
            </w:r>
          </w:p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количество реорганизованных, ликвидированных и изменивших тип краевых государственных учреждений и краевых государственных унитарных предприятий;</w:t>
            </w:r>
          </w:p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доля государственных служащих в органах управления и контроля акционерных обществ с участием Приморского края (процентов);</w:t>
            </w:r>
          </w:p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выполнение плана по доходам от перечисления части чистой прибыли краевых государственных унитарных предприятий (процентов);</w:t>
            </w:r>
          </w:p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выполнение плана по доходам от дивидендов хозяйственных обществ (процентов);</w:t>
            </w:r>
          </w:p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выполнение плана по доходам от приватизации краевого имущества, в том числе акций (долей) хозяйственных обществ (процентов);</w:t>
            </w:r>
          </w:p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выполнение плана по доходам от аренды краевого имущества (процентов);</w:t>
            </w:r>
          </w:p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выполнение плана по доходам от использования земельных участков (процентов);</w:t>
            </w:r>
          </w:p>
        </w:tc>
      </w:tr>
      <w:tr w:rsidR="00A44F13" w:rsidRPr="00A44F13" w:rsidTr="008D6AC9">
        <w:tc>
          <w:tcPr>
            <w:tcW w:w="3340" w:type="dxa"/>
          </w:tcPr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8" w:type="dxa"/>
          </w:tcPr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доля объектов недвижимого имущества, в том числе земельных участков, находящихся в собственности Приморского края, в отношении которых принято решение по управлению и распоряжению ими, по отношению к общему количеству объектов недвижимого имущества, находящихся в собственности Приморского края, не используемых для реализации государственных полномочий Приморского края либо свободных от прав третьих лиц (процентов);</w:t>
            </w:r>
          </w:p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 xml:space="preserve">доля объектов недвижимого имущества, в том числе земельных участков, находящихся в собственности Приморского края, в отношении которых проведены проверки фактического использования и сохранности, по отношению к общему количеству объектов недвижимого имущества Приморского края, за исключением </w:t>
            </w:r>
            <w:r w:rsidRPr="00A44F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сетей инженерно-технического обеспечения (процентов);</w:t>
            </w:r>
          </w:p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доля объектов недвижимого имущества, в том числе земельных участков, право собственности Приморского края на которые зарегистрировано, от общего числа объектов недвижимого имущества, подлежащих государственной регистрации (в рамках текущего года) (процентов);</w:t>
            </w:r>
          </w:p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доля земельных участков, право собственности Приморского края на которые зарегистрировано, включенных в перечень участков, подлежащих вовлечению в оборот, по отношению к зарегистрированным в текущем году (процентов)</w:t>
            </w:r>
          </w:p>
        </w:tc>
      </w:tr>
      <w:tr w:rsidR="00A44F13" w:rsidRPr="00A44F13" w:rsidTr="008D6AC9">
        <w:tc>
          <w:tcPr>
            <w:tcW w:w="3340" w:type="dxa"/>
          </w:tcPr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6158" w:type="dxa"/>
          </w:tcPr>
          <w:p w:rsidR="00A44F13" w:rsidRPr="00A44F13" w:rsidRDefault="00A44F13" w:rsidP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2014 - 202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A44F13" w:rsidRPr="00A44F13" w:rsidTr="008D6AC9">
        <w:tc>
          <w:tcPr>
            <w:tcW w:w="3340" w:type="dxa"/>
          </w:tcPr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Объем средств краевого бюджета на финансирование подпрограммы и прогнозная оценка привлекаемых на реализацию ее целей средств федерального бюджета, бюджетов государственных внебюджетных фондов, иных внебюджетных источников, бюджетов муниципальных образований Приморского края в случае участия Приморского края в реализации муниципальных программ, аналогичных мероприятиям государственной программы Приморского края</w:t>
            </w:r>
          </w:p>
        </w:tc>
        <w:tc>
          <w:tcPr>
            <w:tcW w:w="6158" w:type="dxa"/>
          </w:tcPr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бюджетных ассигнований краевого бюджета на реализацию подпрограммы составляет </w:t>
            </w:r>
            <w:r w:rsidR="00D23132">
              <w:rPr>
                <w:rFonts w:ascii="Times New Roman" w:hAnsi="Times New Roman" w:cs="Times New Roman"/>
                <w:sz w:val="28"/>
                <w:szCs w:val="28"/>
              </w:rPr>
              <w:t>9695304,38</w:t>
            </w: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2014 год - 1119126,50 тыс. руб.;</w:t>
            </w:r>
          </w:p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>2015 год - 1075070,84 тыс. руб.;</w:t>
            </w:r>
          </w:p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 xml:space="preserve">2016 год </w:t>
            </w:r>
            <w:r w:rsidR="00775D6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45D99">
              <w:rPr>
                <w:rFonts w:ascii="Times New Roman" w:hAnsi="Times New Roman" w:cs="Times New Roman"/>
                <w:sz w:val="28"/>
                <w:szCs w:val="28"/>
              </w:rPr>
              <w:t>1089984,74</w:t>
            </w: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 xml:space="preserve">2017 год </w:t>
            </w:r>
            <w:r w:rsidR="00775D6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45D99">
              <w:rPr>
                <w:rFonts w:ascii="Times New Roman" w:hAnsi="Times New Roman" w:cs="Times New Roman"/>
                <w:sz w:val="28"/>
                <w:szCs w:val="28"/>
              </w:rPr>
              <w:t>1205190,78</w:t>
            </w: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 xml:space="preserve">2018 год </w:t>
            </w:r>
            <w:r w:rsidR="004E5F8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5F81">
              <w:rPr>
                <w:rFonts w:ascii="Times New Roman" w:hAnsi="Times New Roman" w:cs="Times New Roman"/>
                <w:sz w:val="28"/>
                <w:szCs w:val="28"/>
              </w:rPr>
              <w:t>1624457,99</w:t>
            </w: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 xml:space="preserve">2019 год </w:t>
            </w:r>
            <w:r w:rsidR="004E5F8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23132">
              <w:rPr>
                <w:rFonts w:ascii="Times New Roman" w:hAnsi="Times New Roman" w:cs="Times New Roman"/>
                <w:sz w:val="28"/>
                <w:szCs w:val="28"/>
              </w:rPr>
              <w:t>1193159,07</w:t>
            </w: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A44F13" w:rsidRPr="004E5F81" w:rsidRDefault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 xml:space="preserve">2020 год </w:t>
            </w:r>
            <w:r w:rsidR="004E5F8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23132">
              <w:rPr>
                <w:rFonts w:ascii="Times New Roman" w:hAnsi="Times New Roman" w:cs="Times New Roman"/>
                <w:sz w:val="28"/>
                <w:szCs w:val="28"/>
              </w:rPr>
              <w:t>1194157,23</w:t>
            </w:r>
            <w:r w:rsidRPr="00A44F1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 w:rsidRPr="004E5F8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E5F81" w:rsidRPr="004E5F81" w:rsidRDefault="00A44F13" w:rsidP="004E5F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F81">
              <w:rPr>
                <w:rFonts w:ascii="Times New Roman" w:hAnsi="Times New Roman" w:cs="Times New Roman"/>
                <w:sz w:val="28"/>
                <w:szCs w:val="28"/>
              </w:rPr>
              <w:t xml:space="preserve">2021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год </w:t>
            </w:r>
            <w:r w:rsidR="004E5F8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23132">
              <w:rPr>
                <w:rFonts w:ascii="Times New Roman" w:hAnsi="Times New Roman" w:cs="Times New Roman"/>
                <w:sz w:val="28"/>
                <w:szCs w:val="28"/>
              </w:rPr>
              <w:t>1194157,23</w:t>
            </w:r>
            <w:r w:rsidR="004E5F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5F81" w:rsidRPr="00A44F1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A44F13" w:rsidRPr="00A44F13" w:rsidRDefault="00A44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771F" w:rsidRPr="00A44F13" w:rsidRDefault="009D2D27" w:rsidP="009D2D2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</w:t>
      </w:r>
    </w:p>
    <w:sectPr w:rsidR="00A0771F" w:rsidRPr="00A44F13" w:rsidSect="008D6AC9">
      <w:headerReference w:type="default" r:id="rId6"/>
      <w:pgSz w:w="11906" w:h="16838"/>
      <w:pgMar w:top="28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2AF4" w:rsidRDefault="00F22AF4" w:rsidP="008D6AC9">
      <w:pPr>
        <w:spacing w:after="0" w:line="240" w:lineRule="auto"/>
      </w:pPr>
      <w:r>
        <w:separator/>
      </w:r>
    </w:p>
  </w:endnote>
  <w:endnote w:type="continuationSeparator" w:id="0">
    <w:p w:rsidR="00F22AF4" w:rsidRDefault="00F22AF4" w:rsidP="008D6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2AF4" w:rsidRDefault="00F22AF4" w:rsidP="008D6AC9">
      <w:pPr>
        <w:spacing w:after="0" w:line="240" w:lineRule="auto"/>
      </w:pPr>
      <w:r>
        <w:separator/>
      </w:r>
    </w:p>
  </w:footnote>
  <w:footnote w:type="continuationSeparator" w:id="0">
    <w:p w:rsidR="00F22AF4" w:rsidRDefault="00F22AF4" w:rsidP="008D6A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1985071"/>
      <w:docPartObj>
        <w:docPartGallery w:val="Page Numbers (Top of Page)"/>
        <w:docPartUnique/>
      </w:docPartObj>
    </w:sdtPr>
    <w:sdtContent>
      <w:p w:rsidR="008D6AC9" w:rsidRDefault="008D6A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8D6AC9" w:rsidRDefault="008D6AC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F13"/>
    <w:rsid w:val="00041A57"/>
    <w:rsid w:val="00431152"/>
    <w:rsid w:val="004E5F81"/>
    <w:rsid w:val="00775D69"/>
    <w:rsid w:val="008D6AC9"/>
    <w:rsid w:val="009D2D27"/>
    <w:rsid w:val="00A0771F"/>
    <w:rsid w:val="00A44F13"/>
    <w:rsid w:val="00A45D99"/>
    <w:rsid w:val="00BD02A7"/>
    <w:rsid w:val="00D23132"/>
    <w:rsid w:val="00F22AF4"/>
    <w:rsid w:val="00F2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2DCCA1-B032-480A-86E8-6181D96C1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4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D6A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6AC9"/>
  </w:style>
  <w:style w:type="paragraph" w:styleId="a6">
    <w:name w:val="footer"/>
    <w:basedOn w:val="a"/>
    <w:link w:val="a7"/>
    <w:uiPriority w:val="99"/>
    <w:unhideWhenUsed/>
    <w:rsid w:val="008D6A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6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Беляева Елена Геннадиевна</dc:creator>
  <cp:lastModifiedBy>Данилова Наталья Эдуардовна</cp:lastModifiedBy>
  <cp:revision>2</cp:revision>
  <dcterms:created xsi:type="dcterms:W3CDTF">2018-09-10T06:56:00Z</dcterms:created>
  <dcterms:modified xsi:type="dcterms:W3CDTF">2018-09-10T06:56:00Z</dcterms:modified>
</cp:coreProperties>
</file>