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571C3" w:rsidRDefault="008571C3">
      <w:pPr>
        <w:pStyle w:val="ConsPlusNormal"/>
        <w:ind w:firstLine="540"/>
        <w:jc w:val="both"/>
      </w:pPr>
      <w:r>
        <w:t>Статья 9(1). Избирательные системы, которые могут применяться при проведении выборов депутатов представительных органов муниципальных образований</w:t>
      </w:r>
    </w:p>
    <w:p w:rsidR="008571C3" w:rsidRDefault="008571C3">
      <w:pPr>
        <w:pStyle w:val="ConsPlusNormal"/>
        <w:ind w:firstLine="540"/>
        <w:jc w:val="both"/>
      </w:pPr>
      <w:bookmarkStart w:id="0" w:name="P1"/>
      <w:bookmarkEnd w:id="0"/>
      <w:r>
        <w:t>1. Выборы депутатов представительных органов муниципальных районов, городских округов с численностью 20 и более депутатов проводятся с применением одной из следующих избирательных систем:</w:t>
      </w:r>
    </w:p>
    <w:p w:rsidR="008571C3" w:rsidRDefault="008571C3">
      <w:pPr>
        <w:pStyle w:val="ConsPlusNormal"/>
        <w:ind w:firstLine="540"/>
        <w:jc w:val="both"/>
      </w:pPr>
      <w:r>
        <w:t>2) смешанная (мажоритарно-пропорциональная) избирательная система. При этом не менее 50 процентов депутатов представительного органа муниципального образования должны избираться по единому избирательному округу пропорционально числу голосов избирателей, поданных за списки кандидатов, выдвинутые избирательными объединениями, иные депутаты представительного органа муниципального образования избираются по одномандатным или многомандатным избирательным округам с равным числом замещаемых мандатов.</w:t>
      </w:r>
    </w:p>
    <w:p w:rsidR="008571C3" w:rsidRDefault="008571C3">
      <w:pPr>
        <w:pStyle w:val="ConsPlusNormal"/>
        <w:ind w:firstLine="540"/>
        <w:jc w:val="both"/>
      </w:pPr>
      <w:r>
        <w:t>2. Выборы депутатов представительных органов муниципальных образований, за исключением указанных в абзаце первом части 1 настоящей статьи, проводятся с применением одной из следующих избирательных систем:</w:t>
      </w:r>
    </w:p>
    <w:p w:rsidR="008571C3" w:rsidRDefault="008571C3">
      <w:pPr>
        <w:pStyle w:val="ConsPlusNormal"/>
        <w:ind w:firstLine="540"/>
        <w:jc w:val="both"/>
      </w:pPr>
      <w:r>
        <w:t>1) пропорциональная избирательная система. При этом депутаты представительного органа муниципального образования, в котором замещению подлежат 15 и более мандатов, избираются по единому избирательному округу пропорционально числу голосов, поданных за списки кандидатов, выдвинутые избирательными объединениями;</w:t>
      </w:r>
    </w:p>
    <w:p w:rsidR="008571C3" w:rsidRDefault="008571C3">
      <w:pPr>
        <w:pStyle w:val="ConsPlusNormal"/>
        <w:ind w:firstLine="540"/>
        <w:jc w:val="both"/>
      </w:pPr>
      <w:bookmarkStart w:id="1" w:name="P5"/>
      <w:bookmarkEnd w:id="1"/>
      <w:r>
        <w:t>2) мажоритарная избирательная система. При этом депутаты представительного органа муниципального образования избираются по одномандатным или многомандатным избирательным округам с равным числом замещаемых мандатов.</w:t>
      </w:r>
    </w:p>
    <w:p w:rsidR="008571C3" w:rsidRDefault="008571C3">
      <w:pPr>
        <w:pStyle w:val="ConsPlusNormal"/>
        <w:ind w:firstLine="540"/>
        <w:jc w:val="both"/>
      </w:pPr>
      <w:r>
        <w:t>2(1). Выборы депутатов представительных органов поселений (за исключением городских округов) с численностью населения менее 3000 человек, а также представительных органов поселений (включая представительные органы городских округов) с численностью менее 15 депутатов проводятся по одномандатным и (или) многомандатным избирательным округам.</w:t>
      </w:r>
    </w:p>
    <w:p w:rsidR="008571C3" w:rsidRDefault="008571C3">
      <w:pPr>
        <w:pStyle w:val="ConsPlusNormal"/>
        <w:ind w:firstLine="540"/>
        <w:jc w:val="both"/>
      </w:pPr>
      <w:r>
        <w:t>2(2). В случае</w:t>
      </w:r>
      <w:proofErr w:type="gramStart"/>
      <w:r>
        <w:t>,</w:t>
      </w:r>
      <w:proofErr w:type="gramEnd"/>
      <w:r>
        <w:t xml:space="preserve"> если в избираемом на муниципальных выборах представительном органе муниципального образования (за исключением указанных в </w:t>
      </w:r>
      <w:hyperlink w:anchor="P1" w:history="1">
        <w:r>
          <w:rPr>
            <w:color w:val="0000FF"/>
          </w:rPr>
          <w:t>части 1</w:t>
        </w:r>
      </w:hyperlink>
      <w:r>
        <w:t xml:space="preserve"> настоящей статьи) часть депутатских мандатов распределяется между списками кандидатов, выдвинутых политическими партиями, их региональными отделениями или иными структурными подразделениями, пропорционально числу голосов избирателей, полученных каждым из списков кандидатов, распределению между указанными списками кандидатов подлежат не менее 10 депутатских мандатов.</w:t>
      </w:r>
    </w:p>
    <w:p w:rsidR="008571C3" w:rsidRDefault="008571C3">
      <w:pPr>
        <w:pStyle w:val="ConsPlusNormal"/>
        <w:ind w:firstLine="540"/>
        <w:jc w:val="both"/>
      </w:pPr>
      <w:r>
        <w:t xml:space="preserve">4. Если уставом муниципального образования в соответствии с </w:t>
      </w:r>
      <w:hyperlink r:id="rId5" w:history="1">
        <w:r>
          <w:rPr>
            <w:color w:val="0000FF"/>
          </w:rPr>
          <w:t>частью 3</w:t>
        </w:r>
      </w:hyperlink>
      <w:r>
        <w:t xml:space="preserve"> настоящей статьи не определена избирательная система, которая применяется при проведении выборов депутатов представительного органа соответствующего муниципального образования, выборы депутатов проводятся:</w:t>
      </w:r>
    </w:p>
    <w:p w:rsidR="008571C3" w:rsidRDefault="008571C3">
      <w:pPr>
        <w:pStyle w:val="ConsPlusNormal"/>
        <w:ind w:firstLine="540"/>
        <w:jc w:val="both"/>
      </w:pPr>
      <w:r>
        <w:lastRenderedPageBreak/>
        <w:t xml:space="preserve">1) в муниципальных районах, городских округах с численностью депутатов представительных органов 20 и более - в соответствии с </w:t>
      </w:r>
      <w:hyperlink r:id="rId6" w:history="1">
        <w:r>
          <w:rPr>
            <w:color w:val="0000FF"/>
          </w:rPr>
          <w:t>пунктом 1 части 1</w:t>
        </w:r>
      </w:hyperlink>
      <w:r>
        <w:t xml:space="preserve"> настоящей статьи;</w:t>
      </w:r>
    </w:p>
    <w:p w:rsidR="008571C3" w:rsidRDefault="008571C3">
      <w:pPr>
        <w:pStyle w:val="ConsPlusNormal"/>
        <w:ind w:firstLine="540"/>
        <w:jc w:val="both"/>
      </w:pPr>
      <w:r>
        <w:t xml:space="preserve">2) в иных муниципальных образованиях - в соответствии с </w:t>
      </w:r>
      <w:hyperlink w:anchor="P5" w:history="1">
        <w:r>
          <w:rPr>
            <w:color w:val="0000FF"/>
          </w:rPr>
          <w:t>пунктом 2 части 2</w:t>
        </w:r>
      </w:hyperlink>
      <w:r>
        <w:t xml:space="preserve"> настоящей статьи.</w:t>
      </w:r>
    </w:p>
    <w:p w:rsidR="008571C3" w:rsidRDefault="008571C3">
      <w:pPr>
        <w:pStyle w:val="ConsPlusNormal"/>
      </w:pPr>
      <w:hyperlink r:id="rId7" w:history="1">
        <w:r>
          <w:rPr>
            <w:i/>
            <w:color w:val="0000FF"/>
          </w:rPr>
          <w:br/>
        </w:r>
        <w:proofErr w:type="gramStart"/>
        <w:r>
          <w:rPr>
            <w:i/>
            <w:color w:val="0000FF"/>
          </w:rPr>
          <w:t>с</w:t>
        </w:r>
        <w:proofErr w:type="gramEnd"/>
        <w:r>
          <w:rPr>
            <w:i/>
            <w:color w:val="0000FF"/>
          </w:rPr>
          <w:t>т. 9(1), Избирательный кодекс Приморского края от 22.07.2003 N 62-КЗ (ред. от 29.07.2015) (принят Законодательным Собранием Приморского края 25.06.2003) {КонсультантПлюс}</w:t>
        </w:r>
      </w:hyperlink>
      <w:r>
        <w:br/>
      </w:r>
    </w:p>
    <w:p w:rsidR="008571C3" w:rsidRDefault="008571C3">
      <w:pPr>
        <w:pStyle w:val="ConsPlusNormal"/>
        <w:jc w:val="both"/>
      </w:pPr>
    </w:p>
    <w:p w:rsidR="008571C3" w:rsidRDefault="008571C3">
      <w:pPr>
        <w:pStyle w:val="ConsPlusNormal"/>
        <w:ind w:firstLine="540"/>
        <w:jc w:val="both"/>
      </w:pPr>
      <w:r>
        <w:t>Статья 31. Статус членов избирательных комиссий</w:t>
      </w:r>
    </w:p>
    <w:p w:rsidR="008571C3" w:rsidRDefault="008571C3">
      <w:pPr>
        <w:pStyle w:val="ConsPlusNormal"/>
      </w:pPr>
      <w:hyperlink r:id="rId8" w:history="1">
        <w:r>
          <w:rPr>
            <w:i/>
            <w:color w:val="0000FF"/>
          </w:rPr>
          <w:br/>
          <w:t>гл. 3, Избирательный кодекс Приморского края от 22.07.2003 N 62-КЗ (ред. от 29.07.2015) (принят Законодательным Собранием Приморского края 25.06.2003) {КонсультантПлюс}</w:t>
        </w:r>
      </w:hyperlink>
      <w:r>
        <w:br/>
      </w:r>
    </w:p>
    <w:p w:rsidR="00F40E4E" w:rsidRDefault="00F40E4E">
      <w:bookmarkStart w:id="2" w:name="_GoBack"/>
      <w:bookmarkEnd w:id="2"/>
    </w:p>
    <w:sectPr w:rsidR="00F40E4E" w:rsidSect="006412D9">
      <w:pgSz w:w="11906" w:h="16838"/>
      <w:pgMar w:top="851" w:right="850" w:bottom="907"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proofState w:grammar="clean"/>
  <w:defaultTabStop w:val="708"/>
  <w:drawingGridHorizontalSpacing w:val="12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571C3"/>
    <w:rsid w:val="00655E4C"/>
    <w:rsid w:val="008571C3"/>
    <w:rsid w:val="00F40E4E"/>
    <w:rsid w:val="00F429B0"/>
    <w:rsid w:val="00F429B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ru-RU" w:eastAsia="en-US"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571C3"/>
    <w:pPr>
      <w:widowControl w:val="0"/>
      <w:autoSpaceDE w:val="0"/>
      <w:autoSpaceDN w:val="0"/>
      <w:spacing w:after="0"/>
    </w:pPr>
    <w:rPr>
      <w:rFonts w:eastAsia="Times New Roman" w:cs="Times New Roman"/>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ru-RU" w:eastAsia="en-US"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571C3"/>
    <w:pPr>
      <w:widowControl w:val="0"/>
      <w:autoSpaceDE w:val="0"/>
      <w:autoSpaceDN w:val="0"/>
      <w:spacing w:after="0"/>
    </w:pPr>
    <w:rPr>
      <w:rFonts w:eastAsia="Times New Roman" w:cs="Times New Roman"/>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EEA11C8953537DAF42D0772393E66A5CFC641B68F9221C6C6A9FC159668F27C45BF97B36E2990478CD26DBF3AD2C6c7nCE" TargetMode="External"/><Relationship Id="rId3" Type="http://schemas.openxmlformats.org/officeDocument/2006/relationships/settings" Target="settings.xml"/><Relationship Id="rId7" Type="http://schemas.openxmlformats.org/officeDocument/2006/relationships/hyperlink" Target="consultantplus://offline/ref=FEEA11C8953537DAF42D0772393E66A5CFC641B68F9221C6C6A9FC159668F27C45BF97B36E29904788D265cBn6E"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consultantplus://offline/ref=FEEA11C8953537DAF42D0772393E66A5CFC641B68F9221C6C6A9FC159668F27C45BF97B36E29904788D264cBnEE" TargetMode="External"/><Relationship Id="rId5" Type="http://schemas.openxmlformats.org/officeDocument/2006/relationships/hyperlink" Target="consultantplus://offline/ref=FEEA11C8953537DAF42D0772393E66A5CFC641B68F9221C6C6A9FC159668F27C45BF97B36E29904788D264cBn9E"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588</Words>
  <Characters>3355</Characters>
  <Application>Microsoft Office Word</Application>
  <DocSecurity>0</DocSecurity>
  <Lines>27</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Гончарова</dc:creator>
  <cp:lastModifiedBy>Гончарова</cp:lastModifiedBy>
  <cp:revision>2</cp:revision>
  <dcterms:created xsi:type="dcterms:W3CDTF">2015-11-10T04:42:00Z</dcterms:created>
  <dcterms:modified xsi:type="dcterms:W3CDTF">2015-11-10T04:42:00Z</dcterms:modified>
</cp:coreProperties>
</file>