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EC27C3">
        <w:tc>
          <w:tcPr>
            <w:tcW w:w="4677" w:type="dxa"/>
            <w:tcMar>
              <w:top w:w="0" w:type="dxa"/>
              <w:left w:w="0" w:type="dxa"/>
              <w:bottom w:w="0" w:type="dxa"/>
              <w:right w:w="0" w:type="dxa"/>
            </w:tcMar>
          </w:tcPr>
          <w:p w:rsidR="00EC27C3" w:rsidRDefault="00EC27C3">
            <w:pPr>
              <w:widowControl w:val="0"/>
              <w:autoSpaceDE w:val="0"/>
              <w:autoSpaceDN w:val="0"/>
              <w:adjustRightInd w:val="0"/>
              <w:spacing w:after="0"/>
              <w:rPr>
                <w:rFonts w:cs="Times New Roman"/>
                <w:szCs w:val="28"/>
              </w:rPr>
            </w:pPr>
            <w:r>
              <w:rPr>
                <w:rFonts w:cs="Times New Roman"/>
                <w:szCs w:val="28"/>
              </w:rPr>
              <w:t>7 июня 2012 года</w:t>
            </w:r>
          </w:p>
        </w:tc>
        <w:tc>
          <w:tcPr>
            <w:tcW w:w="4677" w:type="dxa"/>
            <w:tcMar>
              <w:top w:w="0" w:type="dxa"/>
              <w:left w:w="0" w:type="dxa"/>
              <w:bottom w:w="0" w:type="dxa"/>
              <w:right w:w="0" w:type="dxa"/>
            </w:tcMar>
          </w:tcPr>
          <w:p w:rsidR="00EC27C3" w:rsidRDefault="00EC27C3">
            <w:pPr>
              <w:widowControl w:val="0"/>
              <w:autoSpaceDE w:val="0"/>
              <w:autoSpaceDN w:val="0"/>
              <w:adjustRightInd w:val="0"/>
              <w:spacing w:after="0"/>
              <w:jc w:val="right"/>
              <w:rPr>
                <w:rFonts w:cs="Times New Roman"/>
                <w:szCs w:val="28"/>
              </w:rPr>
            </w:pPr>
            <w:r>
              <w:rPr>
                <w:rFonts w:cs="Times New Roman"/>
                <w:szCs w:val="28"/>
              </w:rPr>
              <w:t>N 51-КЗ</w:t>
            </w:r>
          </w:p>
        </w:tc>
      </w:tr>
    </w:tbl>
    <w:p w:rsidR="00EC27C3" w:rsidRDefault="00EC27C3">
      <w:pPr>
        <w:widowControl w:val="0"/>
        <w:pBdr>
          <w:top w:val="single" w:sz="6" w:space="0" w:color="auto"/>
        </w:pBdr>
        <w:autoSpaceDE w:val="0"/>
        <w:autoSpaceDN w:val="0"/>
        <w:adjustRightInd w:val="0"/>
        <w:spacing w:before="100" w:after="100"/>
        <w:rPr>
          <w:rFonts w:cs="Times New Roman"/>
          <w:sz w:val="2"/>
          <w:szCs w:val="2"/>
        </w:rPr>
      </w:pPr>
    </w:p>
    <w:p w:rsidR="00EC27C3" w:rsidRDefault="00EC27C3">
      <w:pPr>
        <w:widowControl w:val="0"/>
        <w:autoSpaceDE w:val="0"/>
        <w:autoSpaceDN w:val="0"/>
        <w:adjustRightInd w:val="0"/>
        <w:spacing w:after="0"/>
        <w:ind w:firstLine="540"/>
        <w:jc w:val="both"/>
        <w:outlineLvl w:val="0"/>
        <w:rPr>
          <w:rFonts w:cs="Times New Roman"/>
          <w:szCs w:val="28"/>
        </w:rPr>
      </w:pPr>
    </w:p>
    <w:p w:rsidR="00EC27C3" w:rsidRDefault="00EC27C3">
      <w:pPr>
        <w:widowControl w:val="0"/>
        <w:autoSpaceDE w:val="0"/>
        <w:autoSpaceDN w:val="0"/>
        <w:adjustRightInd w:val="0"/>
        <w:spacing w:after="0"/>
        <w:jc w:val="center"/>
        <w:rPr>
          <w:rFonts w:cs="Times New Roman"/>
          <w:b/>
          <w:bCs/>
          <w:szCs w:val="28"/>
        </w:rPr>
      </w:pPr>
      <w:r>
        <w:rPr>
          <w:rFonts w:cs="Times New Roman"/>
          <w:b/>
          <w:bCs/>
          <w:szCs w:val="28"/>
        </w:rPr>
        <w:t>ЗАКОН</w:t>
      </w:r>
    </w:p>
    <w:p w:rsidR="00EC27C3" w:rsidRDefault="00EC27C3">
      <w:pPr>
        <w:widowControl w:val="0"/>
        <w:autoSpaceDE w:val="0"/>
        <w:autoSpaceDN w:val="0"/>
        <w:adjustRightInd w:val="0"/>
        <w:spacing w:after="0"/>
        <w:jc w:val="center"/>
        <w:rPr>
          <w:rFonts w:cs="Times New Roman"/>
          <w:b/>
          <w:bCs/>
          <w:szCs w:val="28"/>
        </w:rPr>
      </w:pPr>
      <w:r>
        <w:rPr>
          <w:rFonts w:cs="Times New Roman"/>
          <w:b/>
          <w:bCs/>
          <w:szCs w:val="28"/>
        </w:rPr>
        <w:t>ПРИМОРСКОГО КРАЯ</w:t>
      </w:r>
    </w:p>
    <w:p w:rsidR="00EC27C3" w:rsidRDefault="00EC27C3">
      <w:pPr>
        <w:widowControl w:val="0"/>
        <w:autoSpaceDE w:val="0"/>
        <w:autoSpaceDN w:val="0"/>
        <w:adjustRightInd w:val="0"/>
        <w:spacing w:after="0"/>
        <w:jc w:val="center"/>
        <w:rPr>
          <w:rFonts w:cs="Times New Roman"/>
          <w:b/>
          <w:bCs/>
          <w:szCs w:val="28"/>
        </w:rPr>
      </w:pPr>
    </w:p>
    <w:p w:rsidR="00EC27C3" w:rsidRDefault="00EC27C3">
      <w:pPr>
        <w:widowControl w:val="0"/>
        <w:autoSpaceDE w:val="0"/>
        <w:autoSpaceDN w:val="0"/>
        <w:adjustRightInd w:val="0"/>
        <w:spacing w:after="0"/>
        <w:jc w:val="center"/>
        <w:rPr>
          <w:rFonts w:cs="Times New Roman"/>
          <w:b/>
          <w:bCs/>
          <w:szCs w:val="28"/>
        </w:rPr>
      </w:pPr>
      <w:r>
        <w:rPr>
          <w:rFonts w:cs="Times New Roman"/>
          <w:b/>
          <w:bCs/>
          <w:szCs w:val="28"/>
        </w:rPr>
        <w:t>О ГОСУДАРСТВЕННОЙ ГРАЖДАНСКОЙ СЛУЖБЕ ПРИМОРСКОГО КРАЯ</w:t>
      </w:r>
    </w:p>
    <w:p w:rsidR="00EC27C3" w:rsidRDefault="00EC27C3">
      <w:pPr>
        <w:widowControl w:val="0"/>
        <w:autoSpaceDE w:val="0"/>
        <w:autoSpaceDN w:val="0"/>
        <w:adjustRightInd w:val="0"/>
        <w:spacing w:after="0"/>
        <w:ind w:firstLine="540"/>
        <w:jc w:val="both"/>
        <w:outlineLvl w:val="0"/>
        <w:rPr>
          <w:rFonts w:cs="Times New Roman"/>
          <w:szCs w:val="28"/>
        </w:rPr>
      </w:pPr>
      <w:r>
        <w:rPr>
          <w:rFonts w:cs="Times New Roman"/>
          <w:szCs w:val="28"/>
        </w:rPr>
        <w:t>Статья 22. Условия назначения и выплаты пенсий за выслугу лет гражданским служащим</w:t>
      </w:r>
    </w:p>
    <w:p w:rsidR="00EC27C3" w:rsidRDefault="00EC27C3">
      <w:pPr>
        <w:widowControl w:val="0"/>
        <w:autoSpaceDE w:val="0"/>
        <w:autoSpaceDN w:val="0"/>
        <w:adjustRightInd w:val="0"/>
        <w:spacing w:after="0"/>
        <w:ind w:firstLine="540"/>
        <w:jc w:val="both"/>
        <w:rPr>
          <w:rFonts w:cs="Times New Roman"/>
          <w:szCs w:val="28"/>
        </w:rPr>
      </w:pPr>
    </w:p>
    <w:p w:rsidR="00EC27C3" w:rsidRDefault="00EC27C3">
      <w:pPr>
        <w:widowControl w:val="0"/>
        <w:autoSpaceDE w:val="0"/>
        <w:autoSpaceDN w:val="0"/>
        <w:adjustRightInd w:val="0"/>
        <w:spacing w:after="0"/>
        <w:ind w:firstLine="540"/>
        <w:jc w:val="both"/>
        <w:rPr>
          <w:rFonts w:cs="Times New Roman"/>
          <w:szCs w:val="28"/>
        </w:rPr>
      </w:pPr>
      <w:bookmarkStart w:id="0" w:name="Par9"/>
      <w:bookmarkEnd w:id="0"/>
      <w:r>
        <w:rPr>
          <w:rFonts w:cs="Times New Roman"/>
          <w:szCs w:val="28"/>
        </w:rPr>
        <w:t xml:space="preserve">1. </w:t>
      </w:r>
      <w:proofErr w:type="gramStart"/>
      <w:r>
        <w:rPr>
          <w:rFonts w:cs="Times New Roman"/>
          <w:szCs w:val="28"/>
        </w:rPr>
        <w:t xml:space="preserve">Гражданские служащие при наличии стажа гражданской службы не менее 15 лет и замещении должности гражданской службы не менее 12 полных месяцев имеют право на пенсию за выслугу лет при увольнении с гражданской службы по основаниям, предусмотренным </w:t>
      </w:r>
      <w:hyperlink r:id="rId5" w:history="1">
        <w:r>
          <w:rPr>
            <w:rFonts w:cs="Times New Roman"/>
            <w:color w:val="0000FF"/>
            <w:szCs w:val="28"/>
          </w:rPr>
          <w:t>пунктами 1</w:t>
        </w:r>
      </w:hyperlink>
      <w:r>
        <w:rPr>
          <w:rFonts w:cs="Times New Roman"/>
          <w:szCs w:val="28"/>
        </w:rPr>
        <w:t xml:space="preserve"> - </w:t>
      </w:r>
      <w:hyperlink r:id="rId6" w:history="1">
        <w:r>
          <w:rPr>
            <w:rFonts w:cs="Times New Roman"/>
            <w:color w:val="0000FF"/>
            <w:szCs w:val="28"/>
          </w:rPr>
          <w:t>3</w:t>
        </w:r>
      </w:hyperlink>
      <w:r>
        <w:rPr>
          <w:rFonts w:cs="Times New Roman"/>
          <w:szCs w:val="28"/>
        </w:rPr>
        <w:t xml:space="preserve">, </w:t>
      </w:r>
      <w:hyperlink r:id="rId7" w:history="1">
        <w:r>
          <w:rPr>
            <w:rFonts w:cs="Times New Roman"/>
            <w:color w:val="0000FF"/>
            <w:szCs w:val="28"/>
          </w:rPr>
          <w:t>7</w:t>
        </w:r>
      </w:hyperlink>
      <w:r>
        <w:rPr>
          <w:rFonts w:cs="Times New Roman"/>
          <w:szCs w:val="28"/>
        </w:rPr>
        <w:t xml:space="preserve"> - </w:t>
      </w:r>
      <w:hyperlink r:id="rId8" w:history="1">
        <w:r>
          <w:rPr>
            <w:rFonts w:cs="Times New Roman"/>
            <w:color w:val="0000FF"/>
            <w:szCs w:val="28"/>
          </w:rPr>
          <w:t>9 части 1 статьи 33</w:t>
        </w:r>
      </w:hyperlink>
      <w:r>
        <w:rPr>
          <w:rFonts w:cs="Times New Roman"/>
          <w:szCs w:val="28"/>
        </w:rPr>
        <w:t xml:space="preserve">, </w:t>
      </w:r>
      <w:hyperlink r:id="rId9" w:history="1">
        <w:r>
          <w:rPr>
            <w:rFonts w:cs="Times New Roman"/>
            <w:color w:val="0000FF"/>
            <w:szCs w:val="28"/>
          </w:rPr>
          <w:t>пунктами 1,</w:t>
        </w:r>
      </w:hyperlink>
      <w:r>
        <w:rPr>
          <w:rFonts w:cs="Times New Roman"/>
          <w:szCs w:val="28"/>
        </w:rPr>
        <w:t xml:space="preserve"> </w:t>
      </w:r>
      <w:hyperlink r:id="rId10" w:history="1">
        <w:r>
          <w:rPr>
            <w:rFonts w:cs="Times New Roman"/>
            <w:color w:val="0000FF"/>
            <w:szCs w:val="28"/>
          </w:rPr>
          <w:t>8(2)</w:t>
        </w:r>
      </w:hyperlink>
      <w:r>
        <w:rPr>
          <w:rFonts w:cs="Times New Roman"/>
          <w:szCs w:val="28"/>
        </w:rPr>
        <w:t xml:space="preserve"> и </w:t>
      </w:r>
      <w:hyperlink r:id="rId11" w:history="1">
        <w:r>
          <w:rPr>
            <w:rFonts w:cs="Times New Roman"/>
            <w:color w:val="0000FF"/>
            <w:szCs w:val="28"/>
          </w:rPr>
          <w:t>8(3) части 1 статьи 37</w:t>
        </w:r>
      </w:hyperlink>
      <w:r>
        <w:rPr>
          <w:rFonts w:cs="Times New Roman"/>
          <w:szCs w:val="28"/>
        </w:rPr>
        <w:t xml:space="preserve">, </w:t>
      </w:r>
      <w:hyperlink r:id="rId12" w:history="1">
        <w:r>
          <w:rPr>
            <w:rFonts w:cs="Times New Roman"/>
            <w:color w:val="0000FF"/>
            <w:szCs w:val="28"/>
          </w:rPr>
          <w:t>пунктами 2</w:t>
        </w:r>
      </w:hyperlink>
      <w:r>
        <w:rPr>
          <w:rFonts w:cs="Times New Roman"/>
          <w:szCs w:val="28"/>
        </w:rPr>
        <w:t xml:space="preserve"> - </w:t>
      </w:r>
      <w:hyperlink r:id="rId13" w:history="1">
        <w:r>
          <w:rPr>
            <w:rFonts w:cs="Times New Roman"/>
            <w:color w:val="0000FF"/>
            <w:szCs w:val="28"/>
          </w:rPr>
          <w:t>4 части</w:t>
        </w:r>
        <w:proofErr w:type="gramEnd"/>
        <w:r>
          <w:rPr>
            <w:rFonts w:cs="Times New Roman"/>
            <w:color w:val="0000FF"/>
            <w:szCs w:val="28"/>
          </w:rPr>
          <w:t xml:space="preserve"> 1</w:t>
        </w:r>
      </w:hyperlink>
      <w:r>
        <w:rPr>
          <w:rFonts w:cs="Times New Roman"/>
          <w:szCs w:val="28"/>
        </w:rPr>
        <w:t xml:space="preserve"> и </w:t>
      </w:r>
      <w:hyperlink r:id="rId14" w:history="1">
        <w:r>
          <w:rPr>
            <w:rFonts w:cs="Times New Roman"/>
            <w:color w:val="0000FF"/>
            <w:szCs w:val="28"/>
          </w:rPr>
          <w:t>пунктами 2</w:t>
        </w:r>
      </w:hyperlink>
      <w:r>
        <w:rPr>
          <w:rFonts w:cs="Times New Roman"/>
          <w:szCs w:val="28"/>
        </w:rPr>
        <w:t xml:space="preserve"> - </w:t>
      </w:r>
      <w:hyperlink r:id="rId15" w:history="1">
        <w:r>
          <w:rPr>
            <w:rFonts w:cs="Times New Roman"/>
            <w:color w:val="0000FF"/>
            <w:szCs w:val="28"/>
          </w:rPr>
          <w:t>4 части 2 статьи 39</w:t>
        </w:r>
      </w:hyperlink>
      <w:r>
        <w:rPr>
          <w:rFonts w:cs="Times New Roman"/>
          <w:szCs w:val="28"/>
        </w:rPr>
        <w:t xml:space="preserve"> Федерального закона (с учетом положений, предусмотренных </w:t>
      </w:r>
      <w:hyperlink w:anchor="Par10" w:history="1">
        <w:r>
          <w:rPr>
            <w:rFonts w:cs="Times New Roman"/>
            <w:color w:val="0000FF"/>
            <w:szCs w:val="28"/>
          </w:rPr>
          <w:t>абзацами вторым</w:t>
        </w:r>
      </w:hyperlink>
      <w:r>
        <w:rPr>
          <w:rFonts w:cs="Times New Roman"/>
          <w:szCs w:val="28"/>
        </w:rPr>
        <w:t xml:space="preserve"> и </w:t>
      </w:r>
      <w:hyperlink w:anchor="Par11" w:history="1">
        <w:r>
          <w:rPr>
            <w:rFonts w:cs="Times New Roman"/>
            <w:color w:val="0000FF"/>
            <w:szCs w:val="28"/>
          </w:rPr>
          <w:t>третьим</w:t>
        </w:r>
      </w:hyperlink>
      <w:r>
        <w:rPr>
          <w:rFonts w:cs="Times New Roman"/>
          <w:szCs w:val="28"/>
        </w:rPr>
        <w:t xml:space="preserve"> настоящей части).</w:t>
      </w:r>
    </w:p>
    <w:p w:rsidR="00EC27C3" w:rsidRDefault="00EC27C3">
      <w:pPr>
        <w:widowControl w:val="0"/>
        <w:autoSpaceDE w:val="0"/>
        <w:autoSpaceDN w:val="0"/>
        <w:adjustRightInd w:val="0"/>
        <w:spacing w:after="0"/>
        <w:ind w:firstLine="540"/>
        <w:jc w:val="both"/>
        <w:rPr>
          <w:rFonts w:cs="Times New Roman"/>
          <w:szCs w:val="28"/>
        </w:rPr>
      </w:pPr>
      <w:bookmarkStart w:id="1" w:name="Par10"/>
      <w:bookmarkEnd w:id="1"/>
      <w:proofErr w:type="gramStart"/>
      <w:r>
        <w:rPr>
          <w:rFonts w:cs="Times New Roman"/>
          <w:szCs w:val="28"/>
        </w:rPr>
        <w:t xml:space="preserve">Гражданские служащие при увольнении с гражданской службы по основаниям, предусмотренным </w:t>
      </w:r>
      <w:hyperlink r:id="rId16" w:history="1">
        <w:r>
          <w:rPr>
            <w:rFonts w:cs="Times New Roman"/>
            <w:color w:val="0000FF"/>
            <w:szCs w:val="28"/>
          </w:rPr>
          <w:t>пунктами 1</w:t>
        </w:r>
      </w:hyperlink>
      <w:r>
        <w:rPr>
          <w:rFonts w:cs="Times New Roman"/>
          <w:szCs w:val="28"/>
        </w:rPr>
        <w:t xml:space="preserve">, </w:t>
      </w:r>
      <w:hyperlink r:id="rId17" w:history="1">
        <w:r>
          <w:rPr>
            <w:rFonts w:cs="Times New Roman"/>
            <w:color w:val="0000FF"/>
            <w:szCs w:val="28"/>
          </w:rPr>
          <w:t>2</w:t>
        </w:r>
      </w:hyperlink>
      <w:r>
        <w:rPr>
          <w:rFonts w:cs="Times New Roman"/>
          <w:szCs w:val="28"/>
        </w:rPr>
        <w:t xml:space="preserve"> (за исключением случаев истечения срока действия срочного служебного контракта в связи с истечением установленного срока полномочий гражданского служащего, замещавшего должность гражданской службы категорий "руководители" или "помощники (советники)"), </w:t>
      </w:r>
      <w:hyperlink r:id="rId18" w:history="1">
        <w:r>
          <w:rPr>
            <w:rFonts w:cs="Times New Roman"/>
            <w:color w:val="0000FF"/>
            <w:szCs w:val="28"/>
          </w:rPr>
          <w:t>пунктами 3</w:t>
        </w:r>
      </w:hyperlink>
      <w:r>
        <w:rPr>
          <w:rFonts w:cs="Times New Roman"/>
          <w:szCs w:val="28"/>
        </w:rPr>
        <w:t xml:space="preserve"> и </w:t>
      </w:r>
      <w:hyperlink r:id="rId19" w:history="1">
        <w:r>
          <w:rPr>
            <w:rFonts w:cs="Times New Roman"/>
            <w:color w:val="0000FF"/>
            <w:szCs w:val="28"/>
          </w:rPr>
          <w:t>7 части 1 статьи 33</w:t>
        </w:r>
      </w:hyperlink>
      <w:r>
        <w:rPr>
          <w:rFonts w:cs="Times New Roman"/>
          <w:szCs w:val="28"/>
        </w:rPr>
        <w:t xml:space="preserve">, </w:t>
      </w:r>
      <w:hyperlink r:id="rId20" w:history="1">
        <w:r>
          <w:rPr>
            <w:rFonts w:cs="Times New Roman"/>
            <w:color w:val="0000FF"/>
            <w:szCs w:val="28"/>
          </w:rPr>
          <w:t>подпунктом "б" пункта 1 части 1 статьи 37</w:t>
        </w:r>
      </w:hyperlink>
      <w:r>
        <w:rPr>
          <w:rFonts w:cs="Times New Roman"/>
          <w:szCs w:val="28"/>
        </w:rPr>
        <w:t xml:space="preserve"> и </w:t>
      </w:r>
      <w:hyperlink r:id="rId21" w:history="1">
        <w:r>
          <w:rPr>
            <w:rFonts w:cs="Times New Roman"/>
            <w:color w:val="0000FF"/>
            <w:szCs w:val="28"/>
          </w:rPr>
          <w:t>пунктом 4 части</w:t>
        </w:r>
        <w:proofErr w:type="gramEnd"/>
        <w:r>
          <w:rPr>
            <w:rFonts w:cs="Times New Roman"/>
            <w:color w:val="0000FF"/>
            <w:szCs w:val="28"/>
          </w:rPr>
          <w:t xml:space="preserve"> 2 статьи 39</w:t>
        </w:r>
      </w:hyperlink>
      <w:r>
        <w:rPr>
          <w:rFonts w:cs="Times New Roman"/>
          <w:szCs w:val="28"/>
        </w:rPr>
        <w:t xml:space="preserve"> Федерального закона, имеют право на пенсию за выслугу лет, если на момент освобождения от должности они имели право на трудовую пенсию по старости (инвалидности) и непосредственно перед увольнением замещали должности гражданской службы не менее </w:t>
      </w:r>
      <w:proofErr w:type="gramStart"/>
      <w:r>
        <w:rPr>
          <w:rFonts w:cs="Times New Roman"/>
          <w:szCs w:val="28"/>
        </w:rPr>
        <w:t>12 полных месяцев</w:t>
      </w:r>
      <w:proofErr w:type="gramEnd"/>
      <w:r>
        <w:rPr>
          <w:rFonts w:cs="Times New Roman"/>
          <w:szCs w:val="28"/>
        </w:rPr>
        <w:t>.</w:t>
      </w:r>
    </w:p>
    <w:p w:rsidR="00EC27C3" w:rsidRDefault="00EC27C3">
      <w:pPr>
        <w:widowControl w:val="0"/>
        <w:autoSpaceDE w:val="0"/>
        <w:autoSpaceDN w:val="0"/>
        <w:adjustRightInd w:val="0"/>
        <w:spacing w:after="0"/>
        <w:ind w:firstLine="540"/>
        <w:jc w:val="both"/>
        <w:rPr>
          <w:rFonts w:cs="Times New Roman"/>
          <w:szCs w:val="28"/>
        </w:rPr>
      </w:pPr>
      <w:bookmarkStart w:id="2" w:name="Par11"/>
      <w:bookmarkEnd w:id="2"/>
      <w:proofErr w:type="gramStart"/>
      <w:r>
        <w:rPr>
          <w:rFonts w:cs="Times New Roman"/>
          <w:szCs w:val="28"/>
        </w:rPr>
        <w:t xml:space="preserve">Гражданские служащие при увольнении с гражданской службы по основаниям, предусмотренным </w:t>
      </w:r>
      <w:hyperlink r:id="rId22" w:history="1">
        <w:r>
          <w:rPr>
            <w:rFonts w:cs="Times New Roman"/>
            <w:color w:val="0000FF"/>
            <w:szCs w:val="28"/>
          </w:rPr>
          <w:t>пунктом 2</w:t>
        </w:r>
      </w:hyperlink>
      <w:r>
        <w:rPr>
          <w:rFonts w:cs="Times New Roman"/>
          <w:szCs w:val="28"/>
        </w:rPr>
        <w:t xml:space="preserve"> (в случае истечения срока действия срочного служебного контракта в связи с истечением установленного срока полномочий гражданского служащего, замещавшего должность гражданской службы категорий "руководители" или "помощники (советники)"), </w:t>
      </w:r>
      <w:hyperlink r:id="rId23" w:history="1">
        <w:r>
          <w:rPr>
            <w:rFonts w:cs="Times New Roman"/>
            <w:color w:val="0000FF"/>
            <w:szCs w:val="28"/>
          </w:rPr>
          <w:t>пунктами 8</w:t>
        </w:r>
      </w:hyperlink>
      <w:r>
        <w:rPr>
          <w:rFonts w:cs="Times New Roman"/>
          <w:szCs w:val="28"/>
        </w:rPr>
        <w:t xml:space="preserve"> и </w:t>
      </w:r>
      <w:hyperlink r:id="rId24" w:history="1">
        <w:r>
          <w:rPr>
            <w:rFonts w:cs="Times New Roman"/>
            <w:color w:val="0000FF"/>
            <w:szCs w:val="28"/>
          </w:rPr>
          <w:t>9 части 1 статьи 33</w:t>
        </w:r>
      </w:hyperlink>
      <w:r>
        <w:rPr>
          <w:rFonts w:cs="Times New Roman"/>
          <w:szCs w:val="28"/>
        </w:rPr>
        <w:t xml:space="preserve">, </w:t>
      </w:r>
      <w:hyperlink r:id="rId25" w:history="1">
        <w:r>
          <w:rPr>
            <w:rFonts w:cs="Times New Roman"/>
            <w:color w:val="0000FF"/>
            <w:szCs w:val="28"/>
          </w:rPr>
          <w:t>подпунктом "а" пункта 1</w:t>
        </w:r>
      </w:hyperlink>
      <w:r>
        <w:rPr>
          <w:rFonts w:cs="Times New Roman"/>
          <w:szCs w:val="28"/>
        </w:rPr>
        <w:t xml:space="preserve">, </w:t>
      </w:r>
      <w:hyperlink r:id="rId26" w:history="1">
        <w:r>
          <w:rPr>
            <w:rFonts w:cs="Times New Roman"/>
            <w:color w:val="0000FF"/>
            <w:szCs w:val="28"/>
          </w:rPr>
          <w:t>пунктами 8(2)</w:t>
        </w:r>
      </w:hyperlink>
      <w:r>
        <w:rPr>
          <w:rFonts w:cs="Times New Roman"/>
          <w:szCs w:val="28"/>
        </w:rPr>
        <w:t xml:space="preserve"> и </w:t>
      </w:r>
      <w:hyperlink r:id="rId27" w:history="1">
        <w:r>
          <w:rPr>
            <w:rFonts w:cs="Times New Roman"/>
            <w:color w:val="0000FF"/>
            <w:szCs w:val="28"/>
          </w:rPr>
          <w:t>8(3) части 1 статьи 37</w:t>
        </w:r>
        <w:proofErr w:type="gramEnd"/>
      </w:hyperlink>
      <w:r>
        <w:rPr>
          <w:rFonts w:cs="Times New Roman"/>
          <w:szCs w:val="28"/>
        </w:rPr>
        <w:t xml:space="preserve">, </w:t>
      </w:r>
      <w:hyperlink r:id="rId28" w:history="1">
        <w:r>
          <w:rPr>
            <w:rFonts w:cs="Times New Roman"/>
            <w:color w:val="0000FF"/>
            <w:szCs w:val="28"/>
          </w:rPr>
          <w:t>пунктами 2</w:t>
        </w:r>
      </w:hyperlink>
      <w:r>
        <w:rPr>
          <w:rFonts w:cs="Times New Roman"/>
          <w:szCs w:val="28"/>
        </w:rPr>
        <w:t xml:space="preserve"> - </w:t>
      </w:r>
      <w:hyperlink r:id="rId29" w:history="1">
        <w:r>
          <w:rPr>
            <w:rFonts w:cs="Times New Roman"/>
            <w:color w:val="0000FF"/>
            <w:szCs w:val="28"/>
          </w:rPr>
          <w:t>4 части 1</w:t>
        </w:r>
      </w:hyperlink>
      <w:r>
        <w:rPr>
          <w:rFonts w:cs="Times New Roman"/>
          <w:szCs w:val="28"/>
        </w:rPr>
        <w:t xml:space="preserve"> и </w:t>
      </w:r>
      <w:hyperlink r:id="rId30" w:history="1">
        <w:r>
          <w:rPr>
            <w:rFonts w:cs="Times New Roman"/>
            <w:color w:val="0000FF"/>
            <w:szCs w:val="28"/>
          </w:rPr>
          <w:t>пунктами 2</w:t>
        </w:r>
      </w:hyperlink>
      <w:r>
        <w:rPr>
          <w:rFonts w:cs="Times New Roman"/>
          <w:szCs w:val="28"/>
        </w:rPr>
        <w:t xml:space="preserve"> и </w:t>
      </w:r>
      <w:hyperlink r:id="rId31" w:history="1">
        <w:r>
          <w:rPr>
            <w:rFonts w:cs="Times New Roman"/>
            <w:color w:val="0000FF"/>
            <w:szCs w:val="28"/>
          </w:rPr>
          <w:t>3 части 2 статьи 39</w:t>
        </w:r>
      </w:hyperlink>
      <w:r>
        <w:rPr>
          <w:rFonts w:cs="Times New Roman"/>
          <w:szCs w:val="28"/>
        </w:rPr>
        <w:t xml:space="preserve"> Федерального закона, имеют право на пенсию за выслугу лет, если непосредственно перед увольнением они замещали должности гражданской службы не менее </w:t>
      </w:r>
      <w:proofErr w:type="gramStart"/>
      <w:r>
        <w:rPr>
          <w:rFonts w:cs="Times New Roman"/>
          <w:szCs w:val="28"/>
        </w:rPr>
        <w:t>одного полного месяца</w:t>
      </w:r>
      <w:proofErr w:type="gramEnd"/>
      <w:r>
        <w:rPr>
          <w:rFonts w:cs="Times New Roman"/>
          <w:szCs w:val="28"/>
        </w:rPr>
        <w:t>, при этом суммарная продолжительность замещения таких должностей составляет не менее 12 полных месяцев.</w:t>
      </w:r>
    </w:p>
    <w:p w:rsidR="00EC27C3" w:rsidRDefault="00EC27C3">
      <w:pPr>
        <w:widowControl w:val="0"/>
        <w:autoSpaceDE w:val="0"/>
        <w:autoSpaceDN w:val="0"/>
        <w:adjustRightInd w:val="0"/>
        <w:spacing w:after="0"/>
        <w:ind w:firstLine="540"/>
        <w:jc w:val="both"/>
        <w:rPr>
          <w:rFonts w:cs="Times New Roman"/>
          <w:szCs w:val="28"/>
        </w:rPr>
      </w:pPr>
      <w:bookmarkStart w:id="3" w:name="Par12"/>
      <w:bookmarkEnd w:id="3"/>
      <w:r>
        <w:rPr>
          <w:rFonts w:cs="Times New Roman"/>
          <w:szCs w:val="28"/>
        </w:rPr>
        <w:t xml:space="preserve">2. </w:t>
      </w:r>
      <w:proofErr w:type="gramStart"/>
      <w:r>
        <w:rPr>
          <w:rFonts w:cs="Times New Roman"/>
          <w:szCs w:val="28"/>
        </w:rPr>
        <w:t xml:space="preserve">Гражданские служащие при наличии стажа гражданской службы не менее 25 лет и увольнении с гражданской службы по основанию, предусмотренному </w:t>
      </w:r>
      <w:hyperlink r:id="rId32" w:history="1">
        <w:r>
          <w:rPr>
            <w:rFonts w:cs="Times New Roman"/>
            <w:color w:val="0000FF"/>
            <w:szCs w:val="28"/>
          </w:rPr>
          <w:t>пунктом 3 части 1 статьи 33</w:t>
        </w:r>
      </w:hyperlink>
      <w:r>
        <w:rPr>
          <w:rFonts w:cs="Times New Roman"/>
          <w:szCs w:val="28"/>
        </w:rPr>
        <w:t xml:space="preserve"> Федерального закона, до приобретения права на трудовую пенсию по старости (инвалидности) имеют право на пенсию за выслугу лет, если непосредственно перед увольнением они замещали должности гражданской службы не менее семи лет.</w:t>
      </w:r>
      <w:proofErr w:type="gramEnd"/>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3. Пенсия за выслугу лет устанавливается к трудовой пенсии по старости (инвалидности), назначенной в соответствии с Федеральным </w:t>
      </w:r>
      <w:hyperlink r:id="rId33"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(далее - Федеральный закон "О трудовых пенсиях в Российской Федерации").</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w:t>
      </w:r>
      <w:proofErr w:type="gramEnd"/>
      <w:r>
        <w:rPr>
          <w:rFonts w:cs="Times New Roman"/>
          <w:szCs w:val="28"/>
        </w:rPr>
        <w:t xml:space="preserve"> и выплата пенсий за выслугу лет в порядке и на условиях, которые установлены для федеральных государственных (гражданских) служащих.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5. Выплата пенсии за выслугу лет прекращается в случаях:</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1)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или местного бюджета;</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2) назначения ежемесячной доплаты к трудовой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6. Порядок назначения и выплаты пенсии за выслугу лет гражданским служащим устанавливается Губернатором Приморского края.</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 xml:space="preserve">Сохранить для гражданских служащих, которые были уволены с гражданской службы в соответствии с </w:t>
      </w:r>
      <w:hyperlink r:id="rId34" w:history="1">
        <w:r>
          <w:rPr>
            <w:rFonts w:cs="Times New Roman"/>
            <w:color w:val="0000FF"/>
            <w:szCs w:val="28"/>
          </w:rPr>
          <w:t>пунктом 6 части 1 статьи 33</w:t>
        </w:r>
      </w:hyperlink>
      <w:r>
        <w:rPr>
          <w:rFonts w:cs="Times New Roman"/>
          <w:szCs w:val="28"/>
        </w:rPr>
        <w:t xml:space="preserve"> Федерального закона до дня вступления в силу Федерального </w:t>
      </w:r>
      <w:hyperlink r:id="rId35" w:history="1">
        <w:r>
          <w:rPr>
            <w:rFonts w:cs="Times New Roman"/>
            <w:color w:val="0000FF"/>
            <w:szCs w:val="28"/>
          </w:rPr>
          <w:t>закона</w:t>
        </w:r>
      </w:hyperlink>
      <w:r>
        <w:rPr>
          <w:rFonts w:cs="Times New Roman"/>
          <w:szCs w:val="28"/>
        </w:rPr>
        <w:t xml:space="preserve"> от 5 апреля 2013 года N 57-ФЗ "О внесении изменений в статью 7 Федерального закона "О государственном пенсионном обеспечении в Российской Федерации" и Федерального закона "О государственной гражданской службе Российской Федерации", право</w:t>
      </w:r>
      <w:proofErr w:type="gramEnd"/>
      <w:r>
        <w:rPr>
          <w:rFonts w:cs="Times New Roman"/>
          <w:szCs w:val="28"/>
        </w:rPr>
        <w:t xml:space="preserve"> на пенсию за выслугу лет при наличии иных условий, предусмотренных </w:t>
      </w:r>
      <w:hyperlink w:anchor="Par9" w:history="1">
        <w:r>
          <w:rPr>
            <w:rFonts w:cs="Times New Roman"/>
            <w:color w:val="0000FF"/>
            <w:szCs w:val="28"/>
          </w:rPr>
          <w:t>абзацами первым</w:t>
        </w:r>
      </w:hyperlink>
      <w:r>
        <w:rPr>
          <w:rFonts w:cs="Times New Roman"/>
          <w:szCs w:val="28"/>
        </w:rPr>
        <w:t xml:space="preserve"> и </w:t>
      </w:r>
      <w:hyperlink w:anchor="Par11" w:history="1">
        <w:r>
          <w:rPr>
            <w:rFonts w:cs="Times New Roman"/>
            <w:color w:val="0000FF"/>
            <w:szCs w:val="28"/>
          </w:rPr>
          <w:t>третьим части 1</w:t>
        </w:r>
      </w:hyperlink>
      <w:r>
        <w:rPr>
          <w:rFonts w:cs="Times New Roman"/>
          <w:szCs w:val="28"/>
        </w:rPr>
        <w:t xml:space="preserve"> настоящей статьи, без учета изменений, внесенных Федеральным </w:t>
      </w:r>
      <w:hyperlink r:id="rId36" w:history="1">
        <w:r>
          <w:rPr>
            <w:rFonts w:cs="Times New Roman"/>
            <w:color w:val="0000FF"/>
            <w:szCs w:val="28"/>
          </w:rPr>
          <w:t>законом</w:t>
        </w:r>
      </w:hyperlink>
      <w:r>
        <w:rPr>
          <w:rFonts w:cs="Times New Roman"/>
          <w:szCs w:val="28"/>
        </w:rPr>
        <w:t xml:space="preserve"> "О внесении изменений в статью 7 Федерального закона "О государственном пенсионном обеспечении в Российской Федерации" и Федеральным законом "О государственной гражданской службе Российской Федерации".</w:t>
      </w:r>
    </w:p>
    <w:p w:rsidR="00EC27C3" w:rsidRDefault="00EC27C3">
      <w:pPr>
        <w:widowControl w:val="0"/>
        <w:autoSpaceDE w:val="0"/>
        <w:autoSpaceDN w:val="0"/>
        <w:adjustRightInd w:val="0"/>
        <w:spacing w:after="0"/>
        <w:rPr>
          <w:rFonts w:cs="Times New Roman"/>
          <w:szCs w:val="28"/>
        </w:rPr>
      </w:pPr>
      <w:hyperlink r:id="rId37" w:history="1"/>
    </w:p>
    <w:p w:rsidR="00EC27C3" w:rsidRDefault="00EC27C3">
      <w:pPr>
        <w:widowControl w:val="0"/>
        <w:autoSpaceDE w:val="0"/>
        <w:autoSpaceDN w:val="0"/>
        <w:adjustRightInd w:val="0"/>
        <w:spacing w:after="0"/>
        <w:rPr>
          <w:rFonts w:cs="Times New Roman"/>
          <w:szCs w:val="28"/>
        </w:rPr>
      </w:pPr>
    </w:p>
    <w:p w:rsidR="00EC27C3" w:rsidRDefault="00EC27C3">
      <w:pPr>
        <w:widowControl w:val="0"/>
        <w:autoSpaceDE w:val="0"/>
        <w:autoSpaceDN w:val="0"/>
        <w:adjustRightInd w:val="0"/>
        <w:spacing w:after="0"/>
        <w:rPr>
          <w:rFonts w:cs="Times New Roman"/>
          <w:szCs w:val="28"/>
        </w:rPr>
      </w:pPr>
    </w:p>
    <w:p w:rsidR="00EC27C3" w:rsidRDefault="00EC27C3">
      <w:pPr>
        <w:widowControl w:val="0"/>
        <w:autoSpaceDE w:val="0"/>
        <w:autoSpaceDN w:val="0"/>
        <w:adjustRightInd w:val="0"/>
        <w:spacing w:after="0"/>
        <w:ind w:firstLine="540"/>
        <w:jc w:val="both"/>
        <w:outlineLvl w:val="0"/>
        <w:rPr>
          <w:rFonts w:cs="Times New Roman"/>
          <w:szCs w:val="28"/>
        </w:rPr>
      </w:pPr>
      <w:bookmarkStart w:id="4" w:name="Par20"/>
      <w:bookmarkEnd w:id="4"/>
      <w:r>
        <w:rPr>
          <w:rFonts w:cs="Times New Roman"/>
          <w:szCs w:val="28"/>
        </w:rPr>
        <w:lastRenderedPageBreak/>
        <w:t>Статья 23. Размеры пенсий за выслугу лет</w:t>
      </w:r>
    </w:p>
    <w:p w:rsidR="00EC27C3" w:rsidRDefault="00EC27C3">
      <w:pPr>
        <w:widowControl w:val="0"/>
        <w:autoSpaceDE w:val="0"/>
        <w:autoSpaceDN w:val="0"/>
        <w:adjustRightInd w:val="0"/>
        <w:spacing w:after="0"/>
        <w:ind w:firstLine="540"/>
        <w:jc w:val="both"/>
        <w:rPr>
          <w:rFonts w:cs="Times New Roman"/>
          <w:szCs w:val="28"/>
        </w:rPr>
      </w:pPr>
    </w:p>
    <w:p w:rsidR="00EC27C3" w:rsidRDefault="00EC27C3">
      <w:pPr>
        <w:widowControl w:val="0"/>
        <w:autoSpaceDE w:val="0"/>
        <w:autoSpaceDN w:val="0"/>
        <w:adjustRightInd w:val="0"/>
        <w:spacing w:after="0"/>
        <w:ind w:firstLine="540"/>
        <w:jc w:val="both"/>
        <w:rPr>
          <w:rFonts w:cs="Times New Roman"/>
          <w:szCs w:val="28"/>
        </w:rPr>
      </w:pPr>
      <w:bookmarkStart w:id="5" w:name="Par22"/>
      <w:bookmarkEnd w:id="5"/>
      <w:r>
        <w:rPr>
          <w:rFonts w:cs="Times New Roman"/>
          <w:szCs w:val="28"/>
        </w:rPr>
        <w:t xml:space="preserve">1. </w:t>
      </w:r>
      <w:proofErr w:type="gramStart"/>
      <w:r>
        <w:rPr>
          <w:rFonts w:cs="Times New Roman"/>
          <w:szCs w:val="28"/>
        </w:rPr>
        <w:t xml:space="preserve">Гражданским служащим назначается пенсия за выслугу лет при наличии стажа гражданской службы не менее 15 лет в размере 45 процентов среднемесячного денежного содержания гражданского служащего за вычетом страховой части трудовой пенсии по старости либо за вычетом трудовой пенсии по инвалидности, установленных в соответствии с Федеральным </w:t>
      </w:r>
      <w:hyperlink r:id="rId38" w:history="1">
        <w:r>
          <w:rPr>
            <w:rFonts w:cs="Times New Roman"/>
            <w:color w:val="0000FF"/>
            <w:szCs w:val="28"/>
          </w:rPr>
          <w:t>законом</w:t>
        </w:r>
      </w:hyperlink>
      <w:r>
        <w:rPr>
          <w:rFonts w:cs="Times New Roman"/>
          <w:szCs w:val="28"/>
        </w:rPr>
        <w:t xml:space="preserve"> "О трудовых пенсиях в Российской Федерации".</w:t>
      </w:r>
      <w:proofErr w:type="gramEnd"/>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За </w:t>
      </w:r>
      <w:proofErr w:type="gramStart"/>
      <w:r>
        <w:rPr>
          <w:rFonts w:cs="Times New Roman"/>
          <w:szCs w:val="28"/>
        </w:rPr>
        <w:t>каждый полный год</w:t>
      </w:r>
      <w:proofErr w:type="gramEnd"/>
      <w:r>
        <w:rPr>
          <w:rFonts w:cs="Times New Roman"/>
          <w:szCs w:val="28"/>
        </w:rPr>
        <w:t xml:space="preserve"> стажа гражданской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страховой части трудовой пенсии по старости либо общая сумма пенсии за выслугу лет и трудовой пенсии по инвалидности не может превышать 75 процентов среднемесячного денежного содержания гражданского служащего, определенного в соответствии со </w:t>
      </w:r>
      <w:hyperlink w:anchor="Par25" w:history="1">
        <w:r>
          <w:rPr>
            <w:rFonts w:cs="Times New Roman"/>
            <w:color w:val="0000FF"/>
            <w:szCs w:val="28"/>
          </w:rPr>
          <w:t>статьей 24</w:t>
        </w:r>
      </w:hyperlink>
      <w:r>
        <w:rPr>
          <w:rFonts w:cs="Times New Roman"/>
          <w:szCs w:val="28"/>
        </w:rPr>
        <w:t xml:space="preserve"> настоящего Закона.</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При определении размера пенсии за выслугу лет в порядке, установленном </w:t>
      </w:r>
      <w:hyperlink w:anchor="Par22" w:history="1">
        <w:r>
          <w:rPr>
            <w:rFonts w:cs="Times New Roman"/>
            <w:color w:val="0000FF"/>
            <w:szCs w:val="28"/>
          </w:rPr>
          <w:t>частью 1</w:t>
        </w:r>
      </w:hyperlink>
      <w:r>
        <w:rPr>
          <w:rFonts w:cs="Times New Roman"/>
          <w:szCs w:val="28"/>
        </w:rPr>
        <w:t xml:space="preserve"> настоящей статьи,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размер доли страховой</w:t>
      </w:r>
      <w:proofErr w:type="gramEnd"/>
      <w:r>
        <w:rPr>
          <w:rFonts w:cs="Times New Roman"/>
          <w:szCs w:val="28"/>
        </w:rPr>
        <w:t xml:space="preserve"> </w:t>
      </w:r>
      <w:proofErr w:type="gramStart"/>
      <w:r>
        <w:rPr>
          <w:rFonts w:cs="Times New Roman"/>
          <w:szCs w:val="28"/>
        </w:rPr>
        <w:t xml:space="preserve">части трудовой пенсии по старости, исчисленной в соответствии с Федеральным </w:t>
      </w:r>
      <w:hyperlink r:id="rId39" w:history="1">
        <w:r>
          <w:rPr>
            <w:rFonts w:cs="Times New Roman"/>
            <w:color w:val="0000FF"/>
            <w:szCs w:val="28"/>
          </w:rPr>
          <w:t>законом</w:t>
        </w:r>
      </w:hyperlink>
      <w:r>
        <w:rPr>
          <w:rFonts w:cs="Times New Roman"/>
          <w:szCs w:val="28"/>
        </w:rPr>
        <w:t xml:space="preserve"> "О трудовых пенсиях в Российской Федерации", исходя из расчетного пенсионного капитала, сформированного за счет общей суммы страховых взносов, поступивших за застрахованное лицо в Пенсионный фонд Российской Федерации после назначения пенсии за выслугу лет за период не менее 12 полных месяцев работы и (или) иной деятельности, включая суммы ее увеличения</w:t>
      </w:r>
      <w:proofErr w:type="gramEnd"/>
      <w:r>
        <w:rPr>
          <w:rFonts w:cs="Times New Roman"/>
          <w:szCs w:val="28"/>
        </w:rPr>
        <w:t xml:space="preserve"> в связи с индексацией (дополнительным увеличением) и перерасчетом (корректировкой) в соответствии с </w:t>
      </w:r>
      <w:hyperlink r:id="rId40" w:history="1">
        <w:r>
          <w:rPr>
            <w:rFonts w:cs="Times New Roman"/>
            <w:color w:val="0000FF"/>
            <w:szCs w:val="28"/>
          </w:rPr>
          <w:t>пунктом 6 статьи 17</w:t>
        </w:r>
      </w:hyperlink>
      <w:r>
        <w:rPr>
          <w:rFonts w:cs="Times New Roman"/>
          <w:szCs w:val="28"/>
        </w:rPr>
        <w:t xml:space="preserve"> и </w:t>
      </w:r>
      <w:hyperlink r:id="rId41" w:history="1">
        <w:r>
          <w:rPr>
            <w:rFonts w:cs="Times New Roman"/>
            <w:color w:val="0000FF"/>
            <w:szCs w:val="28"/>
          </w:rPr>
          <w:t>статьей 17(1)</w:t>
        </w:r>
      </w:hyperlink>
      <w:r>
        <w:rPr>
          <w:rFonts w:cs="Times New Roman"/>
          <w:szCs w:val="28"/>
        </w:rPr>
        <w:t xml:space="preserve"> Федерального закона "О трудовых пенсиях в Российской Федерации", а также суммы, полагающиеся в связи с валоризацией пенсионных прав в соответствии с Федеральным </w:t>
      </w:r>
      <w:hyperlink r:id="rId42" w:history="1">
        <w:r>
          <w:rPr>
            <w:rFonts w:cs="Times New Roman"/>
            <w:color w:val="0000FF"/>
            <w:szCs w:val="28"/>
          </w:rPr>
          <w:t>законом</w:t>
        </w:r>
      </w:hyperlink>
      <w:r>
        <w:rPr>
          <w:rFonts w:cs="Times New Roman"/>
          <w:szCs w:val="28"/>
        </w:rPr>
        <w:t xml:space="preserve"> "О трудовых пенсиях в Российской Федерации".</w:t>
      </w:r>
    </w:p>
    <w:p w:rsidR="00EC27C3" w:rsidRDefault="00EC27C3">
      <w:pPr>
        <w:widowControl w:val="0"/>
        <w:autoSpaceDE w:val="0"/>
        <w:autoSpaceDN w:val="0"/>
        <w:adjustRightInd w:val="0"/>
        <w:spacing w:after="0"/>
        <w:rPr>
          <w:rFonts w:cs="Times New Roman"/>
          <w:szCs w:val="28"/>
        </w:rPr>
      </w:pPr>
      <w:hyperlink r:id="rId43" w:history="1"/>
      <w:r>
        <w:rPr>
          <w:rFonts w:cs="Times New Roman"/>
          <w:szCs w:val="28"/>
        </w:rPr>
        <w:t xml:space="preserve"> </w:t>
      </w:r>
    </w:p>
    <w:p w:rsidR="00EC27C3" w:rsidRDefault="00EC27C3">
      <w:pPr>
        <w:widowControl w:val="0"/>
        <w:autoSpaceDE w:val="0"/>
        <w:autoSpaceDN w:val="0"/>
        <w:adjustRightInd w:val="0"/>
        <w:spacing w:after="0"/>
        <w:ind w:firstLine="540"/>
        <w:jc w:val="both"/>
        <w:outlineLvl w:val="0"/>
        <w:rPr>
          <w:rFonts w:cs="Times New Roman"/>
          <w:szCs w:val="28"/>
        </w:rPr>
      </w:pPr>
      <w:bookmarkStart w:id="6" w:name="Par25"/>
      <w:bookmarkEnd w:id="6"/>
      <w:r>
        <w:rPr>
          <w:rFonts w:cs="Times New Roman"/>
          <w:szCs w:val="28"/>
        </w:rPr>
        <w:t>Статья 24. Среднемесячное денежное содержание, из которого исчисляется размер пенсии за выслугу лет</w:t>
      </w:r>
    </w:p>
    <w:p w:rsidR="00EC27C3" w:rsidRDefault="00EC27C3">
      <w:pPr>
        <w:widowControl w:val="0"/>
        <w:autoSpaceDE w:val="0"/>
        <w:autoSpaceDN w:val="0"/>
        <w:adjustRightInd w:val="0"/>
        <w:spacing w:after="0"/>
        <w:ind w:firstLine="540"/>
        <w:jc w:val="both"/>
        <w:rPr>
          <w:rFonts w:cs="Times New Roman"/>
          <w:szCs w:val="28"/>
        </w:rPr>
      </w:pP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Размер пенсии за выслугу лет исчисляется по выбору лица, обратившегося за назначением пенсии за выслугу лет, из его среднемесячного денежного содержания за последние 12 полных месяцев гражданской службы, предшествующих дню ее прекращения либо дню достижения им возраста, дающего право на трудовую пенсию, предусмотренную Федеральным </w:t>
      </w:r>
      <w:hyperlink r:id="rId44" w:history="1">
        <w:r>
          <w:rPr>
            <w:rFonts w:cs="Times New Roman"/>
            <w:color w:val="0000FF"/>
            <w:szCs w:val="28"/>
          </w:rPr>
          <w:t>законом</w:t>
        </w:r>
      </w:hyperlink>
      <w:r>
        <w:rPr>
          <w:rFonts w:cs="Times New Roman"/>
          <w:szCs w:val="28"/>
        </w:rPr>
        <w:t xml:space="preserve"> "О трудовых пенсиях в Российской Федерации".</w:t>
      </w:r>
      <w:proofErr w:type="gramEnd"/>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Размер среднемесячного денежного содержания, исходя из которого </w:t>
      </w:r>
      <w:r>
        <w:rPr>
          <w:rFonts w:cs="Times New Roman"/>
          <w:szCs w:val="28"/>
        </w:rPr>
        <w:lastRenderedPageBreak/>
        <w:t>гражданину исчисляется пенсия за выслугу лет, не может превышать 2,8 должностного оклада по замещавшейся должности гражданской службы, на который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 либо 2,8 должностного оклада, сохраненного по прежней замещавшейся должности гражданской службы, на который</w:t>
      </w:r>
      <w:proofErr w:type="gramEnd"/>
      <w:r>
        <w:rPr>
          <w:rFonts w:cs="Times New Roman"/>
          <w:szCs w:val="28"/>
        </w:rPr>
        <w:t xml:space="preserve">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w:t>
      </w: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3. Пенсии за выслугу лет индексируются при увеличении (индексации) размеров окладов денежного содержания по должностям гражданской службы в соответствии с законом Приморского края о краевом бюджете на соответствующий год с учетом уровня инфляции (потребительских цен) на индекс увеличения оклада денежного содержания в порядке, установленном Губернатором Приморского края.</w:t>
      </w:r>
    </w:p>
    <w:p w:rsidR="00EC27C3" w:rsidRDefault="00EC27C3">
      <w:pPr>
        <w:widowControl w:val="0"/>
        <w:autoSpaceDE w:val="0"/>
        <w:autoSpaceDN w:val="0"/>
        <w:adjustRightInd w:val="0"/>
        <w:spacing w:after="0"/>
        <w:ind w:firstLine="540"/>
        <w:jc w:val="both"/>
        <w:rPr>
          <w:rFonts w:cs="Times New Roman"/>
          <w:szCs w:val="28"/>
        </w:rPr>
      </w:pPr>
    </w:p>
    <w:p w:rsidR="00EC27C3" w:rsidRDefault="00EC27C3">
      <w:pPr>
        <w:widowControl w:val="0"/>
        <w:autoSpaceDE w:val="0"/>
        <w:autoSpaceDN w:val="0"/>
        <w:adjustRightInd w:val="0"/>
        <w:spacing w:after="0"/>
        <w:ind w:firstLine="540"/>
        <w:jc w:val="both"/>
        <w:outlineLvl w:val="0"/>
        <w:rPr>
          <w:rFonts w:cs="Times New Roman"/>
          <w:szCs w:val="28"/>
        </w:rPr>
      </w:pPr>
      <w:r>
        <w:rPr>
          <w:rFonts w:cs="Times New Roman"/>
          <w:szCs w:val="28"/>
        </w:rPr>
        <w:t>Статья 25. Перерасчет размера пенсий за выслугу лет</w:t>
      </w:r>
    </w:p>
    <w:p w:rsidR="00EC27C3" w:rsidRDefault="00EC27C3">
      <w:pPr>
        <w:widowControl w:val="0"/>
        <w:autoSpaceDE w:val="0"/>
        <w:autoSpaceDN w:val="0"/>
        <w:adjustRightInd w:val="0"/>
        <w:spacing w:after="0"/>
        <w:ind w:firstLine="540"/>
        <w:jc w:val="both"/>
        <w:rPr>
          <w:rFonts w:cs="Times New Roman"/>
          <w:szCs w:val="28"/>
        </w:rPr>
      </w:pPr>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Перерасчет размера пенсии за выслугу лет гражданскому служащему производится в соответствии со </w:t>
      </w:r>
      <w:hyperlink w:anchor="Par20" w:history="1">
        <w:r>
          <w:rPr>
            <w:rFonts w:cs="Times New Roman"/>
            <w:color w:val="0000FF"/>
            <w:szCs w:val="28"/>
          </w:rPr>
          <w:t>статьями 23</w:t>
        </w:r>
      </w:hyperlink>
      <w:r>
        <w:rPr>
          <w:rFonts w:cs="Times New Roman"/>
          <w:szCs w:val="28"/>
        </w:rPr>
        <w:t xml:space="preserve">, </w:t>
      </w:r>
      <w:hyperlink w:anchor="Par25" w:history="1">
        <w:r>
          <w:rPr>
            <w:rFonts w:cs="Times New Roman"/>
            <w:color w:val="0000FF"/>
            <w:szCs w:val="28"/>
          </w:rPr>
          <w:t>24</w:t>
        </w:r>
      </w:hyperlink>
      <w:r>
        <w:rPr>
          <w:rFonts w:cs="Times New Roman"/>
          <w:szCs w:val="28"/>
        </w:rPr>
        <w:t xml:space="preserve"> настоящего Закона в случае последующего после назначения пенсии за выслугу лет увеличения продолжительности стажа гражданской службы, с учетом которого определяется размер пенсии за выслугу лет, и (или) замещения должностей гражданской службы не менее 12 полных месяцев с более высоким должностным окладом.</w:t>
      </w:r>
      <w:proofErr w:type="gramEnd"/>
    </w:p>
    <w:p w:rsidR="00EC27C3" w:rsidRDefault="00EC27C3">
      <w:pPr>
        <w:widowControl w:val="0"/>
        <w:autoSpaceDE w:val="0"/>
        <w:autoSpaceDN w:val="0"/>
        <w:adjustRightInd w:val="0"/>
        <w:spacing w:after="0"/>
        <w:ind w:firstLine="540"/>
        <w:jc w:val="both"/>
        <w:rPr>
          <w:rFonts w:cs="Times New Roman"/>
          <w:szCs w:val="28"/>
        </w:rPr>
      </w:pPr>
      <w:r>
        <w:rPr>
          <w:rFonts w:cs="Times New Roman"/>
          <w:szCs w:val="28"/>
        </w:rPr>
        <w:t xml:space="preserve">2. При назначении гражданскому служащему трудовой пенсии по старости (инвалидности) пенсия за выслугу лет, назначенная согласно </w:t>
      </w:r>
      <w:hyperlink w:anchor="Par12" w:history="1">
        <w:r>
          <w:rPr>
            <w:rFonts w:cs="Times New Roman"/>
            <w:color w:val="0000FF"/>
            <w:szCs w:val="28"/>
          </w:rPr>
          <w:t>части 2 статьи 22</w:t>
        </w:r>
      </w:hyperlink>
      <w:r>
        <w:rPr>
          <w:rFonts w:cs="Times New Roman"/>
          <w:szCs w:val="28"/>
        </w:rPr>
        <w:t xml:space="preserve"> настоящего Закона, подлежит перерасчету с учетом назначенной ему трудовой пенсии по старости (инвалидности) в соответствии со </w:t>
      </w:r>
      <w:hyperlink w:anchor="Par20" w:history="1">
        <w:r>
          <w:rPr>
            <w:rFonts w:cs="Times New Roman"/>
            <w:color w:val="0000FF"/>
            <w:szCs w:val="28"/>
          </w:rPr>
          <w:t>статьей 23</w:t>
        </w:r>
      </w:hyperlink>
      <w:r>
        <w:rPr>
          <w:rFonts w:cs="Times New Roman"/>
          <w:szCs w:val="28"/>
        </w:rPr>
        <w:t xml:space="preserve"> настоящего Закона.</w:t>
      </w:r>
    </w:p>
    <w:p w:rsidR="00EC27C3" w:rsidRDefault="00EC27C3">
      <w:pPr>
        <w:widowControl w:val="0"/>
        <w:autoSpaceDE w:val="0"/>
        <w:autoSpaceDN w:val="0"/>
        <w:adjustRightInd w:val="0"/>
        <w:spacing w:after="0"/>
        <w:rPr>
          <w:rFonts w:cs="Times New Roman"/>
          <w:szCs w:val="28"/>
        </w:rPr>
      </w:pPr>
      <w:hyperlink r:id="rId45" w:history="1"/>
      <w:r>
        <w:rPr>
          <w:rFonts w:cs="Times New Roman"/>
          <w:szCs w:val="28"/>
        </w:rPr>
        <w:t xml:space="preserve"> </w:t>
      </w:r>
      <w:bookmarkStart w:id="7" w:name="_GoBack"/>
      <w:bookmarkEnd w:id="7"/>
    </w:p>
    <w:p w:rsidR="00F40E4E" w:rsidRDefault="00F40E4E"/>
    <w:sectPr w:rsidR="00F40E4E" w:rsidSect="00A010F0">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7C3"/>
    <w:rsid w:val="00655E4C"/>
    <w:rsid w:val="00EC27C3"/>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4397D99C4D4EBBF5647EAFAC128DCB0CF5858C393B923BFDC04B644B418EF2F43D8C8AFE56718AD6ZEF" TargetMode="External"/><Relationship Id="rId13" Type="http://schemas.openxmlformats.org/officeDocument/2006/relationships/hyperlink" Target="consultantplus://offline/ref=D64397D99C4D4EBBF5647EAFAC128DCB0CF5858C393B923BFDC04B644B418EF2F43D8C8AFE56768DD6Z8F" TargetMode="External"/><Relationship Id="rId18" Type="http://schemas.openxmlformats.org/officeDocument/2006/relationships/hyperlink" Target="consultantplus://offline/ref=D64397D99C4D4EBBF5647EAFAC128DCB0CF5858C393B923BFDC04B644B418EF2F43D8C8AFE567189D6ZAF" TargetMode="External"/><Relationship Id="rId26" Type="http://schemas.openxmlformats.org/officeDocument/2006/relationships/hyperlink" Target="consultantplus://offline/ref=D64397D99C4D4EBBF5647EAFAC128DCB0CF5858C393B923BFDC04B644B418EF2F43D8C8AFE567A8AD6Z8F" TargetMode="External"/><Relationship Id="rId39" Type="http://schemas.openxmlformats.org/officeDocument/2006/relationships/hyperlink" Target="consultantplus://offline/ref=D64397D99C4D4EBBF5647EAFAC128DCB0CF682873D39923BFDC04B644BD4Z1F" TargetMode="External"/><Relationship Id="rId3" Type="http://schemas.openxmlformats.org/officeDocument/2006/relationships/settings" Target="settings.xml"/><Relationship Id="rId21" Type="http://schemas.openxmlformats.org/officeDocument/2006/relationships/hyperlink" Target="consultantplus://offline/ref=D64397D99C4D4EBBF5647EAFAC128DCB0CF5858C393B923BFDC04B644B418EF2F43D8C8ADFZAF" TargetMode="External"/><Relationship Id="rId34" Type="http://schemas.openxmlformats.org/officeDocument/2006/relationships/hyperlink" Target="consultantplus://offline/ref=D64397D99C4D4EBBF5647EAFAC128DCB0CF5858C393B923BFDC04B644B418EF2F43D8C8AFE567A8AD6ZFF" TargetMode="External"/><Relationship Id="rId42" Type="http://schemas.openxmlformats.org/officeDocument/2006/relationships/hyperlink" Target="consultantplus://offline/ref=D64397D99C4D4EBBF5647EAFAC128DCB0CF682873D39923BFDC04B644BD4Z1F" TargetMode="External"/><Relationship Id="rId47" Type="http://schemas.openxmlformats.org/officeDocument/2006/relationships/theme" Target="theme/theme1.xml"/><Relationship Id="rId7" Type="http://schemas.openxmlformats.org/officeDocument/2006/relationships/hyperlink" Target="consultantplus://offline/ref=D64397D99C4D4EBBF5647EAFAC128DCB0CF5858C393B923BFDC04B644B418EF2F43D8C8AFE56718AD6ZCF" TargetMode="External"/><Relationship Id="rId12" Type="http://schemas.openxmlformats.org/officeDocument/2006/relationships/hyperlink" Target="consultantplus://offline/ref=D64397D99C4D4EBBF5647EAFAC128DCB0CF5858C393B923BFDC04B644B418EF2F43D8C8AFE56768DD6ZEF" TargetMode="External"/><Relationship Id="rId17" Type="http://schemas.openxmlformats.org/officeDocument/2006/relationships/hyperlink" Target="consultantplus://offline/ref=D64397D99C4D4EBBF5647EAFAC128DCB0CF5858C393B923BFDC04B644B418EF2F43D8C8AFE567189D6Z9F" TargetMode="External"/><Relationship Id="rId25" Type="http://schemas.openxmlformats.org/officeDocument/2006/relationships/hyperlink" Target="consultantplus://offline/ref=D64397D99C4D4EBBF5647EAFAC128DCB0CF5858C393B923BFDC04B644B418EF2F43D8C8AFE567184D6Z5F" TargetMode="External"/><Relationship Id="rId33" Type="http://schemas.openxmlformats.org/officeDocument/2006/relationships/hyperlink" Target="consultantplus://offline/ref=D64397D99C4D4EBBF5647EAFAC128DCB0CF682873D39923BFDC04B644BD4Z1F" TargetMode="External"/><Relationship Id="rId38" Type="http://schemas.openxmlformats.org/officeDocument/2006/relationships/hyperlink" Target="consultantplus://offline/ref=D64397D99C4D4EBBF5647EAFAC128DCB0CF682873D39923BFDC04B644BD4Z1F"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64397D99C4D4EBBF5647EAFAC128DCB0CF5858C393B923BFDC04B644B418EF2F43D8C8AFE567189D6Z8F" TargetMode="External"/><Relationship Id="rId20" Type="http://schemas.openxmlformats.org/officeDocument/2006/relationships/hyperlink" Target="consultantplus://offline/ref=D64397D99C4D4EBBF5647EAFAC128DCB0CF5858C393B923BFDC04B644B418EF2F43D8C8AFE567185D6ZCF" TargetMode="External"/><Relationship Id="rId29" Type="http://schemas.openxmlformats.org/officeDocument/2006/relationships/hyperlink" Target="consultantplus://offline/ref=D64397D99C4D4EBBF5647EAFAC128DCB0CF5858C393B923BFDC04B644B418EF2F43D8C8AFE56768DD6Z8F" TargetMode="External"/><Relationship Id="rId41" Type="http://schemas.openxmlformats.org/officeDocument/2006/relationships/hyperlink" Target="consultantplus://offline/ref=D64397D99C4D4EBBF5647EAFAC128DCB0CF682873D39923BFDC04B644B418EF2F43D8C8CFCD5Z4F" TargetMode="External"/><Relationship Id="rId1" Type="http://schemas.openxmlformats.org/officeDocument/2006/relationships/styles" Target="styles.xml"/><Relationship Id="rId6" Type="http://schemas.openxmlformats.org/officeDocument/2006/relationships/hyperlink" Target="consultantplus://offline/ref=D64397D99C4D4EBBF5647EAFAC128DCB0CF5858C393B923BFDC04B644B418EF2F43D8C8AFE567189D6ZAF" TargetMode="External"/><Relationship Id="rId11" Type="http://schemas.openxmlformats.org/officeDocument/2006/relationships/hyperlink" Target="consultantplus://offline/ref=D64397D99C4D4EBBF5647EAFAC128DCB0CF5858C393B923BFDC04B644B418EF2F43D8C8AFE567A8AD6Z9F" TargetMode="External"/><Relationship Id="rId24" Type="http://schemas.openxmlformats.org/officeDocument/2006/relationships/hyperlink" Target="consultantplus://offline/ref=D64397D99C4D4EBBF5647EAFAC128DCB0CF5858C393B923BFDC04B644B418EF2F43D8C8AFE56718AD6ZEF" TargetMode="External"/><Relationship Id="rId32" Type="http://schemas.openxmlformats.org/officeDocument/2006/relationships/hyperlink" Target="consultantplus://offline/ref=D64397D99C4D4EBBF5647EAFAC128DCB0CF5858C393B923BFDC04B644B418EF2F43D8C8AFE567189D6ZAF" TargetMode="External"/><Relationship Id="rId37" Type="http://schemas.openxmlformats.org/officeDocument/2006/relationships/hyperlink" Target="consultantplus://offline/ref=D64397D99C4D4EBBF56460A2BA7ED3C40DF8DA833A319A6AA39F10391C4884A5B372D5C8BA5B738C6C2AF5DEZ2F" TargetMode="External"/><Relationship Id="rId40" Type="http://schemas.openxmlformats.org/officeDocument/2006/relationships/hyperlink" Target="consultantplus://offline/ref=D64397D99C4D4EBBF5647EAFAC128DCB0CF682873D39923BFDC04B644B418EF2F43D8C8AFE56708DD6ZAF" TargetMode="External"/><Relationship Id="rId45" Type="http://schemas.openxmlformats.org/officeDocument/2006/relationships/hyperlink" Target="consultantplus://offline/ref=D64397D99C4D4EBBF56460A2BA7ED3C40DF8DA833A319A6AA39F10391C4884A5B372D5C8BA5B738C6C2AF4DEZ5F" TargetMode="External"/><Relationship Id="rId5" Type="http://schemas.openxmlformats.org/officeDocument/2006/relationships/hyperlink" Target="consultantplus://offline/ref=D64397D99C4D4EBBF5647EAFAC128DCB0CF5858C393B923BFDC04B644B418EF2F43D8C8AFE567189D6Z8F" TargetMode="External"/><Relationship Id="rId15" Type="http://schemas.openxmlformats.org/officeDocument/2006/relationships/hyperlink" Target="consultantplus://offline/ref=D64397D99C4D4EBBF5647EAFAC128DCB0CF5858C393B923BFDC04B644B418EF2F43D8C8ADFZAF" TargetMode="External"/><Relationship Id="rId23" Type="http://schemas.openxmlformats.org/officeDocument/2006/relationships/hyperlink" Target="consultantplus://offline/ref=D64397D99C4D4EBBF5647EAFAC128DCB0CF5858C393B923BFDC04B644B418EF2F43D8C8AFE56718AD6ZDF" TargetMode="External"/><Relationship Id="rId28" Type="http://schemas.openxmlformats.org/officeDocument/2006/relationships/hyperlink" Target="consultantplus://offline/ref=D64397D99C4D4EBBF5647EAFAC128DCB0CF5858C393B923BFDC04B644B418EF2F43D8C8AFE56768DD6ZEF" TargetMode="External"/><Relationship Id="rId36" Type="http://schemas.openxmlformats.org/officeDocument/2006/relationships/hyperlink" Target="consultantplus://offline/ref=D64397D99C4D4EBBF5647EAFAC128DCB0CF780883F3F923BFDC04B644BD4Z1F" TargetMode="External"/><Relationship Id="rId10" Type="http://schemas.openxmlformats.org/officeDocument/2006/relationships/hyperlink" Target="consultantplus://offline/ref=D64397D99C4D4EBBF5647EAFAC128DCB0CF5858C393B923BFDC04B644B418EF2F43D8C8AFE567A8AD6Z8F" TargetMode="External"/><Relationship Id="rId19" Type="http://schemas.openxmlformats.org/officeDocument/2006/relationships/hyperlink" Target="consultantplus://offline/ref=D64397D99C4D4EBBF5647EAFAC128DCB0CF5858C393B923BFDC04B644B418EF2F43D8C8AFE56718AD6ZCF" TargetMode="External"/><Relationship Id="rId31" Type="http://schemas.openxmlformats.org/officeDocument/2006/relationships/hyperlink" Target="consultantplus://offline/ref=D64397D99C4D4EBBF5647EAFAC128DCB0CF5858C393B923BFDC04B644B418EF2F43D8C8AFE56768DD6Z5F" TargetMode="External"/><Relationship Id="rId44" Type="http://schemas.openxmlformats.org/officeDocument/2006/relationships/hyperlink" Target="consultantplus://offline/ref=D64397D99C4D4EBBF5647EAFAC128DCB0CF682873D39923BFDC04B644BD4Z1F" TargetMode="External"/><Relationship Id="rId4" Type="http://schemas.openxmlformats.org/officeDocument/2006/relationships/webSettings" Target="webSettings.xml"/><Relationship Id="rId9" Type="http://schemas.openxmlformats.org/officeDocument/2006/relationships/hyperlink" Target="consultantplus://offline/ref=D64397D99C4D4EBBF5647EAFAC128DCB0CF5858C393B923BFDC04B644B418EF2F43D8C8AFE567184D6Z4F" TargetMode="External"/><Relationship Id="rId14" Type="http://schemas.openxmlformats.org/officeDocument/2006/relationships/hyperlink" Target="consultantplus://offline/ref=D64397D99C4D4EBBF5647EAFAC128DCB0CF5858C393B923BFDC04B644B418EF2F43D8C8AFE56768DD6Z4F" TargetMode="External"/><Relationship Id="rId22" Type="http://schemas.openxmlformats.org/officeDocument/2006/relationships/hyperlink" Target="consultantplus://offline/ref=D64397D99C4D4EBBF5647EAFAC128DCB0CF5858C393B923BFDC04B644B418EF2F43D8C8AFE567189D6Z9F" TargetMode="External"/><Relationship Id="rId27" Type="http://schemas.openxmlformats.org/officeDocument/2006/relationships/hyperlink" Target="consultantplus://offline/ref=D64397D99C4D4EBBF5647EAFAC128DCB0CF5858C393B923BFDC04B644B418EF2F43D8C8AFE567A8AD6Z9F" TargetMode="External"/><Relationship Id="rId30" Type="http://schemas.openxmlformats.org/officeDocument/2006/relationships/hyperlink" Target="consultantplus://offline/ref=D64397D99C4D4EBBF5647EAFAC128DCB0CF5858C393B923BFDC04B644B418EF2F43D8C8AFE56768DD6Z4F" TargetMode="External"/><Relationship Id="rId35" Type="http://schemas.openxmlformats.org/officeDocument/2006/relationships/hyperlink" Target="consultantplus://offline/ref=D64397D99C4D4EBBF5647EAFAC128DCB0CF780883F3F923BFDC04B644BD4Z1F" TargetMode="External"/><Relationship Id="rId43" Type="http://schemas.openxmlformats.org/officeDocument/2006/relationships/hyperlink" Target="consultantplus://offline/ref=D64397D99C4D4EBBF56460A2BA7ED3C40DF8DA833A319A6AA39F10391C4884A5B372D5C8BA5B738C6C2AF4DEZ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2253</Words>
  <Characters>12846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2014-08-20T05:25:00Z</dcterms:created>
  <dcterms:modified xsi:type="dcterms:W3CDTF">2014-08-20T05:27:00Z</dcterms:modified>
</cp:coreProperties>
</file>