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022" w:rsidRDefault="00971022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22 июля 2003 года N 62-КЗ</w:t>
      </w:r>
      <w:r>
        <w:rPr>
          <w:rFonts w:cs="Times New Roman"/>
          <w:szCs w:val="28"/>
        </w:rPr>
        <w:br/>
      </w:r>
    </w:p>
    <w:p w:rsidR="00971022" w:rsidRDefault="0097102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971022" w:rsidRDefault="009710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971022" w:rsidRDefault="00971022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ИЗБИРАТЕЛЬНЫЙ КОДЕКС</w:t>
      </w:r>
    </w:p>
    <w:p w:rsidR="00971022" w:rsidRDefault="00971022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971022" w:rsidRDefault="00971022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5" w:history="1">
        <w:r>
          <w:rPr>
            <w:rFonts w:cs="Times New Roman"/>
            <w:i/>
            <w:iCs/>
            <w:color w:val="0000FF"/>
            <w:szCs w:val="28"/>
          </w:rPr>
          <w:br/>
          <w:t>Избирательный кодекс Приморского края от 22.07.2003 N 62-КЗ (принят Законодательным Собранием Приморского края 25.06.2003) (ред. от 03.12.2013)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971022" w:rsidRDefault="0097102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2"/>
        <w:rPr>
          <w:rFonts w:cs="Times New Roman"/>
          <w:szCs w:val="28"/>
        </w:rPr>
      </w:pPr>
      <w:r>
        <w:rPr>
          <w:rFonts w:cs="Times New Roman"/>
          <w:szCs w:val="28"/>
        </w:rPr>
        <w:t>Статья 69. Помещение для голосования</w:t>
      </w:r>
    </w:p>
    <w:p w:rsidR="00971022" w:rsidRDefault="009710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9. В помещении для голосования размещаются стационарные ящики для голосования. В качестве стационарных ящиков могут использоваться также технические средства подсчета голосов, в том числе программно-технические комплексы обработки избирательных бюллетеней. При проведении электронного голосования используются комплексы для электронного голосования.</w:t>
      </w:r>
    </w:p>
    <w:p w:rsidR="00971022" w:rsidRDefault="00971022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6" w:history="1">
        <w:r>
          <w:rPr>
            <w:rFonts w:cs="Times New Roman"/>
            <w:i/>
            <w:iCs/>
            <w:color w:val="0000FF"/>
            <w:szCs w:val="28"/>
          </w:rPr>
          <w:br/>
        </w:r>
        <w:proofErr w:type="gramStart"/>
        <w:r>
          <w:rPr>
            <w:rFonts w:cs="Times New Roman"/>
            <w:i/>
            <w:iCs/>
            <w:color w:val="0000FF"/>
            <w:szCs w:val="28"/>
          </w:rPr>
          <w:t>с</w:t>
        </w:r>
        <w:proofErr w:type="gramEnd"/>
        <w:r>
          <w:rPr>
            <w:rFonts w:cs="Times New Roman"/>
            <w:i/>
            <w:iCs/>
            <w:color w:val="0000FF"/>
            <w:szCs w:val="28"/>
          </w:rPr>
          <w:t>т. 69, Избирательный кодекс Приморского края от 22.07.2003 N 62-КЗ (принят Законодательным Собранием Приморского края 25.06.2003) (ред. от 03.12.2013)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971022" w:rsidRDefault="0097102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2"/>
        <w:rPr>
          <w:rFonts w:cs="Times New Roman"/>
          <w:szCs w:val="28"/>
        </w:rPr>
      </w:pPr>
      <w:r>
        <w:rPr>
          <w:rFonts w:cs="Times New Roman"/>
          <w:szCs w:val="28"/>
        </w:rPr>
        <w:t>Статья 74. Порядок голосования избирателей вне помещения для голосования</w:t>
      </w:r>
    </w:p>
    <w:p w:rsidR="00971022" w:rsidRDefault="009710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Участковая избирательная комиссия должна располагать необходимым количеством переносных ящиков для голосования вне помещения для голосования. Количество таких ящиков определяется решением непосредственно вышестоящей избирательной комиссии, а если при проведении выборов в органы местного самоуправления территория единого избирательного округа совпадает с территорией избирательного участка - решением участковой избирательной комиссии. В случае совмещения дней голосования на выборах разных уровней решение принимается избирательной комиссией, участвующей в подготовке и проведении выборов более высокого уровня. </w:t>
      </w:r>
      <w:proofErr w:type="gramStart"/>
      <w:r>
        <w:rPr>
          <w:rFonts w:cs="Times New Roman"/>
          <w:szCs w:val="28"/>
        </w:rPr>
        <w:t>При этом максимальное количество используемых в день голосования переносных ящиков для голосования вне помещения для голосования</w:t>
      </w:r>
      <w:proofErr w:type="gramEnd"/>
      <w:r>
        <w:rPr>
          <w:rFonts w:cs="Times New Roman"/>
          <w:szCs w:val="28"/>
        </w:rPr>
        <w:t xml:space="preserve"> на одном избирательном участке в зависимости от числа избирателей, зарегистрированных на территории избирательного участка, составляет:</w:t>
      </w:r>
    </w:p>
    <w:p w:rsidR="00971022" w:rsidRDefault="00971022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7" w:history="1">
        <w:r>
          <w:rPr>
            <w:rFonts w:cs="Times New Roman"/>
            <w:i/>
            <w:iCs/>
            <w:color w:val="0000FF"/>
            <w:szCs w:val="28"/>
          </w:rPr>
          <w:br/>
          <w:t>ст. 74, Избирательный кодекс Приморского края от 22.07.2003 N 62-КЗ (принят Законодательным Собранием Приморского края 25.06.2003) (ред. от 03.12.2013)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F40E4E" w:rsidRDefault="00F40E4E">
      <w:bookmarkStart w:id="0" w:name="_GoBack"/>
      <w:bookmarkEnd w:id="0"/>
    </w:p>
    <w:sectPr w:rsidR="00F40E4E" w:rsidSect="00ED4A10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022"/>
    <w:rsid w:val="00655E4C"/>
    <w:rsid w:val="00971022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CE4598C5ECAF9D9D52753DF5DBEB13507CE81FFF2AED8397159194EAB15FF2CCAE9BB22205D51D836B7F8I0VB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E4598C5ECAF9D9D52753DF5DBEB13507CE81FFF2AED8397159194EAB15FF2CCAE9BB22205D51D837BEFAI0V8A" TargetMode="External"/><Relationship Id="rId5" Type="http://schemas.openxmlformats.org/officeDocument/2006/relationships/hyperlink" Target="consultantplus://offline/ref=3CE4598C5ECAF9D9D52753DF5DBEB13507CE81FFF2AED8397159194EAB15FF2CCAE9BB22205D51D835B7FAI0V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2014-01-15T00:21:00Z</dcterms:created>
  <dcterms:modified xsi:type="dcterms:W3CDTF">2014-01-15T00:22:00Z</dcterms:modified>
</cp:coreProperties>
</file>