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86E" w:rsidRDefault="00D7786E">
      <w:pPr>
        <w:widowControl w:val="0"/>
        <w:autoSpaceDE w:val="0"/>
        <w:autoSpaceDN w:val="0"/>
        <w:adjustRightInd w:val="0"/>
        <w:spacing w:after="0"/>
        <w:outlineLvl w:val="0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Cs w:val="28"/>
        </w:rPr>
      </w:pPr>
      <w:bookmarkStart w:id="0" w:name="Par1"/>
      <w:bookmarkEnd w:id="0"/>
      <w:r>
        <w:rPr>
          <w:rFonts w:cs="Times New Roman"/>
          <w:szCs w:val="28"/>
        </w:rPr>
        <w:t>19 декабря 2013 года N 332-КЗ</w:t>
      </w:r>
      <w:r>
        <w:rPr>
          <w:rFonts w:cs="Times New Roman"/>
          <w:szCs w:val="28"/>
        </w:rPr>
        <w:br/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РЕГУЛИРОВАНИИ ОТНОШЕНИЙ В СФЕРЕ ОБОРОТА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ДРЕВЕСИНЫ НА ТЕРРИТОРИИ ПРИМОРСКОГО КРАЯ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Принят</w:t>
      </w:r>
      <w:proofErr w:type="gramEnd"/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Законодательным Собранием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19 декабря 2013 года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" w:name="Par15"/>
      <w:bookmarkEnd w:id="1"/>
      <w:r>
        <w:rPr>
          <w:rFonts w:cs="Times New Roman"/>
          <w:szCs w:val="28"/>
        </w:rPr>
        <w:t>Статья 1. Предмет правового регулирования настоящего закона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Настоящий Закон определяет порядок организации деятельности на пунктах приема, хранения, переработки и отгрузки древесины (далее - пункт приема древесины), устанавливает систему учета оборота древесины и правила приема, учета и перевозки древесины, заготовленной на территории Приморского края, в целях недопущения незаконного лесопользования и охраны окружающей среды. Действие настоящего Закона не распространяется на правоотношения, возникающие при заготовке древесины гражданами для собственных нужд.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2" w:name="Par19"/>
      <w:bookmarkEnd w:id="2"/>
      <w:r>
        <w:rPr>
          <w:rFonts w:cs="Times New Roman"/>
          <w:szCs w:val="28"/>
        </w:rPr>
        <w:t>Статья 2. Основные понятия, используемые в настоящем законе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 целях настоящего Закона используются следующие основные понятия: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</w:t>
      </w:r>
      <w:hyperlink w:anchor="Par202" w:history="1">
        <w:r>
          <w:rPr>
            <w:rFonts w:cs="Times New Roman"/>
            <w:color w:val="0000FF"/>
            <w:szCs w:val="28"/>
          </w:rPr>
          <w:t>декларация</w:t>
        </w:r>
      </w:hyperlink>
      <w:r>
        <w:rPr>
          <w:rFonts w:cs="Times New Roman"/>
          <w:szCs w:val="28"/>
        </w:rPr>
        <w:t xml:space="preserve"> об обороте древесины - документ установленной настоящим Законом формы, содержащий сведения о месте происхождения древесины, ее количественных и качественных характеристиках, а также о лице, которому предоставлено право заготовки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древесина - круглые лесоматериалы и продукция переработки круглых лесоматериалов;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место заготовки древесины - участок леса, отведенный для всех видов рубок согласно технологической карте разработки лесосеки;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оборот древесины - перевозка, хранение, переработка и отгрузка древесины на территории Приморского края;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отгрузка древесины - действия, направленные на вывоз древесины с пункта приема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6) партия древесины - количество древесины, перевозимой на одном транспортном средстве на пункт приема древесины, внесенный в реестр пунктов приема древесины органом исполнительной власти Приморского края, осуществляющим государственное управление в области лесных отношений (далее - уполномоченный орган);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7) перевозка древесины - действия, направленные на перемещение заготовленной древесины от места заготовки древесины до пункта приема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8) перевозчик древесины - лицо, осуществляющее перевозку на транспортном средстве собственной древесины либо древесины, принадлежащей иным лицам;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9) переработка древесины - предпринимательская деятельность, связанная с производством продукции из круглых лесоматериалов;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10) прием древесины - действия, направленные на принятие древесины в целях ее хранения, переработки и (или) отгрузки;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11) пункт приема древесины - место осуществления юридическим лицом или индивидуальным предпринимателем деятельности по приему, хранению, переработке и (или) отгрузке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12) региональная система учета оборота древесины - комплекс мероприятий по систематическому мониторингу и учету оборота древесины, направленный на обеспечение </w:t>
      </w:r>
      <w:proofErr w:type="gramStart"/>
      <w:r>
        <w:rPr>
          <w:rFonts w:cs="Times New Roman"/>
          <w:szCs w:val="28"/>
        </w:rPr>
        <w:t>контроля за</w:t>
      </w:r>
      <w:proofErr w:type="gramEnd"/>
      <w:r>
        <w:rPr>
          <w:rFonts w:cs="Times New Roman"/>
          <w:szCs w:val="28"/>
        </w:rPr>
        <w:t xml:space="preserve"> оборотом древесины на территории Приморского края;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13) учет древесины - совокупность действий, включающих измерение объема древесины, классификацию по породам, сортиментам, определение качественных характеристик и оформление полученных результатов.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3" w:name="Par36"/>
      <w:bookmarkEnd w:id="3"/>
      <w:r>
        <w:rPr>
          <w:rFonts w:cs="Times New Roman"/>
          <w:szCs w:val="28"/>
        </w:rPr>
        <w:t>Статья 3. Региональная система учета оборота древесины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4" w:name="Par38"/>
      <w:bookmarkEnd w:id="4"/>
      <w:r>
        <w:rPr>
          <w:rFonts w:cs="Times New Roman"/>
          <w:szCs w:val="28"/>
        </w:rPr>
        <w:t>1. Региональная система учета оборота древесины реализуется уполномоченным органом во взаимодействии с иными специально уполномоченными государственными органами в соответствии с порядком, установленным Администрацией Приморского края.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Основными задачами региональной системы учета оборота древесины являются: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1) обеспечение эффективного </w:t>
      </w:r>
      <w:proofErr w:type="gramStart"/>
      <w:r>
        <w:rPr>
          <w:rFonts w:cs="Times New Roman"/>
          <w:szCs w:val="28"/>
        </w:rPr>
        <w:t>контроля за</w:t>
      </w:r>
      <w:proofErr w:type="gramEnd"/>
      <w:r>
        <w:rPr>
          <w:rFonts w:cs="Times New Roman"/>
          <w:szCs w:val="28"/>
        </w:rPr>
        <w:t xml:space="preserve"> оборотом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противодействие незаконному обороту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содействие развитию рынка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содействие развитию инвестиционных механизмов в лесном хозяйстве и лесопромышленном комплексе Приморского края.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5" w:name="Par45"/>
      <w:bookmarkEnd w:id="5"/>
      <w:r>
        <w:rPr>
          <w:rFonts w:cs="Times New Roman"/>
          <w:szCs w:val="28"/>
        </w:rPr>
        <w:t xml:space="preserve">Статья 4. Принципы </w:t>
      </w:r>
      <w:proofErr w:type="gramStart"/>
      <w:r>
        <w:rPr>
          <w:rFonts w:cs="Times New Roman"/>
          <w:szCs w:val="28"/>
        </w:rPr>
        <w:t>функционирования региональной системы учета оборота древесины</w:t>
      </w:r>
      <w:proofErr w:type="gramEnd"/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Основными принципами </w:t>
      </w:r>
      <w:proofErr w:type="gramStart"/>
      <w:r>
        <w:rPr>
          <w:rFonts w:cs="Times New Roman"/>
          <w:szCs w:val="28"/>
        </w:rPr>
        <w:t>функционирования региональной системы учета оборота древесины</w:t>
      </w:r>
      <w:proofErr w:type="gramEnd"/>
      <w:r>
        <w:rPr>
          <w:rFonts w:cs="Times New Roman"/>
          <w:szCs w:val="28"/>
        </w:rPr>
        <w:t xml:space="preserve"> являются: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обеспечение законности оборота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открытость и доступность информации о лицах, осуществляющих оборот древесины, а также об объемах и иных качественных и количественных характеристиках древесины, поступившей в оборот;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3) участие общественных объединений в </w:t>
      </w:r>
      <w:proofErr w:type="gramStart"/>
      <w:r>
        <w:rPr>
          <w:rFonts w:cs="Times New Roman"/>
          <w:szCs w:val="28"/>
        </w:rPr>
        <w:t>контроле за</w:t>
      </w:r>
      <w:proofErr w:type="gramEnd"/>
      <w:r>
        <w:rPr>
          <w:rFonts w:cs="Times New Roman"/>
          <w:szCs w:val="28"/>
        </w:rPr>
        <w:t xml:space="preserve"> оборотом древесины.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6" w:name="Par52"/>
      <w:bookmarkEnd w:id="6"/>
      <w:r>
        <w:rPr>
          <w:rFonts w:cs="Times New Roman"/>
          <w:szCs w:val="28"/>
        </w:rPr>
        <w:t xml:space="preserve">Статья 5. Способы </w:t>
      </w:r>
      <w:proofErr w:type="gramStart"/>
      <w:r>
        <w:rPr>
          <w:rFonts w:cs="Times New Roman"/>
          <w:szCs w:val="28"/>
        </w:rPr>
        <w:t>обеспечения функционирования региональной системы учета оборота древесины</w:t>
      </w:r>
      <w:proofErr w:type="gramEnd"/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Основными способами </w:t>
      </w:r>
      <w:proofErr w:type="gramStart"/>
      <w:r>
        <w:rPr>
          <w:rFonts w:cs="Times New Roman"/>
          <w:szCs w:val="28"/>
        </w:rPr>
        <w:t>обеспечения функционирования региональной системы учета оборота древесины</w:t>
      </w:r>
      <w:proofErr w:type="gramEnd"/>
      <w:r>
        <w:rPr>
          <w:rFonts w:cs="Times New Roman"/>
          <w:szCs w:val="28"/>
        </w:rPr>
        <w:t xml:space="preserve"> являются: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декларирование оборота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учет древесины в автоматизированной информационной системе оборота древесины (далее - информационная система оборота древесины);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проверка соответствия поданных деклараций об обороте древесины, сопроводительных документов на древесину данным, содержащимся в информационной системе оборота древесины.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7" w:name="Par59"/>
      <w:bookmarkEnd w:id="7"/>
      <w:r>
        <w:rPr>
          <w:rFonts w:cs="Times New Roman"/>
          <w:szCs w:val="28"/>
        </w:rPr>
        <w:t>Статья 6. Информационная система оборота древесины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Часть 1 статьи 6 вступает в силу с 1 июля 2014 года (</w:t>
      </w:r>
      <w:hyperlink w:anchor="Par184" w:history="1">
        <w:r>
          <w:rPr>
            <w:rFonts w:cs="Times New Roman"/>
            <w:color w:val="0000FF"/>
            <w:szCs w:val="28"/>
          </w:rPr>
          <w:t>часть 2 статьи 14</w:t>
        </w:r>
      </w:hyperlink>
      <w:r>
        <w:rPr>
          <w:rFonts w:cs="Times New Roman"/>
          <w:szCs w:val="28"/>
        </w:rPr>
        <w:t xml:space="preserve"> данного документа).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8" w:name="Par64"/>
      <w:bookmarkEnd w:id="8"/>
      <w:r>
        <w:rPr>
          <w:rFonts w:cs="Times New Roman"/>
          <w:szCs w:val="28"/>
        </w:rPr>
        <w:t>1. Информационная система оборота древесины обеспечивает учет объемов заготовленной в Приморском крае и вывезенной древесины до ее обработки, переработки и изготовления из нее продукции и включает обработку, анализ и контроль достоверности внесенных в нее сведений, формирование отчетов.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9" w:name="Par65"/>
      <w:bookmarkEnd w:id="9"/>
      <w:r>
        <w:rPr>
          <w:rFonts w:cs="Times New Roman"/>
          <w:szCs w:val="28"/>
        </w:rPr>
        <w:t>2. Порядок ведения информационной системы оборота древесины устанавливается Администрацией Приморского края.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Часть 3 статьи 6 вступает в силу с 1 июля 2014 года (</w:t>
      </w:r>
      <w:hyperlink w:anchor="Par184" w:history="1">
        <w:r>
          <w:rPr>
            <w:rFonts w:cs="Times New Roman"/>
            <w:color w:val="0000FF"/>
            <w:szCs w:val="28"/>
          </w:rPr>
          <w:t>часть 2 статьи 14</w:t>
        </w:r>
      </w:hyperlink>
      <w:r>
        <w:rPr>
          <w:rFonts w:cs="Times New Roman"/>
          <w:szCs w:val="28"/>
        </w:rPr>
        <w:t xml:space="preserve"> данного документа).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10" w:name="Par69"/>
      <w:bookmarkEnd w:id="10"/>
      <w:r>
        <w:rPr>
          <w:rFonts w:cs="Times New Roman"/>
          <w:szCs w:val="28"/>
        </w:rPr>
        <w:t>3. Информационная система оборота древесины содержит следующие сведения: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о лицах, осуществляющих оборот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о договорах аренды лесных участков;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о праве безвозмездного срочного пользования лесными участками;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о договорах купли-продажи лесных насаждений;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5) о праве постоянного (бессрочного) пользования лесными участками;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6) о лесных декларациях;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7) об отчетах лиц, осуществляющих использование лесов;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8) о договорах продажи (поставки)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9) о </w:t>
      </w:r>
      <w:proofErr w:type="gramStart"/>
      <w:r>
        <w:rPr>
          <w:rFonts w:cs="Times New Roman"/>
          <w:szCs w:val="28"/>
        </w:rPr>
        <w:t>декларациях</w:t>
      </w:r>
      <w:proofErr w:type="gramEnd"/>
      <w:r>
        <w:rPr>
          <w:rFonts w:cs="Times New Roman"/>
          <w:szCs w:val="28"/>
        </w:rPr>
        <w:t xml:space="preserve"> об обороте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10) о выданных фитосанитарных и карантинных сертификатах на древесину;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11) об экспортируемой древесине;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12) об актах передачи лесных насаждений;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13) об актах осмотра мест рубок лесных насаждений.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Часть 4 статьи 6 вступает в силу с 1 июля 2014 года (</w:t>
      </w:r>
      <w:hyperlink w:anchor="Par184" w:history="1">
        <w:r>
          <w:rPr>
            <w:rFonts w:cs="Times New Roman"/>
            <w:color w:val="0000FF"/>
            <w:szCs w:val="28"/>
          </w:rPr>
          <w:t>часть 2 статьи 14</w:t>
        </w:r>
      </w:hyperlink>
      <w:r>
        <w:rPr>
          <w:rFonts w:cs="Times New Roman"/>
          <w:szCs w:val="28"/>
        </w:rPr>
        <w:t xml:space="preserve"> данного документа).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11" w:name="Par86"/>
      <w:bookmarkEnd w:id="11"/>
      <w:r>
        <w:rPr>
          <w:rFonts w:cs="Times New Roman"/>
          <w:szCs w:val="28"/>
        </w:rPr>
        <w:t xml:space="preserve">4. Функционирование информационной системы оборота древесины </w:t>
      </w:r>
      <w:r>
        <w:rPr>
          <w:rFonts w:cs="Times New Roman"/>
          <w:szCs w:val="28"/>
        </w:rPr>
        <w:lastRenderedPageBreak/>
        <w:t>обеспечивается уполномоченным органом.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Часть 5 статьи 6 вступает в силу с 1 июля 2014 года (</w:t>
      </w:r>
      <w:hyperlink w:anchor="Par184" w:history="1">
        <w:r>
          <w:rPr>
            <w:rFonts w:cs="Times New Roman"/>
            <w:color w:val="0000FF"/>
            <w:szCs w:val="28"/>
          </w:rPr>
          <w:t>часть 2 статьи 14</w:t>
        </w:r>
      </w:hyperlink>
      <w:r>
        <w:rPr>
          <w:rFonts w:cs="Times New Roman"/>
          <w:szCs w:val="28"/>
        </w:rPr>
        <w:t xml:space="preserve"> данного документа).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12" w:name="Par90"/>
      <w:bookmarkEnd w:id="12"/>
      <w:r>
        <w:rPr>
          <w:rFonts w:cs="Times New Roman"/>
          <w:szCs w:val="28"/>
        </w:rPr>
        <w:t>5. Уполномоченный орган разрабатывает: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форму запросов о предоставлении сведений из информационной системы оборота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требования к формату запросов в электронном виде и порядок направления запросов с использованием информационно-телекоммуникационной сети Интернет и иных технических сре</w:t>
      </w:r>
      <w:proofErr w:type="gramStart"/>
      <w:r>
        <w:rPr>
          <w:rFonts w:cs="Times New Roman"/>
          <w:szCs w:val="28"/>
        </w:rPr>
        <w:t>дств св</w:t>
      </w:r>
      <w:proofErr w:type="gramEnd"/>
      <w:r>
        <w:rPr>
          <w:rFonts w:cs="Times New Roman"/>
          <w:szCs w:val="28"/>
        </w:rPr>
        <w:t>язи;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порядок предоставления сведений, внесенных в информационную систему оборота древесины, посредством обеспечения доступа к информационному ресурсу, содержащему данные сведения.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13" w:name="Par94"/>
      <w:bookmarkEnd w:id="13"/>
      <w:r>
        <w:rPr>
          <w:rFonts w:cs="Times New Roman"/>
          <w:szCs w:val="28"/>
        </w:rPr>
        <w:t>6. Предоставление сведений, содержащихся в информационной системе оборота древесины, органам государственной власти, органам местного самоуправления, юридическим лицам, индивидуальным предпринимателям и гражданам осуществляется в электронной или письменной форме без взимания платы в порядке, установленном Администрацией Приморского края.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4" w:name="Par96"/>
      <w:bookmarkEnd w:id="14"/>
      <w:r>
        <w:rPr>
          <w:rFonts w:cs="Times New Roman"/>
          <w:szCs w:val="28"/>
        </w:rPr>
        <w:t>Статья 7. Декларация об обороте древесины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Часть 1 статьи 7 вступает в силу с 15 февраля 2014 года (</w:t>
      </w:r>
      <w:hyperlink w:anchor="Par185" w:history="1">
        <w:r>
          <w:rPr>
            <w:rFonts w:cs="Times New Roman"/>
            <w:color w:val="0000FF"/>
            <w:szCs w:val="28"/>
          </w:rPr>
          <w:t>часть 3 статьи 14</w:t>
        </w:r>
      </w:hyperlink>
      <w:r>
        <w:rPr>
          <w:rFonts w:cs="Times New Roman"/>
          <w:szCs w:val="28"/>
        </w:rPr>
        <w:t xml:space="preserve"> данного документа).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15" w:name="Par101"/>
      <w:bookmarkEnd w:id="15"/>
      <w:r>
        <w:rPr>
          <w:rFonts w:cs="Times New Roman"/>
          <w:szCs w:val="28"/>
        </w:rPr>
        <w:t>1. Декларация об обороте древесины выдается лицом, осуществляющим заготовку древесины, на каждую партию древесины, вывозимой с места заготовки древесины на пункт приема древесины.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Часть 2 статьи 7 вступает в силу с 15 февраля 2014 года (</w:t>
      </w:r>
      <w:hyperlink w:anchor="Par185" w:history="1">
        <w:r>
          <w:rPr>
            <w:rFonts w:cs="Times New Roman"/>
            <w:color w:val="0000FF"/>
            <w:szCs w:val="28"/>
          </w:rPr>
          <w:t>часть 3 статьи 14</w:t>
        </w:r>
      </w:hyperlink>
      <w:r>
        <w:rPr>
          <w:rFonts w:cs="Times New Roman"/>
          <w:szCs w:val="28"/>
        </w:rPr>
        <w:t xml:space="preserve"> данного документа).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16" w:name="Par105"/>
      <w:bookmarkEnd w:id="16"/>
      <w:r>
        <w:rPr>
          <w:rFonts w:cs="Times New Roman"/>
          <w:szCs w:val="28"/>
        </w:rPr>
        <w:t>2. Форма декларации об обороте древесины устанавливается приложением к настоящему Закону.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Порядок заполнения, передачи, хранения и учета деклараций об обороте древесины устанавливается Администрацией Приморского края.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Часть 4 статьи 7 вступает в силу с 15 февраля 2014 года (</w:t>
      </w:r>
      <w:hyperlink w:anchor="Par185" w:history="1">
        <w:r>
          <w:rPr>
            <w:rFonts w:cs="Times New Roman"/>
            <w:color w:val="0000FF"/>
            <w:szCs w:val="28"/>
          </w:rPr>
          <w:t>часть 3 статьи 14</w:t>
        </w:r>
      </w:hyperlink>
      <w:r>
        <w:rPr>
          <w:rFonts w:cs="Times New Roman"/>
          <w:szCs w:val="28"/>
        </w:rPr>
        <w:t xml:space="preserve"> данного документа).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17" w:name="Par110"/>
      <w:bookmarkEnd w:id="17"/>
      <w:r>
        <w:rPr>
          <w:rFonts w:cs="Times New Roman"/>
          <w:szCs w:val="28"/>
        </w:rPr>
        <w:t>4. Декларация об обороте древесины заполняется в трех экземплярах. Один экземпляр декларации об обороте древесины остается у лица, осуществляющего заготовку древесины, второй экземпляр передается на пункт приема древесины, третий экземпляр предоставляется в уполномоченный орган.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Часть 5 статьи 7 вступает в силу с 15 февраля 2014 года (</w:t>
      </w:r>
      <w:hyperlink w:anchor="Par185" w:history="1">
        <w:r>
          <w:rPr>
            <w:rFonts w:cs="Times New Roman"/>
            <w:color w:val="0000FF"/>
            <w:szCs w:val="28"/>
          </w:rPr>
          <w:t>часть 3 статьи 14</w:t>
        </w:r>
      </w:hyperlink>
      <w:r>
        <w:rPr>
          <w:rFonts w:cs="Times New Roman"/>
          <w:szCs w:val="28"/>
        </w:rPr>
        <w:t xml:space="preserve"> данного документа).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18" w:name="Par114"/>
      <w:bookmarkEnd w:id="18"/>
      <w:r>
        <w:rPr>
          <w:rFonts w:cs="Times New Roman"/>
          <w:szCs w:val="28"/>
        </w:rPr>
        <w:t xml:space="preserve">5. Уполномоченный орган, юридические лица и индивидуальные предприниматели, осуществляющие заготовку древесины и деятельность по приему, хранению, переработке и (или) отгрузке древесины, обязаны </w:t>
      </w:r>
      <w:r>
        <w:rPr>
          <w:rFonts w:cs="Times New Roman"/>
          <w:szCs w:val="28"/>
        </w:rPr>
        <w:lastRenderedPageBreak/>
        <w:t>обеспечить учет и хранение деклараций об обороте древесины.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19" w:name="Par116"/>
      <w:bookmarkEnd w:id="19"/>
      <w:r>
        <w:rPr>
          <w:rFonts w:cs="Times New Roman"/>
          <w:szCs w:val="28"/>
        </w:rPr>
        <w:t>Статья 8. Организация деятельности пунктов приема древесины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Пункты приема древесины подлежат обязательному включению уполномоченным органом в реестр пунктов приема древесины (далее - реестр) по заявлению юридического лица или индивидуального предпринимателя, осуществляющего деятельность на пункте приема древесины.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Включение пунктов приема древесины в реестр и его ведение осуществляются уполномоченным органом в порядке, установленном Администрацией Приморского края.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Уполномоченный орган обязан размещать информацию о пунктах приема древесины, включенных в реестр, на официальном сайте Администрации Приморского края в информационно-телекоммуникационной сети Интернет ежеквартально не позднее 15 числа месяца, следующего за </w:t>
      </w:r>
      <w:proofErr w:type="gramStart"/>
      <w:r>
        <w:rPr>
          <w:rFonts w:cs="Times New Roman"/>
          <w:szCs w:val="28"/>
        </w:rPr>
        <w:t>отчетным</w:t>
      </w:r>
      <w:proofErr w:type="gramEnd"/>
      <w:r>
        <w:rPr>
          <w:rFonts w:cs="Times New Roman"/>
          <w:szCs w:val="28"/>
        </w:rPr>
        <w:t>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Юридическое лицо или индивидуальный предприниматель обязаны разместить в каждом пункте приема древесины в доступном для обозрения месте следующую информацию: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наименование юридического лица, фамилию, имя, отчество индивидуального предпринимателя, идентификационный номер налогоплательщика (ИНН);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телефон, юридический адрес, а также адрес фактического месторасположения юридического лица, индивидуального предпринимателя;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документ (приказ, распоряжение руководителя юридического лица или индивидуального предпринимателя) о назначении лица, ответственного за прием древесины (далее - ответственное лицо) на пункте приема древесины, или его заверенную копию;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4) режим работы пункта приема древесины.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 В пункте приема древесины должны находиться следующие документы, необходимые для осуществления деятельности по обороту древесины: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копия выписки из реестра;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копия свидетельства о государственной регистрации юридического лица или копия свидетельства о государственной регистрации физического лица в качестве индивидуального предпринимателя;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копия документа, подтверждающего право на использование земельного участка, предоставленного для организации деятельности по обороту древесины.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 В случае</w:t>
      </w:r>
      <w:proofErr w:type="gramStart"/>
      <w:r>
        <w:rPr>
          <w:rFonts w:cs="Times New Roman"/>
          <w:szCs w:val="28"/>
        </w:rPr>
        <w:t>,</w:t>
      </w:r>
      <w:proofErr w:type="gramEnd"/>
      <w:r>
        <w:rPr>
          <w:rFonts w:cs="Times New Roman"/>
          <w:szCs w:val="28"/>
        </w:rPr>
        <w:t xml:space="preserve"> если в одном пункте приема древесины осуществляют свою деятельность несколько юридических лиц или индивидуальных предпринимателей, учет принимаемой, перерабатываемой и (или) отгружаемой древесины в соответствии с настоящим Законом ведется каждым юридическим лицом или индивидуальным предпринимателем раздельно.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7. Юридическое лицо или индивидуальный предприниматель, осуществляющие деятельность на пункте приема древесины, составляют отчет об обороте древесины по установленной форме в порядке, определенном Администрацией Приморского края.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8. Отчет об обороте древесины за предыдущий месяц предоставляется в уполномоченный орган не позднее 10-го числа месяца, следующего за </w:t>
      </w:r>
      <w:proofErr w:type="gramStart"/>
      <w:r>
        <w:rPr>
          <w:rFonts w:cs="Times New Roman"/>
          <w:szCs w:val="28"/>
        </w:rPr>
        <w:t>отчетным</w:t>
      </w:r>
      <w:proofErr w:type="gramEnd"/>
      <w:r>
        <w:rPr>
          <w:rFonts w:cs="Times New Roman"/>
          <w:szCs w:val="28"/>
        </w:rPr>
        <w:t>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20" w:name="Par134"/>
      <w:bookmarkEnd w:id="20"/>
      <w:r>
        <w:rPr>
          <w:rFonts w:cs="Times New Roman"/>
          <w:szCs w:val="28"/>
        </w:rPr>
        <w:t>Статья 9. Порядок приема и учета древесины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Прием древесины от юридических лиц и индивидуальных предпринимателей в пункте приема древесины проводится партиями при наличии декларации об обороте древесины.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Прием древесины, заготовленной гражданами для собственных нужд, в пункте приема древесины не допускается.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Прием древесины осуществляется при предъявлении лицом, сдающим древесину, следующих документов: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документа, удостоверяющего личность;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транспортной или товарно-транспортной накладной;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декларации об обороте древесины.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Принятая, переработанная и отгруженная древесина подлежит обязательному учету ответственным лицом в соответствии с настоящим Законом.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 Документами учета принятой, переработанной и отгруженной древесины являются: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 декларация об обороте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21" w:name="Par145"/>
      <w:bookmarkEnd w:id="21"/>
      <w:r>
        <w:rPr>
          <w:rFonts w:cs="Times New Roman"/>
          <w:szCs w:val="28"/>
        </w:rPr>
        <w:t>2) приемо-сдаточные акты;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журнал учета приемо-сдаточных актов;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22" w:name="Par147"/>
      <w:bookmarkEnd w:id="22"/>
      <w:r>
        <w:rPr>
          <w:rFonts w:cs="Times New Roman"/>
          <w:szCs w:val="28"/>
        </w:rPr>
        <w:t>4) журнал учета принятой, переработанной и отгруженной древесины.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Форма и содержание документов учета принятой, переработанной и отгруженной древесины, указанных в </w:t>
      </w:r>
      <w:hyperlink w:anchor="Par145" w:history="1">
        <w:r>
          <w:rPr>
            <w:rFonts w:cs="Times New Roman"/>
            <w:color w:val="0000FF"/>
            <w:szCs w:val="28"/>
          </w:rPr>
          <w:t>пунктах 2</w:t>
        </w:r>
      </w:hyperlink>
      <w:r>
        <w:rPr>
          <w:rFonts w:cs="Times New Roman"/>
          <w:szCs w:val="28"/>
        </w:rPr>
        <w:t xml:space="preserve"> - </w:t>
      </w:r>
      <w:hyperlink w:anchor="Par147" w:history="1">
        <w:r>
          <w:rPr>
            <w:rFonts w:cs="Times New Roman"/>
            <w:color w:val="0000FF"/>
            <w:szCs w:val="28"/>
          </w:rPr>
          <w:t>4 части 5</w:t>
        </w:r>
      </w:hyperlink>
      <w:r>
        <w:rPr>
          <w:rFonts w:cs="Times New Roman"/>
          <w:szCs w:val="28"/>
        </w:rPr>
        <w:t xml:space="preserve"> настоящей статьи, устанавливаются уполномоченным органом.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7. Прием каждой партии древесины в пункте приема древесины оформляется приемо-сдаточным актом с обязательной его регистрацией в журнале учета приемо-сдаточных актов.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8. Приемо-сдаточный акт составляется в двух экземплярах. Один экземпляр передается лицу, сдавшему древесину, второй экземпляр хранится у юридического лица или индивидуального предпринимателя, осуществляющего деятельность по приему, хранению, переработке и (или) отгрузке древесины.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9. Приемо-сдаточные акты являются документами строгой отчетности и должны иметь сквозную нумерацию.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10. В случаях, если древесина заготовлена за пределами Приморского края, в соответствии с действующим законодательством необходимо предъявить копию карантинного сертификата, выданного территориальным органом федеральной службы по ветеринарному и фитосанитарному надзору </w:t>
      </w:r>
      <w:r>
        <w:rPr>
          <w:rFonts w:cs="Times New Roman"/>
          <w:szCs w:val="28"/>
        </w:rPr>
        <w:lastRenderedPageBreak/>
        <w:t>того субъекта Российской Федерации, с территории которого вывозится древесина.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23" w:name="Par154"/>
      <w:bookmarkEnd w:id="23"/>
      <w:r>
        <w:rPr>
          <w:rFonts w:cs="Times New Roman"/>
          <w:szCs w:val="28"/>
        </w:rPr>
        <w:t>Статья 10. Общие требования к ведению документов учета древесины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 Записи о совершении действий по приему, хранению, переработке и (или) отгрузке древесины вносятся в журналы учета, ведение которых предусмотрено настоящим Законом, в день совершения соответствующих действий.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Документы учета принятой, переработанной и отгруженной древесины должны храниться в пункте приема древесины в течение трех лет </w:t>
      </w:r>
      <w:proofErr w:type="gramStart"/>
      <w:r>
        <w:rPr>
          <w:rFonts w:cs="Times New Roman"/>
          <w:szCs w:val="28"/>
        </w:rPr>
        <w:t>с даты внесения</w:t>
      </w:r>
      <w:proofErr w:type="gramEnd"/>
      <w:r>
        <w:rPr>
          <w:rFonts w:cs="Times New Roman"/>
          <w:szCs w:val="28"/>
        </w:rPr>
        <w:t xml:space="preserve"> в них последней записи.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Все листы документов учета принятой, переработанной и отгруженной древесины должны быть прошиты и пронумерованы. </w:t>
      </w:r>
      <w:proofErr w:type="gramStart"/>
      <w:r>
        <w:rPr>
          <w:rFonts w:cs="Times New Roman"/>
          <w:szCs w:val="28"/>
        </w:rPr>
        <w:t>На оборотной стороне последнего листа документов учета принятой, переработанной и отгруженной древесины уполномоченным органом производится запись о количестве прошитых и пронумерованных листов, которая скрепляется подписью руководителя и печатью юридического лица или подписью индивидуального предпринимателя, осуществляющего деятельность по приему, хранению, переработке и (или) отгрузке древесины, и удостоверяется подписью руководителя (заместителя руководителя) данного органа и печатью уполномоченного органа.</w:t>
      </w:r>
      <w:proofErr w:type="gramEnd"/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24" w:name="Par160"/>
      <w:bookmarkEnd w:id="24"/>
      <w:r>
        <w:rPr>
          <w:rFonts w:cs="Times New Roman"/>
          <w:szCs w:val="28"/>
        </w:rPr>
        <w:t>Статья 11. Порядок перевозки древесины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25" w:name="Par162"/>
      <w:bookmarkEnd w:id="25"/>
      <w:r>
        <w:rPr>
          <w:rFonts w:cs="Times New Roman"/>
          <w:szCs w:val="28"/>
        </w:rPr>
        <w:t>1. Перевозчики древесины обязаны иметь в наличии на каждом транспортном средстве, перевозящем древесину, следующие документы: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Пункт 1 части 1 статьи 11 вступает в силу с 15 февраля 2014 года (</w:t>
      </w:r>
      <w:hyperlink w:anchor="Par185" w:history="1">
        <w:r>
          <w:rPr>
            <w:rFonts w:cs="Times New Roman"/>
            <w:color w:val="0000FF"/>
            <w:szCs w:val="28"/>
          </w:rPr>
          <w:t>часть 3 статьи 14</w:t>
        </w:r>
      </w:hyperlink>
      <w:r>
        <w:rPr>
          <w:rFonts w:cs="Times New Roman"/>
          <w:szCs w:val="28"/>
        </w:rPr>
        <w:t xml:space="preserve"> данного документа).</w:t>
      </w: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26" w:name="Par166"/>
      <w:bookmarkEnd w:id="26"/>
      <w:r>
        <w:rPr>
          <w:rFonts w:cs="Times New Roman"/>
          <w:szCs w:val="28"/>
        </w:rPr>
        <w:t>1) декларацию об обороте древесины;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 путевой лист;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транспортную или товарно-транспортную накладную.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2. Перевозка древесины без документов, указанных в </w:t>
      </w:r>
      <w:hyperlink w:anchor="Par162" w:history="1">
        <w:r>
          <w:rPr>
            <w:rFonts w:cs="Times New Roman"/>
            <w:color w:val="0000FF"/>
            <w:szCs w:val="28"/>
          </w:rPr>
          <w:t>части 1</w:t>
        </w:r>
      </w:hyperlink>
      <w:r>
        <w:rPr>
          <w:rFonts w:cs="Times New Roman"/>
          <w:szCs w:val="28"/>
        </w:rPr>
        <w:t xml:space="preserve"> настоящей статьи, не допускается.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27" w:name="Par171"/>
      <w:bookmarkEnd w:id="27"/>
      <w:r>
        <w:rPr>
          <w:rFonts w:cs="Times New Roman"/>
          <w:szCs w:val="28"/>
        </w:rPr>
        <w:t>Статья 12. Ответственность за нарушение требований настоящего закона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Нарушение требований настоящего Закона влечет за собой ответственность, предусмотренную законодательством Приморского края.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28" w:name="Par175"/>
      <w:bookmarkEnd w:id="28"/>
      <w:r>
        <w:rPr>
          <w:rFonts w:cs="Times New Roman"/>
          <w:szCs w:val="28"/>
        </w:rPr>
        <w:t>Статья 13. Переходные положения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Юридические лица и индивидуальные предприниматели, осуществляющие на день вступления в силу настоящего Закона деятельность по приему, хранению, переработке и (или) отгрузке древесины, обязаны обратиться в уполномоченный орган в срок до 1 февраля 2014 года с </w:t>
      </w:r>
      <w:r>
        <w:rPr>
          <w:rFonts w:cs="Times New Roman"/>
          <w:szCs w:val="28"/>
        </w:rPr>
        <w:lastRenderedPageBreak/>
        <w:t>заявлением о включении пунктов приема древесины в реестр.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Вновь созданные пункты приема древесины начинают свою деятельность по приему древесины после обязательного включения их в реестр уполномоченным органом.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В целях реализации настоящего Закона Администрация Приморского края принимает соответствующие нормативные правовые акты, указанные в </w:t>
      </w:r>
      <w:hyperlink w:anchor="Par38" w:history="1">
        <w:r>
          <w:rPr>
            <w:rFonts w:cs="Times New Roman"/>
            <w:color w:val="0000FF"/>
            <w:szCs w:val="28"/>
          </w:rPr>
          <w:t>части 1 статьи 3</w:t>
        </w:r>
      </w:hyperlink>
      <w:r>
        <w:rPr>
          <w:rFonts w:cs="Times New Roman"/>
          <w:szCs w:val="28"/>
        </w:rPr>
        <w:t xml:space="preserve">, </w:t>
      </w:r>
      <w:hyperlink w:anchor="Par65" w:history="1">
        <w:r>
          <w:rPr>
            <w:rFonts w:cs="Times New Roman"/>
            <w:color w:val="0000FF"/>
            <w:szCs w:val="28"/>
          </w:rPr>
          <w:t>частях 2</w:t>
        </w:r>
      </w:hyperlink>
      <w:r>
        <w:rPr>
          <w:rFonts w:cs="Times New Roman"/>
          <w:szCs w:val="28"/>
        </w:rPr>
        <w:t xml:space="preserve">, </w:t>
      </w:r>
      <w:hyperlink w:anchor="Par94" w:history="1">
        <w:r>
          <w:rPr>
            <w:rFonts w:cs="Times New Roman"/>
            <w:color w:val="0000FF"/>
            <w:szCs w:val="28"/>
          </w:rPr>
          <w:t>6 статьи 6</w:t>
        </w:r>
      </w:hyperlink>
      <w:r>
        <w:rPr>
          <w:rFonts w:cs="Times New Roman"/>
          <w:szCs w:val="28"/>
        </w:rPr>
        <w:t xml:space="preserve"> настоящего Закона, в течение шести месяцев со дня вступления в силу настоящего Закона.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bookmarkStart w:id="29" w:name="Par181"/>
      <w:bookmarkEnd w:id="29"/>
      <w:r>
        <w:rPr>
          <w:rFonts w:cs="Times New Roman"/>
          <w:szCs w:val="28"/>
        </w:rPr>
        <w:t>Статья 14. Порядок вступления в силу настоящего Закона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Настоящий Закон вступает в силу с 1 января 2014 года, за исключением </w:t>
      </w:r>
      <w:hyperlink w:anchor="Par64" w:history="1">
        <w:r>
          <w:rPr>
            <w:rFonts w:cs="Times New Roman"/>
            <w:color w:val="0000FF"/>
            <w:szCs w:val="28"/>
          </w:rPr>
          <w:t>частей 1</w:t>
        </w:r>
      </w:hyperlink>
      <w:r>
        <w:rPr>
          <w:rFonts w:cs="Times New Roman"/>
          <w:szCs w:val="28"/>
        </w:rPr>
        <w:t xml:space="preserve">, </w:t>
      </w:r>
      <w:hyperlink w:anchor="Par69" w:history="1">
        <w:r>
          <w:rPr>
            <w:rFonts w:cs="Times New Roman"/>
            <w:color w:val="0000FF"/>
            <w:szCs w:val="28"/>
          </w:rPr>
          <w:t>3</w:t>
        </w:r>
      </w:hyperlink>
      <w:r>
        <w:rPr>
          <w:rFonts w:cs="Times New Roman"/>
          <w:szCs w:val="28"/>
        </w:rPr>
        <w:t xml:space="preserve">, </w:t>
      </w:r>
      <w:hyperlink w:anchor="Par86" w:history="1">
        <w:r>
          <w:rPr>
            <w:rFonts w:cs="Times New Roman"/>
            <w:color w:val="0000FF"/>
            <w:szCs w:val="28"/>
          </w:rPr>
          <w:t>4</w:t>
        </w:r>
      </w:hyperlink>
      <w:r>
        <w:rPr>
          <w:rFonts w:cs="Times New Roman"/>
          <w:szCs w:val="28"/>
        </w:rPr>
        <w:t xml:space="preserve">, </w:t>
      </w:r>
      <w:hyperlink w:anchor="Par90" w:history="1">
        <w:r>
          <w:rPr>
            <w:rFonts w:cs="Times New Roman"/>
            <w:color w:val="0000FF"/>
            <w:szCs w:val="28"/>
          </w:rPr>
          <w:t>5 статьи 6</w:t>
        </w:r>
      </w:hyperlink>
      <w:r>
        <w:rPr>
          <w:rFonts w:cs="Times New Roman"/>
          <w:szCs w:val="28"/>
        </w:rPr>
        <w:t xml:space="preserve">, </w:t>
      </w:r>
      <w:hyperlink w:anchor="Par101" w:history="1">
        <w:r>
          <w:rPr>
            <w:rFonts w:cs="Times New Roman"/>
            <w:color w:val="0000FF"/>
            <w:szCs w:val="28"/>
          </w:rPr>
          <w:t>частей 1</w:t>
        </w:r>
      </w:hyperlink>
      <w:r>
        <w:rPr>
          <w:rFonts w:cs="Times New Roman"/>
          <w:szCs w:val="28"/>
        </w:rPr>
        <w:t xml:space="preserve">, </w:t>
      </w:r>
      <w:hyperlink w:anchor="Par105" w:history="1">
        <w:r>
          <w:rPr>
            <w:rFonts w:cs="Times New Roman"/>
            <w:color w:val="0000FF"/>
            <w:szCs w:val="28"/>
          </w:rPr>
          <w:t>2</w:t>
        </w:r>
      </w:hyperlink>
      <w:r>
        <w:rPr>
          <w:rFonts w:cs="Times New Roman"/>
          <w:szCs w:val="28"/>
        </w:rPr>
        <w:t xml:space="preserve">, </w:t>
      </w:r>
      <w:hyperlink w:anchor="Par110" w:history="1">
        <w:r>
          <w:rPr>
            <w:rFonts w:cs="Times New Roman"/>
            <w:color w:val="0000FF"/>
            <w:szCs w:val="28"/>
          </w:rPr>
          <w:t>4</w:t>
        </w:r>
      </w:hyperlink>
      <w:r>
        <w:rPr>
          <w:rFonts w:cs="Times New Roman"/>
          <w:szCs w:val="28"/>
        </w:rPr>
        <w:t xml:space="preserve">, </w:t>
      </w:r>
      <w:hyperlink w:anchor="Par114" w:history="1">
        <w:r>
          <w:rPr>
            <w:rFonts w:cs="Times New Roman"/>
            <w:color w:val="0000FF"/>
            <w:szCs w:val="28"/>
          </w:rPr>
          <w:t>5 статьи 7</w:t>
        </w:r>
      </w:hyperlink>
      <w:r>
        <w:rPr>
          <w:rFonts w:cs="Times New Roman"/>
          <w:szCs w:val="28"/>
        </w:rPr>
        <w:t xml:space="preserve">, </w:t>
      </w:r>
      <w:hyperlink w:anchor="Par166" w:history="1">
        <w:r>
          <w:rPr>
            <w:rFonts w:cs="Times New Roman"/>
            <w:color w:val="0000FF"/>
            <w:szCs w:val="28"/>
          </w:rPr>
          <w:t>пункта 1 части 1 статьи 11</w:t>
        </w:r>
      </w:hyperlink>
      <w:r>
        <w:rPr>
          <w:rFonts w:cs="Times New Roman"/>
          <w:szCs w:val="28"/>
        </w:rPr>
        <w:t xml:space="preserve"> настоящего Закона.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30" w:name="Par184"/>
      <w:bookmarkEnd w:id="30"/>
      <w:r>
        <w:rPr>
          <w:rFonts w:cs="Times New Roman"/>
          <w:szCs w:val="28"/>
        </w:rPr>
        <w:t xml:space="preserve">2. </w:t>
      </w:r>
      <w:hyperlink w:anchor="Par64" w:history="1">
        <w:r>
          <w:rPr>
            <w:rFonts w:cs="Times New Roman"/>
            <w:color w:val="0000FF"/>
            <w:szCs w:val="28"/>
          </w:rPr>
          <w:t>Части 1</w:t>
        </w:r>
      </w:hyperlink>
      <w:r>
        <w:rPr>
          <w:rFonts w:cs="Times New Roman"/>
          <w:szCs w:val="28"/>
        </w:rPr>
        <w:t xml:space="preserve">, </w:t>
      </w:r>
      <w:hyperlink w:anchor="Par69" w:history="1">
        <w:r>
          <w:rPr>
            <w:rFonts w:cs="Times New Roman"/>
            <w:color w:val="0000FF"/>
            <w:szCs w:val="28"/>
          </w:rPr>
          <w:t>3</w:t>
        </w:r>
      </w:hyperlink>
      <w:r>
        <w:rPr>
          <w:rFonts w:cs="Times New Roman"/>
          <w:szCs w:val="28"/>
        </w:rPr>
        <w:t xml:space="preserve">, </w:t>
      </w:r>
      <w:hyperlink w:anchor="Par86" w:history="1">
        <w:r>
          <w:rPr>
            <w:rFonts w:cs="Times New Roman"/>
            <w:color w:val="0000FF"/>
            <w:szCs w:val="28"/>
          </w:rPr>
          <w:t>4</w:t>
        </w:r>
      </w:hyperlink>
      <w:r>
        <w:rPr>
          <w:rFonts w:cs="Times New Roman"/>
          <w:szCs w:val="28"/>
        </w:rPr>
        <w:t xml:space="preserve">, </w:t>
      </w:r>
      <w:hyperlink w:anchor="Par90" w:history="1">
        <w:r>
          <w:rPr>
            <w:rFonts w:cs="Times New Roman"/>
            <w:color w:val="0000FF"/>
            <w:szCs w:val="28"/>
          </w:rPr>
          <w:t>5 статьи 6</w:t>
        </w:r>
      </w:hyperlink>
      <w:r>
        <w:rPr>
          <w:rFonts w:cs="Times New Roman"/>
          <w:szCs w:val="28"/>
        </w:rPr>
        <w:t xml:space="preserve"> настоящего Закона вступают в силу с 1 июля 2014 года.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bookmarkStart w:id="31" w:name="Par185"/>
      <w:bookmarkEnd w:id="31"/>
      <w:r>
        <w:rPr>
          <w:rFonts w:cs="Times New Roman"/>
          <w:szCs w:val="28"/>
        </w:rPr>
        <w:t xml:space="preserve">3. </w:t>
      </w:r>
      <w:hyperlink w:anchor="Par101" w:history="1">
        <w:r>
          <w:rPr>
            <w:rFonts w:cs="Times New Roman"/>
            <w:color w:val="0000FF"/>
            <w:szCs w:val="28"/>
          </w:rPr>
          <w:t>Части 1</w:t>
        </w:r>
      </w:hyperlink>
      <w:r>
        <w:rPr>
          <w:rFonts w:cs="Times New Roman"/>
          <w:szCs w:val="28"/>
        </w:rPr>
        <w:t xml:space="preserve">, </w:t>
      </w:r>
      <w:hyperlink w:anchor="Par105" w:history="1">
        <w:r>
          <w:rPr>
            <w:rFonts w:cs="Times New Roman"/>
            <w:color w:val="0000FF"/>
            <w:szCs w:val="28"/>
          </w:rPr>
          <w:t>2</w:t>
        </w:r>
      </w:hyperlink>
      <w:r>
        <w:rPr>
          <w:rFonts w:cs="Times New Roman"/>
          <w:szCs w:val="28"/>
        </w:rPr>
        <w:t xml:space="preserve">, </w:t>
      </w:r>
      <w:hyperlink w:anchor="Par110" w:history="1">
        <w:r>
          <w:rPr>
            <w:rFonts w:cs="Times New Roman"/>
            <w:color w:val="0000FF"/>
            <w:szCs w:val="28"/>
          </w:rPr>
          <w:t>4</w:t>
        </w:r>
      </w:hyperlink>
      <w:r>
        <w:rPr>
          <w:rFonts w:cs="Times New Roman"/>
          <w:szCs w:val="28"/>
        </w:rPr>
        <w:t xml:space="preserve">, </w:t>
      </w:r>
      <w:hyperlink w:anchor="Par114" w:history="1">
        <w:r>
          <w:rPr>
            <w:rFonts w:cs="Times New Roman"/>
            <w:color w:val="0000FF"/>
            <w:szCs w:val="28"/>
          </w:rPr>
          <w:t>5 статьи 7</w:t>
        </w:r>
      </w:hyperlink>
      <w:r>
        <w:rPr>
          <w:rFonts w:cs="Times New Roman"/>
          <w:szCs w:val="28"/>
        </w:rPr>
        <w:t xml:space="preserve">, </w:t>
      </w:r>
      <w:hyperlink w:anchor="Par166" w:history="1">
        <w:r>
          <w:rPr>
            <w:rFonts w:cs="Times New Roman"/>
            <w:color w:val="0000FF"/>
            <w:szCs w:val="28"/>
          </w:rPr>
          <w:t>пункт 1 части 1 статьи 11</w:t>
        </w:r>
      </w:hyperlink>
      <w:r>
        <w:rPr>
          <w:rFonts w:cs="Times New Roman"/>
          <w:szCs w:val="28"/>
        </w:rPr>
        <w:t xml:space="preserve"> настоящего Закона вступают в силу с 15 февраля 2014 года.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Губернатор края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В.В.МИКЛУШЕВСКИЙ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г. Владивосток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19 декабря 2013 года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N 332-КЗ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cs="Times New Roman"/>
          <w:szCs w:val="28"/>
        </w:rPr>
      </w:pPr>
      <w:bookmarkStart w:id="32" w:name="Par197"/>
      <w:bookmarkEnd w:id="32"/>
      <w:r>
        <w:rPr>
          <w:rFonts w:cs="Times New Roman"/>
          <w:szCs w:val="28"/>
        </w:rPr>
        <w:t>Приложение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к Закону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Приморского края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19.12.2013 N 332-КЗ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pStyle w:val="ConsPlusNonformat"/>
      </w:pPr>
      <w:bookmarkStart w:id="33" w:name="Par202"/>
      <w:bookmarkEnd w:id="33"/>
      <w:r>
        <w:t xml:space="preserve">                      ДЕКЛАРАЦИЯ ОБ ОБОРОТЕ ДРЕВЕСИНЫ</w:t>
      </w:r>
    </w:p>
    <w:p w:rsidR="00D7786E" w:rsidRDefault="00D7786E">
      <w:pPr>
        <w:pStyle w:val="ConsPlusNonformat"/>
      </w:pPr>
    </w:p>
    <w:p w:rsidR="00D7786E" w:rsidRDefault="00D7786E">
      <w:pPr>
        <w:pStyle w:val="ConsPlusNonformat"/>
      </w:pPr>
      <w:r>
        <w:t>"____" __________ 20___ г.                                        N _______</w:t>
      </w:r>
    </w:p>
    <w:p w:rsidR="00D7786E" w:rsidRDefault="00D7786E">
      <w:pPr>
        <w:pStyle w:val="ConsPlusNonformat"/>
      </w:pPr>
    </w:p>
    <w:p w:rsidR="00D7786E" w:rsidRDefault="00D7786E">
      <w:pPr>
        <w:pStyle w:val="ConsPlusNonformat"/>
      </w:pPr>
      <w:r>
        <w:t>1. _______________________________________________________________________,</w:t>
      </w:r>
    </w:p>
    <w:p w:rsidR="00D7786E" w:rsidRDefault="00D7786E">
      <w:pPr>
        <w:pStyle w:val="ConsPlusNonformat"/>
      </w:pPr>
      <w:r>
        <w:t xml:space="preserve">          </w:t>
      </w:r>
      <w:proofErr w:type="gramStart"/>
      <w:r>
        <w:t>(наименование организации, лица, которому предоставлено</w:t>
      </w:r>
      <w:proofErr w:type="gramEnd"/>
    </w:p>
    <w:p w:rsidR="00D7786E" w:rsidRDefault="00D7786E">
      <w:pPr>
        <w:pStyle w:val="ConsPlusNonformat"/>
      </w:pPr>
      <w:r>
        <w:t xml:space="preserve">                        право заготовки древесины)</w:t>
      </w:r>
    </w:p>
    <w:p w:rsidR="00D7786E" w:rsidRDefault="00D7786E">
      <w:pPr>
        <w:pStyle w:val="ConsPlusNonformat"/>
      </w:pPr>
      <w:r>
        <w:t>___________________________________________________________________________</w:t>
      </w:r>
    </w:p>
    <w:p w:rsidR="00D7786E" w:rsidRDefault="00D7786E">
      <w:pPr>
        <w:pStyle w:val="ConsPlusNonformat"/>
      </w:pPr>
      <w:r>
        <w:t xml:space="preserve">                                   (ИНН)</w:t>
      </w:r>
    </w:p>
    <w:p w:rsidR="00D7786E" w:rsidRDefault="00D7786E">
      <w:pPr>
        <w:pStyle w:val="ConsPlusNonformat"/>
      </w:pPr>
      <w:r>
        <w:t>2. Основание заготовки древесины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40"/>
        <w:gridCol w:w="1320"/>
        <w:gridCol w:w="1080"/>
      </w:tblGrid>
      <w:tr w:rsidR="00D7786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6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Документ, подтверждающий основание заготовки древесины 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Дата   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выдачи 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N   </w:t>
            </w: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договор аренды лесного участка                        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договор купли-продажи лесных насаждений               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договор срочного (безвозмездного) пользования         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договор постоянного (бессрочного) пользования         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 xml:space="preserve">лесная декларация                                     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акт передачи лесных насаждений                         </w:t>
            </w: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Место заготовки древесины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680"/>
        <w:gridCol w:w="3120"/>
        <w:gridCol w:w="1320"/>
        <w:gridCol w:w="1080"/>
        <w:gridCol w:w="2280"/>
      </w:tblGrid>
      <w:tr w:rsidR="00D7786E">
        <w:tblPrEx>
          <w:tblCellMar>
            <w:top w:w="0" w:type="dxa"/>
            <w:bottom w:w="0" w:type="dxa"/>
          </w:tblCellMar>
        </w:tblPrEx>
        <w:trPr>
          <w:trHeight w:val="400"/>
          <w:tblCellSpacing w:w="5" w:type="nil"/>
        </w:trPr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Лесничество </w:t>
            </w:r>
          </w:p>
        </w:tc>
        <w:tc>
          <w:tcPr>
            <w:tcW w:w="3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Участковое лесничество 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N    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квартала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N   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выдела </w:t>
            </w:r>
          </w:p>
        </w:tc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N лесосеки    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(делянки)    </w:t>
            </w: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3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3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31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3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2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</w:tr>
    </w:tbl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 Сведения о вывозимой древесине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48"/>
        <w:gridCol w:w="972"/>
        <w:gridCol w:w="1512"/>
        <w:gridCol w:w="972"/>
        <w:gridCol w:w="1404"/>
        <w:gridCol w:w="972"/>
        <w:gridCol w:w="1404"/>
        <w:gridCol w:w="972"/>
      </w:tblGrid>
      <w:tr w:rsidR="00D7786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N  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proofErr w:type="gramStart"/>
            <w:r>
              <w:rPr>
                <w:rFonts w:ascii="Courier New" w:hAnsi="Courier New" w:cs="Courier New"/>
                <w:sz w:val="18"/>
                <w:szCs w:val="18"/>
              </w:rPr>
              <w:t>п</w:t>
            </w:r>
            <w:proofErr w:type="gramEnd"/>
            <w:r>
              <w:rPr>
                <w:rFonts w:ascii="Courier New" w:hAnsi="Courier New" w:cs="Courier New"/>
                <w:sz w:val="18"/>
                <w:szCs w:val="18"/>
              </w:rPr>
              <w:t xml:space="preserve">/п </w:t>
            </w:r>
          </w:p>
        </w:tc>
        <w:tc>
          <w:tcPr>
            <w:tcW w:w="97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Порода </w:t>
            </w:r>
          </w:p>
        </w:tc>
        <w:tc>
          <w:tcPr>
            <w:tcW w:w="24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Деловая       </w:t>
            </w:r>
          </w:p>
        </w:tc>
        <w:tc>
          <w:tcPr>
            <w:tcW w:w="23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Дровяная      </w:t>
            </w:r>
          </w:p>
        </w:tc>
        <w:tc>
          <w:tcPr>
            <w:tcW w:w="23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   Всего       </w:t>
            </w: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rHeight w:val="360"/>
          <w:tblCellSpacing w:w="5" w:type="nil"/>
        </w:trPr>
        <w:tc>
          <w:tcPr>
            <w:tcW w:w="64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количество, 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 штук    </w:t>
            </w: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объем, 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куб. м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количество,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штук    </w:t>
            </w: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объем, 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куб. м </w:t>
            </w: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количество,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   штук    </w:t>
            </w: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объем, </w:t>
            </w:r>
          </w:p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куб. м </w:t>
            </w: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64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</w:tr>
      <w:tr w:rsidR="00D7786E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62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 xml:space="preserve">ИТОГО       </w:t>
            </w:r>
          </w:p>
        </w:tc>
        <w:tc>
          <w:tcPr>
            <w:tcW w:w="151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4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97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7786E" w:rsidRDefault="00D7786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</w:tbl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pStyle w:val="ConsPlusNonformat"/>
      </w:pPr>
      <w:r>
        <w:t>5. Сведения о пункте приема древесины</w:t>
      </w:r>
    </w:p>
    <w:p w:rsidR="00D7786E" w:rsidRDefault="00D7786E">
      <w:pPr>
        <w:pStyle w:val="ConsPlusNonformat"/>
      </w:pPr>
      <w:proofErr w:type="gramStart"/>
      <w:r>
        <w:t>___________________________________________________________________________</w:t>
      </w:r>
      <w:proofErr w:type="gramEnd"/>
    </w:p>
    <w:p w:rsidR="00D7786E" w:rsidRDefault="00D7786E">
      <w:pPr>
        <w:pStyle w:val="ConsPlusNonformat"/>
      </w:pPr>
      <w:r>
        <w:t xml:space="preserve">   </w:t>
      </w:r>
      <w:proofErr w:type="gramStart"/>
      <w:r>
        <w:t>(наименование, реестровый номер, местонахождение и (или) адрес пункта</w:t>
      </w:r>
      <w:proofErr w:type="gramEnd"/>
    </w:p>
    <w:p w:rsidR="00D7786E" w:rsidRDefault="00D7786E">
      <w:pPr>
        <w:pStyle w:val="ConsPlusNonformat"/>
      </w:pPr>
      <w:r>
        <w:t xml:space="preserve">                             приема древесины)</w:t>
      </w:r>
    </w:p>
    <w:p w:rsidR="00D7786E" w:rsidRDefault="00D7786E">
      <w:pPr>
        <w:pStyle w:val="ConsPlusNonformat"/>
      </w:pPr>
      <w:r>
        <w:t>6. Информация о лице, выдавшем декларацию об обороте древесины</w:t>
      </w:r>
    </w:p>
    <w:p w:rsidR="00D7786E" w:rsidRDefault="00D7786E">
      <w:pPr>
        <w:pStyle w:val="ConsPlusNonformat"/>
      </w:pPr>
      <w:r>
        <w:t>от "_____" __________________ 20__ г. N ___ М.П. _________ ________________</w:t>
      </w:r>
    </w:p>
    <w:p w:rsidR="00D7786E" w:rsidRDefault="00D7786E">
      <w:pPr>
        <w:pStyle w:val="ConsPlusNonformat"/>
      </w:pPr>
      <w:r>
        <w:t xml:space="preserve">    </w:t>
      </w:r>
      <w:proofErr w:type="gramStart"/>
      <w:r>
        <w:t>(приказ, доверенность лица,                  (подпись)   (расшифровка</w:t>
      </w:r>
      <w:proofErr w:type="gramEnd"/>
    </w:p>
    <w:p w:rsidR="00D7786E" w:rsidRDefault="00D7786E">
      <w:pPr>
        <w:pStyle w:val="ConsPlusNonformat"/>
      </w:pPr>
      <w:proofErr w:type="gramStart"/>
      <w:r>
        <w:t>осуществляющего заготовку древесины)                            подписи)</w:t>
      </w:r>
      <w:proofErr w:type="gramEnd"/>
    </w:p>
    <w:p w:rsidR="00D7786E" w:rsidRDefault="00D7786E">
      <w:pPr>
        <w:pStyle w:val="ConsPlusNonformat"/>
      </w:pPr>
      <w:r>
        <w:t>7. Древесина передана по приемо-сдаточному акту</w:t>
      </w:r>
    </w:p>
    <w:p w:rsidR="00D7786E" w:rsidRDefault="00D7786E">
      <w:pPr>
        <w:pStyle w:val="ConsPlusNonformat"/>
      </w:pPr>
      <w:r>
        <w:t>от "____" __________ 20_____ г. N ____</w:t>
      </w:r>
    </w:p>
    <w:p w:rsidR="00D7786E" w:rsidRDefault="00D7786E">
      <w:pPr>
        <w:pStyle w:val="ConsPlusNonformat"/>
      </w:pPr>
      <w:r>
        <w:t>8. Ответственное лицо на пункте приема древесины</w:t>
      </w:r>
    </w:p>
    <w:p w:rsidR="00D7786E" w:rsidRDefault="00D7786E">
      <w:pPr>
        <w:pStyle w:val="ConsPlusNonformat"/>
      </w:pPr>
      <w:r>
        <w:t>_______________________ ___________</w:t>
      </w:r>
    </w:p>
    <w:p w:rsidR="00D7786E" w:rsidRDefault="00D7786E">
      <w:pPr>
        <w:pStyle w:val="ConsPlusNonformat"/>
      </w:pPr>
      <w:r>
        <w:t xml:space="preserve">  (фамилия, инициалы)    (подпись)</w:t>
      </w: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D7786E" w:rsidRDefault="00D7786E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F40E4E" w:rsidRDefault="00F40E4E">
      <w:bookmarkStart w:id="34" w:name="_GoBack"/>
      <w:bookmarkEnd w:id="34"/>
    </w:p>
    <w:sectPr w:rsidR="00F40E4E" w:rsidSect="00265ACA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6E"/>
    <w:rsid w:val="00655E4C"/>
    <w:rsid w:val="00D7786E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7786E"/>
    <w:pPr>
      <w:widowControl w:val="0"/>
      <w:autoSpaceDE w:val="0"/>
      <w:autoSpaceDN w:val="0"/>
      <w:adjustRightInd w:val="0"/>
      <w:spacing w:after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7786E"/>
    <w:pPr>
      <w:widowControl w:val="0"/>
      <w:autoSpaceDE w:val="0"/>
      <w:autoSpaceDN w:val="0"/>
      <w:adjustRightInd w:val="0"/>
      <w:spacing w:after="0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2855</Words>
  <Characters>16275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2014-01-17T04:06:00Z</dcterms:created>
  <dcterms:modified xsi:type="dcterms:W3CDTF">2014-01-17T04:07:00Z</dcterms:modified>
</cp:coreProperties>
</file>