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31"/>
        <w:tblW w:w="0" w:type="auto"/>
        <w:tblLayout w:type="fixed"/>
        <w:tblLook w:val="0000" w:firstRow="0" w:lastRow="0" w:firstColumn="0" w:lastColumn="0" w:noHBand="0" w:noVBand="0"/>
      </w:tblPr>
      <w:tblGrid>
        <w:gridCol w:w="1806"/>
        <w:gridCol w:w="1790"/>
        <w:gridCol w:w="1790"/>
        <w:gridCol w:w="1806"/>
        <w:gridCol w:w="1806"/>
        <w:gridCol w:w="1786"/>
        <w:gridCol w:w="1781"/>
        <w:gridCol w:w="1806"/>
        <w:gridCol w:w="1785"/>
        <w:gridCol w:w="3028"/>
      </w:tblGrid>
      <w:tr w:rsidR="005D5E7E" w:rsidTr="00870D74">
        <w:trPr>
          <w:trHeight w:val="294"/>
          <w:tblHeader/>
        </w:trPr>
        <w:tc>
          <w:tcPr>
            <w:tcW w:w="1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5E7E" w:rsidTr="00870D74">
        <w:trPr>
          <w:trHeight w:val="350"/>
          <w:tblHeader/>
        </w:trPr>
        <w:tc>
          <w:tcPr>
            <w:tcW w:w="1918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Показатели государственной программы Приморского края</w:t>
            </w:r>
          </w:p>
        </w:tc>
      </w:tr>
      <w:tr w:rsidR="005D5E7E" w:rsidTr="00870D74">
        <w:trPr>
          <w:trHeight w:val="417"/>
          <w:tblHeader/>
        </w:trPr>
        <w:tc>
          <w:tcPr>
            <w:tcW w:w="19184" w:type="dxa"/>
            <w:gridSpan w:val="10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5E7E" w:rsidRDefault="005D5E7E" w:rsidP="00115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"Развитие сельского хозяйства и регулирование рынков сельскохозяйственной проду</w:t>
            </w:r>
            <w:r w:rsidR="001159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5D5E7E" w:rsidTr="00870D74">
        <w:trPr>
          <w:trHeight w:val="412"/>
          <w:tblHeader/>
        </w:trPr>
        <w:tc>
          <w:tcPr>
            <w:tcW w:w="1918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E7E" w:rsidRDefault="005D5E7E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(наименование государственной программы)</w:t>
            </w:r>
          </w:p>
        </w:tc>
      </w:tr>
    </w:tbl>
    <w:p w:rsidR="009D00B2" w:rsidRDefault="009D00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00B2" w:rsidRDefault="002922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22359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2004"/>
        <w:gridCol w:w="1114"/>
        <w:gridCol w:w="1387"/>
        <w:gridCol w:w="1416"/>
        <w:gridCol w:w="1416"/>
        <w:gridCol w:w="1416"/>
        <w:gridCol w:w="1416"/>
        <w:gridCol w:w="1416"/>
        <w:gridCol w:w="1416"/>
        <w:gridCol w:w="1416"/>
        <w:gridCol w:w="1459"/>
        <w:gridCol w:w="2126"/>
        <w:gridCol w:w="2362"/>
        <w:gridCol w:w="1560"/>
        <w:gridCol w:w="9"/>
      </w:tblGrid>
      <w:tr w:rsidR="00165F4E" w:rsidTr="007F2DF7">
        <w:trPr>
          <w:trHeight w:val="287"/>
          <w:jc w:val="center"/>
        </w:trPr>
        <w:tc>
          <w:tcPr>
            <w:tcW w:w="22359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65F4E" w:rsidTr="007F2DF7">
        <w:trPr>
          <w:gridAfter w:val="1"/>
          <w:wAfter w:w="9" w:type="dxa"/>
          <w:trHeight w:val="283"/>
          <w:jc w:val="center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BA5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275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9D00B2" w:rsidTr="007F2DF7">
        <w:trPr>
          <w:gridAfter w:val="1"/>
          <w:wAfter w:w="9" w:type="dxa"/>
          <w:trHeight w:val="328"/>
          <w:jc w:val="center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9D0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D00B2" w:rsidTr="007F2DF7">
        <w:trPr>
          <w:gridAfter w:val="1"/>
          <w:wAfter w:w="9" w:type="dxa"/>
          <w:trHeight w:val="283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65F4E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834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C656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 объема производства сельскохозяйственной продукции сельскохозяйственными организациями, крестьянскими (фермерскими) хозяйствами и индивидуальными предпринимателями к 2030 году до 75 млрд. рублей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D00B2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969A2" w:rsidRDefault="007969A2" w:rsidP="00796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производства сельскохозяйственной продукции сельскохозяйственными организациями, крестьянскими (фермерскими) хозяйствами и индивидуальными предпринимателями (в ценах базового 20</w:t>
            </w:r>
            <w:r w:rsid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11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12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лрд рублей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F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DC477B" w:rsidP="001D6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14.07.2012 № 717 (ред. от 19.04.2022) «О Государственной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2922D6" w:rsidP="006C2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2D" w:rsidRPr="007F2DF7" w:rsidRDefault="00CE332D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  <w:p w:rsidR="009D00B2" w:rsidRPr="007F2DF7" w:rsidRDefault="009D00B2" w:rsidP="005D5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F4E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893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  <w:r w:rsidR="0089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прироста производительности труда в производстве сельскохозяйственной продукции сельскохозяйственными организациями, крестьянскими (фермерскими) хозяйствами и индивидуальными предпринимат</w:t>
            </w:r>
            <w:r w:rsidR="000E5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елями не менее 150 процентов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году по сравнению с базовым 20</w:t>
            </w:r>
            <w:r w:rsidR="00B36C61" w:rsidRPr="00B3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годом»</w:t>
            </w:r>
          </w:p>
        </w:tc>
      </w:tr>
      <w:tr w:rsidR="009D00B2" w:rsidTr="007F2DF7">
        <w:trPr>
          <w:gridAfter w:val="1"/>
          <w:wAfter w:w="9" w:type="dxa"/>
          <w:trHeight w:val="439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969A2" w:rsidRDefault="007969A2" w:rsidP="00796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Прирост производительности труда в производстве сельскохозяйственной продукции сельскохозяйственными организациями, крестьянскими (фермерскими) хозяйствами и индивидуальными предпринимателями, по сравнению с базовым 20</w:t>
            </w:r>
            <w:r w:rsid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годом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F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DC477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14.07.2012 № 717 (ред. от 19.04.2022) «О Государственной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CE332D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F2DF7">
              <w:rPr>
                <w:rFonts w:ascii="Times New Roman" w:hAnsi="Times New Roman"/>
                <w:color w:val="000000"/>
                <w:sz w:val="20"/>
                <w:szCs w:val="20"/>
              </w:rPr>
              <w:t>самозанятых</w:t>
            </w:r>
            <w:proofErr w:type="spellEnd"/>
            <w:r w:rsidRPr="007F2DF7">
              <w:rPr>
                <w:rFonts w:ascii="Times New Roman" w:hAnsi="Times New Roman"/>
                <w:color w:val="000000"/>
                <w:sz w:val="20"/>
                <w:szCs w:val="20"/>
              </w:rPr>
              <w:t>, до 25 миллионов человек</w:t>
            </w:r>
          </w:p>
        </w:tc>
      </w:tr>
      <w:tr w:rsidR="00C65656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7969A2" w:rsidRDefault="007969A2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C65656">
            <w:pPr>
              <w:spacing w:after="0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Индекс производства продукции сельского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хозяйства (в сопоставимых ценах) к уровню 2020 года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18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E7119B" w:rsidRDefault="00C65656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104,4</w:t>
            </w:r>
            <w:r w:rsidR="00620AA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E7119B" w:rsidRDefault="00C65656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109,6</w:t>
            </w:r>
            <w:r w:rsidR="00620AA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E7119B" w:rsidRDefault="00C65656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114,2</w:t>
            </w:r>
            <w:r w:rsidR="00620AA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E7119B" w:rsidRDefault="00C65656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119,2</w:t>
            </w:r>
            <w:r w:rsidR="00620AA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Default="00C65656" w:rsidP="00620AA3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7F2DF7" w:rsidRDefault="00C65656" w:rsidP="007F2DF7">
            <w:pPr>
              <w:spacing w:after="0"/>
              <w:ind w:left="1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Указ</w:t>
            </w:r>
          </w:p>
          <w:p w:rsidR="00C65656" w:rsidRPr="007F2DF7" w:rsidRDefault="00C65656" w:rsidP="007F2DF7">
            <w:pPr>
              <w:spacing w:after="0"/>
              <w:ind w:left="95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Президента</w:t>
            </w:r>
          </w:p>
          <w:p w:rsidR="00C65656" w:rsidRPr="007F2DF7" w:rsidRDefault="00C65656" w:rsidP="007F2DF7">
            <w:pPr>
              <w:spacing w:after="40" w:line="230" w:lineRule="auto"/>
              <w:ind w:left="10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 от 21.01.2020</w:t>
            </w:r>
          </w:p>
          <w:p w:rsidR="00C65656" w:rsidRPr="007F2DF7" w:rsidRDefault="00C65656" w:rsidP="007F2DF7">
            <w:pPr>
              <w:spacing w:after="0"/>
              <w:ind w:right="3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№20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7F2DF7" w:rsidRDefault="007F2DF7" w:rsidP="007F2DF7">
            <w:pPr>
              <w:spacing w:after="0"/>
              <w:ind w:right="3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5656" w:rsidRPr="007F2DF7" w:rsidRDefault="00C65656" w:rsidP="007F2DF7">
            <w:pPr>
              <w:spacing w:after="0"/>
              <w:ind w:left="76"/>
              <w:jc w:val="center"/>
              <w:rPr>
                <w:sz w:val="20"/>
                <w:szCs w:val="20"/>
              </w:rPr>
            </w:pPr>
          </w:p>
        </w:tc>
      </w:tr>
      <w:tr w:rsidR="007F2DF7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969A2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80BBB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Прирост высокопроизводительных рабочих мест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80BBB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80BBB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14.07.2012 № 717 (ред. от 19.04.2022) «О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DF7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969A2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 в сельском хозяйстве на человека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2DF7" w:rsidRPr="004715DE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 рублей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E35FB1" w:rsidRDefault="007F2DF7" w:rsidP="00C65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2DF7" w:rsidRPr="007F2DF7" w:rsidRDefault="007F2DF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20AA3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7969A2" w:rsidRDefault="007969A2" w:rsidP="00620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Default="00620AA3" w:rsidP="00620AA3">
            <w:pPr>
              <w:spacing w:after="1" w:line="227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Среднемесячная начисленная заработная плата работников </w:t>
            </w:r>
          </w:p>
          <w:p w:rsidR="00620AA3" w:rsidRDefault="00620AA3" w:rsidP="00620AA3">
            <w:pPr>
              <w:spacing w:after="0" w:line="228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сельского хозяйства (без субъектов малого </w:t>
            </w:r>
          </w:p>
          <w:p w:rsidR="00620AA3" w:rsidRDefault="00620AA3" w:rsidP="00620AA3">
            <w:pPr>
              <w:spacing w:after="0"/>
              <w:ind w:left="7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предпринимательств</w:t>
            </w:r>
          </w:p>
          <w:p w:rsidR="00620AA3" w:rsidRDefault="00620AA3" w:rsidP="00620AA3">
            <w:pPr>
              <w:spacing w:after="0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Рубль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119B">
              <w:rPr>
                <w:rFonts w:ascii="Times New Roman" w:eastAsia="Times New Roman" w:hAnsi="Times New Roman" w:cs="Times New Roman"/>
                <w:sz w:val="24"/>
              </w:rPr>
              <w:t>483,0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119B">
              <w:rPr>
                <w:rFonts w:ascii="Times New Roman" w:eastAsia="Times New Roman" w:hAnsi="Times New Roman" w:cs="Times New Roman"/>
                <w:sz w:val="24"/>
              </w:rPr>
              <w:t>955,0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119B">
              <w:rPr>
                <w:rFonts w:ascii="Times New Roman" w:eastAsia="Times New Roman" w:hAnsi="Times New Roman" w:cs="Times New Roman"/>
                <w:sz w:val="24"/>
              </w:rPr>
              <w:t>554</w:t>
            </w:r>
            <w:r>
              <w:rPr>
                <w:rFonts w:ascii="Times New Roman" w:eastAsia="Times New Roman" w:hAnsi="Times New Roman" w:cs="Times New Roman"/>
                <w:sz w:val="24"/>
              </w:rPr>
              <w:t>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56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119B">
              <w:rPr>
                <w:rFonts w:ascii="Times New Roman" w:eastAsia="Times New Roman" w:hAnsi="Times New Roman" w:cs="Times New Roman"/>
                <w:sz w:val="24"/>
              </w:rPr>
              <w:t>285,0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E7119B" w:rsidRDefault="00620AA3" w:rsidP="00620AA3">
            <w:pPr>
              <w:spacing w:after="0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Default="00620AA3" w:rsidP="00620AA3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Default="00620AA3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Default="00620AA3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Default="00620AA3" w:rsidP="00620AA3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7F2DF7" w:rsidRDefault="00620AA3" w:rsidP="007F2DF7">
            <w:pPr>
              <w:spacing w:after="0"/>
              <w:ind w:left="1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Указ</w:t>
            </w:r>
          </w:p>
          <w:p w:rsidR="00620AA3" w:rsidRPr="007F2DF7" w:rsidRDefault="00620AA3" w:rsidP="007F2DF7">
            <w:pPr>
              <w:spacing w:after="0"/>
              <w:ind w:left="95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Президента</w:t>
            </w:r>
          </w:p>
          <w:p w:rsidR="00620AA3" w:rsidRPr="007F2DF7" w:rsidRDefault="00620AA3" w:rsidP="007F2DF7">
            <w:pPr>
              <w:spacing w:after="37" w:line="231" w:lineRule="auto"/>
              <w:ind w:left="10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 от 21.07.2020</w:t>
            </w:r>
          </w:p>
          <w:p w:rsidR="00620AA3" w:rsidRPr="007F2DF7" w:rsidRDefault="00620AA3" w:rsidP="007F2DF7">
            <w:pPr>
              <w:spacing w:after="0"/>
              <w:ind w:left="3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eastAsia="Times New Roman" w:hAnsi="Times New Roman" w:cs="Times New Roman"/>
                <w:sz w:val="20"/>
                <w:szCs w:val="20"/>
              </w:rPr>
              <w:t>№474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AA3" w:rsidRPr="007F2DF7" w:rsidRDefault="00620AA3" w:rsidP="007F2DF7">
            <w:pPr>
              <w:spacing w:after="7"/>
              <w:ind w:left="61"/>
              <w:jc w:val="center"/>
              <w:rPr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</w:t>
            </w:r>
            <w:r w:rsid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0AA3" w:rsidRPr="007F2DF7" w:rsidRDefault="00620AA3" w:rsidP="007F2DF7">
            <w:pPr>
              <w:spacing w:after="0"/>
              <w:ind w:left="-14"/>
              <w:jc w:val="center"/>
              <w:rPr>
                <w:sz w:val="20"/>
                <w:szCs w:val="20"/>
              </w:rPr>
            </w:pPr>
          </w:p>
        </w:tc>
      </w:tr>
      <w:tr w:rsidR="00165F4E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893BB0" w:rsidP="00620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292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 объема отгруженных товаров собственного производства, выполненных работ и услуг собственными силами по виду деятельности "Производство пищевых продуктов", за вычетом "Переработка и консервирование рыбы, ракообразных и моллюсков" к 2030 году до 100 млрд. рублей</w:t>
            </w:r>
          </w:p>
        </w:tc>
      </w:tr>
      <w:tr w:rsidR="009D00B2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796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795226" w:rsidRDefault="007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2E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виду деятельности "Производство пищевых продуктов", за вычетом "Переработка и консервирование рыбы, ракообразных и моллюсков" (в ценах базового 20</w:t>
            </w:r>
            <w:r w:rsidR="002E79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112B12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12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лрд рублей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FA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0372" w:rsidRPr="007F2DF7" w:rsidRDefault="001F0372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D00B2" w:rsidRPr="007F2DF7" w:rsidRDefault="00DC477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14.07.2012 № 717 (ред. от 19.04.2022) «О Государственной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Pr="007F2DF7" w:rsidRDefault="002922D6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2D" w:rsidRPr="007F2DF7" w:rsidRDefault="00CE332D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  <w:p w:rsidR="009D00B2" w:rsidRPr="007F2DF7" w:rsidRDefault="009D00B2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F4E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0B2" w:rsidRDefault="002922D6" w:rsidP="00620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прироста производительности труда по виду деятельности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пищевых продуктов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 вычетом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 и консервирование рыбы, ракообразных и моллюсков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2030 году не менее 100 процентов по сравнению с базовым 20</w:t>
            </w:r>
            <w:r w:rsidR="000E5386" w:rsidRPr="000E5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годом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A6CE8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969A2" w:rsidRDefault="00796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 w:rsidP="00471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производительности труда по виду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"Производство пищевых продуктов", за вычетом "Переработка и консервирование рыбы, ракообразных и моллюсков", по сравнению с базовым 2020 годом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DC477B" w:rsidP="009E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4A6CE8" w:rsidP="009E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CE332D" w:rsidP="009E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численности занятых в сфере малого и </w:t>
            </w: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среднего предпринимательства, включая индивидуальных предпринимателей и </w:t>
            </w:r>
            <w:proofErr w:type="spellStart"/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самозанятых</w:t>
            </w:r>
            <w:proofErr w:type="spellEnd"/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 25 миллионов человек</w:t>
            </w:r>
          </w:p>
        </w:tc>
      </w:tr>
      <w:tr w:rsidR="004A6CE8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480BBB" w:rsidRDefault="007969A2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CE8" w:rsidRPr="004715DE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Производительность в секторе производства пищевых продуктов (кроме </w:t>
            </w:r>
            <w:proofErr w:type="spellStart"/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рыбопродукции</w:t>
            </w:r>
            <w:proofErr w:type="spellEnd"/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на человека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Default="004A6CE8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CE8" w:rsidRPr="004715DE" w:rsidRDefault="004A6CE8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71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 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E3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1B7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E35FB1" w:rsidRDefault="004A6CE8" w:rsidP="001B7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4A6CE8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C65656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</w:t>
            </w:r>
            <w:r w:rsidR="004A6CE8"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6CE8" w:rsidRPr="007F2DF7" w:rsidRDefault="004A6CE8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7119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7969A2" w:rsidP="00E71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E7119B">
            <w:pPr>
              <w:spacing w:after="40" w:line="227" w:lineRule="auto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Индекс производства пищевых продуктов (в сопоставимых ценах) к уровню 2020</w:t>
            </w:r>
          </w:p>
          <w:p w:rsidR="00E7119B" w:rsidRDefault="00620AA3" w:rsidP="00E7119B">
            <w:pPr>
              <w:spacing w:after="0"/>
              <w:ind w:left="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года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1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  <w:p w:rsidR="00E7119B" w:rsidRDefault="00E7119B" w:rsidP="00620AA3">
            <w:pPr>
              <w:spacing w:after="0"/>
              <w:jc w:val="center"/>
            </w:pP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E7119B" w:rsidRDefault="00E7119B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100,1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E7119B" w:rsidRDefault="00E7119B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101,9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E7119B" w:rsidRDefault="00E7119B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103,9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E7119B" w:rsidRDefault="00E7119B" w:rsidP="00620AA3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119B">
              <w:rPr>
                <w:rFonts w:ascii="Times New Roman" w:eastAsia="Times New Roman" w:hAnsi="Times New Roman" w:cs="Times New Roman"/>
                <w:sz w:val="24"/>
              </w:rPr>
              <w:t>104,3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Default="00E7119B" w:rsidP="00620AA3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7F2DF7" w:rsidRDefault="00E7119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</w:t>
            </w:r>
          </w:p>
          <w:p w:rsidR="00E7119B" w:rsidRPr="007F2DF7" w:rsidRDefault="00E7119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</w:p>
          <w:p w:rsidR="00E7119B" w:rsidRPr="007F2DF7" w:rsidRDefault="00E7119B" w:rsidP="007F2DF7">
            <w:pPr>
              <w:widowControl w:val="0"/>
              <w:autoSpaceDE w:val="0"/>
              <w:autoSpaceDN w:val="0"/>
              <w:adjustRightInd w:val="0"/>
              <w:spacing w:after="36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 Федерации от 21.01.2020</w:t>
            </w:r>
          </w:p>
          <w:p w:rsidR="00E7119B" w:rsidRPr="007F2DF7" w:rsidRDefault="00E7119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№20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19B" w:rsidRPr="007F2DF7" w:rsidRDefault="00C65656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</w:t>
            </w:r>
            <w:r w:rsidR="00620AA3"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19B" w:rsidRPr="007F2DF7" w:rsidRDefault="00E7119B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76FB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6FB" w:rsidRPr="00DD76FB" w:rsidRDefault="00DD76FB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D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конкурентоспособности сельскохозяйственных товаропроизводителей за счет технической и технологич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еской модернизации производства»</w:t>
            </w:r>
          </w:p>
          <w:p w:rsidR="00DD76FB" w:rsidRDefault="00DD76FB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1D6FBF" w:rsidRDefault="007969A2" w:rsidP="001D6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8EA" w:rsidRPr="00E14633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приобретения техники и оборудования сельскохозяйственными товаропроизводителями всех форм собственности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DD2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E76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DC477B" w:rsidRDefault="001A58EA" w:rsidP="00D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Приморского края</w:t>
            </w:r>
          </w:p>
          <w:p w:rsidR="001A58EA" w:rsidRPr="00DC477B" w:rsidRDefault="001A58EA" w:rsidP="00D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21 июня 2013 г. </w:t>
            </w:r>
            <w:r w:rsidR="007B6D37"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№</w:t>
            </w: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256-па</w:t>
            </w:r>
          </w:p>
          <w:p w:rsidR="001A58EA" w:rsidRPr="007F2DF7" w:rsidRDefault="007F2DF7" w:rsidP="00D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1A58EA"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предоставлении субсидий из краевого бюджета сельскохозяйственным товаропроизводителям Приморского края за исключением граждан, ведущих личное подсобное хозяйство на возмещение части затрат, связанных с технической и технологической модернизацией, инновационным развитием агропромышленног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комплекса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7F2DF7" w:rsidRDefault="001A58EA" w:rsidP="006C2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480BBB" w:rsidRDefault="001A58EA" w:rsidP="00E7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1D6FBF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8EA" w:rsidRPr="00E14633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предприятий, осуществивших проекты создания и (или) модернизации объектов агропромышленного комплекса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7F2DF7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7F2DF7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480BBB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480BBB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8EA" w:rsidRPr="00E14633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реализованных проектов по созданию и (или) модернизации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агропромышленного комплекса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E762F1" w:rsidRDefault="001A58EA" w:rsidP="001A58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7F2DF7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7F2DF7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480BBB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Pr="001745EE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74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финансовой устойчивости предприятий агропромышленного комплекса</w:t>
            </w:r>
            <w:r w:rsidR="00620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A58EA" w:rsidRPr="00480BBB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D3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1D6FBF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D37" w:rsidRPr="00E1463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кредитов (займов), на уплату процентов по которым предоставлены субсидии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млрд рублей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C65096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4C2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остановление Правительства РФ от 06.09.2018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4C2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1063 </w:t>
            </w:r>
            <w:r w:rsid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4C2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(займам)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агропромышленном комплексе</w:t>
            </w:r>
            <w:r w:rsid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7B6D37" w:rsidRPr="00C65096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7F2DF7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480BBB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D37" w:rsidRPr="00480BBB" w:rsidTr="007F2DF7">
        <w:trPr>
          <w:gridAfter w:val="1"/>
          <w:wAfter w:w="9" w:type="dxa"/>
          <w:trHeight w:val="3130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1D6FBF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D37" w:rsidRPr="00E1463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остатка ссудной задолженности по субсидируемым инвестиционным кредитам (займам), выданным на развитие агропромышленного комплекса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 рублей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15 375,48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544,24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281,44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C65096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7F2DF7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480BBB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D3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1D6FBF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D37" w:rsidRPr="00E1463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застрахованной посевной (посадочной) площади в общей посевной (посадочной) площади (в условных единицах площади)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A26" w:rsidRDefault="00FA4A26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B6D37" w:rsidRPr="007F2DF7" w:rsidRDefault="007B6D3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7F2DF7" w:rsidRDefault="007B6D37" w:rsidP="007F2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480BBB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6D3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1D6FBF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D37" w:rsidRPr="00E14633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застрахованного поголовья сельскохозяйственных животных в общем поголовье сельскохозяйственных животных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2D24D3" w:rsidRDefault="007B6D37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4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7F2DF7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7F2DF7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D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D37" w:rsidRPr="00480BBB" w:rsidRDefault="007B6D3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Default="001A58EA" w:rsidP="001A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края конкурентоспособной продукцией растениеводства основных видов местного производства на уровне рекомендуемых рациональных норм потребления, животноводства - исходным сырьем для кормов на основе местных кормовых культур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58EA" w:rsidRPr="00480BBB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посевных площадей, занятых зерновыми, зернобобовыми и кормовыми сельскохозяйственными культурами (вместе с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масличными)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тысяча гектаров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488,90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Государственной программе развития сельского хозяйства и регулирования рынков сельскохозяйственной 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продукции, сырья и продовольствия</w:t>
            </w:r>
          </w:p>
          <w:p w:rsidR="00FA4A26" w:rsidRDefault="00FA4A26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A99" w:rsidRDefault="00566A99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A99" w:rsidRDefault="00566A99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6A99" w:rsidRPr="00DC477B" w:rsidRDefault="00566A99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C477B" w:rsidRPr="00DC477B" w:rsidRDefault="00DC477B" w:rsidP="0056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Приморского края</w:t>
            </w:r>
            <w:r w:rsidR="00566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25 августа 2021 г. № 557-пп </w:t>
            </w: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«Об утверждении Порядка предоставления субсидий из краевого бюджета сельскохозяйственным товаропроизводителям Приморского края (за исключением граждан, ведущих личное подсобное хозяйство) на возмещение части затрат, связанных со стимулированием развития приоритетных </w:t>
            </w:r>
            <w:proofErr w:type="spellStart"/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подотраслей</w:t>
            </w:r>
            <w:proofErr w:type="spellEnd"/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агропромышленного комплекса Приморского края»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Валовый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Валовый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65,35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65,45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65,45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Валовый сбор овощей защищенного грунта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Валовый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Посевная площадь кормовых культур по сельскохозяйственным организациям, крестьянским (фермерским)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хозяйствам, включая индивидуальных предпринимателей, в районах Крайнего Севера и приравненных к ним местностям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тысяча гектаров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приобретенных семян сельскохозяйственных культур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посевных площадей, занятых зерновыми, зернобобовыми, масличными (за исключением рапса и сои)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предпринимателей, в субъекте Российской Федерации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гектаров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1523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реализованных зерновых культур собственного производства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гектаров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7B6D37" w:rsidRDefault="007969A2" w:rsidP="007B6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закладки многолетних плодовых и (или) ягодных насаждений, виноградников и виноградных питомников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гектар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254644" w:rsidRDefault="00DC477B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B0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Default="001A58EA" w:rsidP="001A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Приморского края конкурентоспособной продукцией животноводства основных видов местного производства на уровне рекомендуемых рациональных норм потребления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58EA" w:rsidRPr="00480BBB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тысяча </w:t>
            </w: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75,40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министерство сельского хозяйства Приморского </w:t>
            </w: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480BB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яиц в хозяйствах всех категорий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 штук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295,40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295,70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295,70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меда в хозяйствах всех категорий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племенного маточного поголовья сельскохозяйственных животных (в перерасчете на условные головы)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товарного поголовья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нетелей в основное стадо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77B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77B" w:rsidRPr="00E14633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свиней на убой (в живом весе)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3C5F44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Pr="009E124C" w:rsidRDefault="00DC477B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77B" w:rsidRDefault="00DC477B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9E124C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плановых диагностических исследований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466 157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466 157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1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453 393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9E124C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4A26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32B7" w:rsidRPr="009E124C" w:rsidRDefault="00FA4A26" w:rsidP="00DE32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DE32B7" w:rsidRPr="009E1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осударственная ветеринарная инспекция Приморского края</w:t>
            </w:r>
          </w:p>
          <w:p w:rsidR="00DE32B7" w:rsidRPr="009E124C" w:rsidRDefault="00DE32B7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902 118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897 507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897 507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1 024 089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аккредитованных лабораторий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приютов для животных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поголовья молочных коров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jc w:val="center"/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2B7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E762F1" w:rsidRDefault="007969A2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32B7" w:rsidRPr="00E14633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собственности в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сфере ветеринарии (количество объектов)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Pr="003C5F44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32B7" w:rsidRDefault="00DE32B7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Default="001A58EA" w:rsidP="001A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продовольственной безопасности Приморского края и повышение конкурентоспособности приморской пищевой продукции</w:t>
            </w:r>
            <w:r w:rsidR="00620A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58EA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9333B0" w:rsidRDefault="00646B95" w:rsidP="001A58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социальных сортов хлеба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333B0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DC477B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17.12.2020 № 2140 (ред. от 12.03.2022, с изм. от 16.04.2022) «Об утверждении Правил предоставления и распределения иных межбюджетных трансфертов, имеющих целевое назначение, из федерального бюджета бюджетам субъектов Российской Федерации в целях </w:t>
            </w:r>
            <w:proofErr w:type="spellStart"/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DC4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9333B0" w:rsidRDefault="00646B95" w:rsidP="001A58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созданных на сельских территориях Приморского края пунктов приема молока у крестьянских (фермерских) хозяйств и граждан, ведущих личное подсобное хозяйство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333B0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9333B0" w:rsidRDefault="00646B95" w:rsidP="001A58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закупленного молока у крестьянских (фермерских) хозяйств и граждан, ведущих личное подсобное хозяйство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333B0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9333B0" w:rsidRDefault="00646B95" w:rsidP="001A58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реализованной рыбы и рыбной продукции, а также кальмара (тушка) за отчетный год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333B0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килограмм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9333B0" w:rsidRDefault="00646B95" w:rsidP="001A58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произведенного и реализованного хлеба и хлебобулочных изделий с использованием компенсации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333B0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тонн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1A58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1A58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8EA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8EA" w:rsidRDefault="001A58EA" w:rsidP="001A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3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сельскохозяйственных потребительских кооперативов на территории края, увеличение объемов производства сельскохозяйственной продукции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проектов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грантополучателей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реализуемых с помощью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грантовой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поддержки на развитие семейных ферм и гранта "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Агропрогресс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Государственной 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крестьянских (фермерских) хозяйств, получивших дополнительную государственную поддержку на развитие семейных животноводческих ферм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объема сельскохозяйственной продукции, произведенной в отчетном году крестьянскими (фермерскими) хозяйствами и индивидуальными предпринимателями, реализующими проекты с помощью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поддержки на развитие семейных ферм и гранта "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Агропрогресс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за последние 5 лет (включая отчетный год), по отношению к предыдущему году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проектов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грантополучателей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реализуемых с помощью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грантовой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поддержки на развитие материально-технической базы сельскохозяйственных потребительских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кооперативов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объема сельскохозяйственной продукции, реализованной в отчетном году сельскохозяйственными потребительскими кооперативами, получившими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поддержку, за последние пять лет (включая отчетный год), по отношению к предыдущему году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969A2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проектов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грантополучателей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реализуемых с помощью гранта "Соотечественник"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3A0488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0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качества почвы, повышение ее плодородия посредством мелиоративных мероприятий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гектар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46B95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14.05.2021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731 (ред. от 16.03.2022)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пашни, на которой реализованы мероприятия в области известкования кислых почв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гектар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1948,0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обрабатываемой пашни в ее общем объеме в хозяйствах всех категорий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11" w:colLast="1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в эксплуатацию мелиорируемых земель за счет проведения гидромелиоративн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ых мероприятий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гектар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646B95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в эксплуатацию мелиорируемых земель для выращивания экспортно-ориентированной сельскохозяйственной продукции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гектар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13500,0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C2F26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11479A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«</w:t>
            </w:r>
            <w:r w:rsidR="00646B95" w:rsidRPr="008D2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деятельности исполнительных органов государственной власти Приморского края в сфере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6B95" w:rsidRPr="00480BBB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получателей мер государственной поддержки в сфере агропромышленного комплекса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480BB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480BB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3A6394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4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14.07.2012 № 717 (ред. от 19.04.2022) «О Государственной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B95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A71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экспорта продукции агропромышленного комплекса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6B95" w:rsidRPr="008D26C0" w:rsidTr="007F2DF7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762F1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8D26C0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3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экспорта продукции агропромышленного комплекса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млрд долларов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1,4235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1,9122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2,0765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E856AB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646B95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 мая 2021 г. № 7</w:t>
            </w:r>
            <w:r w:rsid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8D26C0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46B95" w:rsidRPr="00480BBB" w:rsidTr="007F2DF7">
        <w:trPr>
          <w:trHeight w:val="667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D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количества вновь вовлеченных в субъекты малого и среднего предпринимательства (МСП) в сельском хозяйстве к 2024 году не менее 579 человек, создание и развитие субъектов МСП в агропромышленном комплексе, в том числе крестьянских (фермерских) хозяйств и сельскохозяйственных потребительских кооперативов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 </w:t>
            </w:r>
            <w:hyperlink r:id="rId6" w:anchor="/document/72185938/entry/44" w:history="1">
              <w:r w:rsidRPr="00E14633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федерального </w:t>
              </w:r>
              <w:r w:rsidRPr="00E14633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lastRenderedPageBreak/>
                <w:t>проекта</w:t>
              </w:r>
            </w:hyperlink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"Создание системы поддержки фермеров и развитие сельской кооперации"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DC477B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Правительства РФ от 14.07.2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№ 717 (ред. от 19.04.2022) «</w:t>
            </w:r>
            <w:r w:rsidRPr="00C650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Default="00646B95" w:rsidP="00646B95"/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A71DC" w:rsidRDefault="007F2DF7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Центра компетенций в сфере сельскохозяйственной кооперации и поддержки фермеров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Default="00646B95" w:rsidP="00646B95"/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первичных обращений за консультациями и (или) услугами в Центр компетенций в сфере сельскохозяйственной кооперации и поддержки фермеров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Default="00646B95" w:rsidP="00646B95"/>
        </w:tc>
      </w:tr>
      <w:tr w:rsidR="00646B95" w:rsidRPr="00480BBB" w:rsidTr="00566A99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Pr="00E14633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субъектов малого и среднего предпринимательства в агропромышленном комплексе, получивших комплексную поддержку с момента начала предпринимательской деятельности до выхода на уровень развития, предполагающий интеграцию в более крупные единицы бизнеса (количество субъектов малого и среднего предпринимательства в сфере агропромышленного комплекса, получивших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поддержку, в том числе в результате услуг, оказанных центрами компетенций в сфере сельскохозяйственной кооперации и поддержки фермеров, накопленным итогом)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CE1CFF" w:rsidRDefault="00646B95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Pr="00900554" w:rsidRDefault="00646B95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сельского хозяйства Приморского края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6B95" w:rsidRDefault="00646B95" w:rsidP="00646B95"/>
        </w:tc>
      </w:tr>
      <w:tr w:rsidR="00646B95" w:rsidRPr="00480BBB" w:rsidTr="007F2DF7">
        <w:trPr>
          <w:trHeight w:val="288"/>
          <w:jc w:val="center"/>
        </w:trPr>
        <w:tc>
          <w:tcPr>
            <w:tcW w:w="2235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6B95" w:rsidRDefault="00646B95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D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улучшения социально-демографической ситуации в сельской местности, расширение рынка труда в сельской местности и обеспечение его привлекательности</w:t>
            </w:r>
            <w:r w:rsidR="00114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7D7660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метр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873,76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256,60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646B95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от 31.05.2019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696 (ред. от 24.12.2021)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 утверждении государственной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Российской Федерации «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развитие сельских 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46B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 внесении изменений в некоторые акты 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ительства Российской Федерации»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0C13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физической культуры и спорта Приморского края;</w:t>
            </w:r>
          </w:p>
          <w:p w:rsidR="002C0C13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культуры и архивного дела Приморского края;</w:t>
            </w:r>
          </w:p>
          <w:p w:rsidR="0011479A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министерство строительства Приморского края; </w:t>
            </w:r>
          </w:p>
          <w:p w:rsidR="0011479A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министерство жилищно-коммунального хозяйства Приморского края; </w:t>
            </w:r>
          </w:p>
          <w:p w:rsidR="002C0C13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образования Приморского края</w:t>
            </w:r>
          </w:p>
          <w:p w:rsidR="002C0C13" w:rsidRPr="00900554" w:rsidRDefault="002C0C13" w:rsidP="009005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построенных (реконструированных) автомобильных дорог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 сельских территориях проектов по благоустройству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проектов по благоустройству сельских территорий (резервный фонд Правительства Российской Федерации)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проектов комплексного развития сельских территорий, отобранных для субсидирования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созданных </w:t>
            </w: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рабочих мест (заполненных штатных единиц) в период реализации проектов комплексного развития сельских территорий), отобранных для субсидирования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0C13" w:rsidRPr="00480BBB" w:rsidTr="004D556F">
        <w:trPr>
          <w:gridAfter w:val="1"/>
          <w:wAfter w:w="9" w:type="dxa"/>
          <w:trHeight w:val="288"/>
          <w:jc w:val="center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A71DC" w:rsidRDefault="007F2DF7" w:rsidP="00DE3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0C13" w:rsidRPr="00E1463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отремонтированных объектов муниципальных физкультурно-спортивных организаций на сельских территориях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CE1CFF" w:rsidRDefault="002C0C13" w:rsidP="00646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Pr="00B325DB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0C13" w:rsidRDefault="002C0C13" w:rsidP="0064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22D6" w:rsidRDefault="002922D6"/>
    <w:sectPr w:rsidR="002922D6" w:rsidSect="0056111C">
      <w:pgSz w:w="23814" w:h="16902" w:orient="landscape"/>
      <w:pgMar w:top="851" w:right="567" w:bottom="1418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A0CBA"/>
    <w:multiLevelType w:val="hybridMultilevel"/>
    <w:tmpl w:val="DE609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87C45"/>
    <w:multiLevelType w:val="hybridMultilevel"/>
    <w:tmpl w:val="81DE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A0CE2"/>
    <w:multiLevelType w:val="hybridMultilevel"/>
    <w:tmpl w:val="FB208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E16C7"/>
    <w:multiLevelType w:val="hybridMultilevel"/>
    <w:tmpl w:val="257C4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4E"/>
    <w:rsid w:val="000A22D3"/>
    <w:rsid w:val="000E5386"/>
    <w:rsid w:val="000F6F8B"/>
    <w:rsid w:val="00102FA1"/>
    <w:rsid w:val="00112B12"/>
    <w:rsid w:val="0011479A"/>
    <w:rsid w:val="00115927"/>
    <w:rsid w:val="00151265"/>
    <w:rsid w:val="00165F4E"/>
    <w:rsid w:val="001745EE"/>
    <w:rsid w:val="001A58EA"/>
    <w:rsid w:val="001B1F6E"/>
    <w:rsid w:val="001B7CA5"/>
    <w:rsid w:val="001D68F6"/>
    <w:rsid w:val="001D6FBF"/>
    <w:rsid w:val="001F0372"/>
    <w:rsid w:val="0024710E"/>
    <w:rsid w:val="00252873"/>
    <w:rsid w:val="00254644"/>
    <w:rsid w:val="002922D6"/>
    <w:rsid w:val="002C0C13"/>
    <w:rsid w:val="002D24D3"/>
    <w:rsid w:val="002E7903"/>
    <w:rsid w:val="002E7940"/>
    <w:rsid w:val="00342A2D"/>
    <w:rsid w:val="00386584"/>
    <w:rsid w:val="003A0488"/>
    <w:rsid w:val="003A6394"/>
    <w:rsid w:val="003C5F44"/>
    <w:rsid w:val="00445525"/>
    <w:rsid w:val="004715DE"/>
    <w:rsid w:val="00480BBB"/>
    <w:rsid w:val="004A6CE8"/>
    <w:rsid w:val="004C21AD"/>
    <w:rsid w:val="004D556F"/>
    <w:rsid w:val="0055188F"/>
    <w:rsid w:val="0056111C"/>
    <w:rsid w:val="00566A99"/>
    <w:rsid w:val="005B5216"/>
    <w:rsid w:val="005B6640"/>
    <w:rsid w:val="005D5E7E"/>
    <w:rsid w:val="005F61B6"/>
    <w:rsid w:val="005F6936"/>
    <w:rsid w:val="00620AA3"/>
    <w:rsid w:val="00646B95"/>
    <w:rsid w:val="006C2F26"/>
    <w:rsid w:val="007110A9"/>
    <w:rsid w:val="007709A4"/>
    <w:rsid w:val="00773996"/>
    <w:rsid w:val="007941F9"/>
    <w:rsid w:val="00795226"/>
    <w:rsid w:val="007969A2"/>
    <w:rsid w:val="007B6D37"/>
    <w:rsid w:val="007D7660"/>
    <w:rsid w:val="007F2DF7"/>
    <w:rsid w:val="00834EA0"/>
    <w:rsid w:val="00870D74"/>
    <w:rsid w:val="00886BC2"/>
    <w:rsid w:val="00893BB0"/>
    <w:rsid w:val="008D26C0"/>
    <w:rsid w:val="00900554"/>
    <w:rsid w:val="00925EA1"/>
    <w:rsid w:val="009333B0"/>
    <w:rsid w:val="00943A87"/>
    <w:rsid w:val="00944ED2"/>
    <w:rsid w:val="00974851"/>
    <w:rsid w:val="009B64C8"/>
    <w:rsid w:val="009D00B2"/>
    <w:rsid w:val="009E124C"/>
    <w:rsid w:val="00A220C0"/>
    <w:rsid w:val="00A43B7B"/>
    <w:rsid w:val="00AD0446"/>
    <w:rsid w:val="00B01947"/>
    <w:rsid w:val="00B02759"/>
    <w:rsid w:val="00B20072"/>
    <w:rsid w:val="00B325DB"/>
    <w:rsid w:val="00B36C61"/>
    <w:rsid w:val="00BA5F03"/>
    <w:rsid w:val="00C0586C"/>
    <w:rsid w:val="00C14F7A"/>
    <w:rsid w:val="00C65096"/>
    <w:rsid w:val="00C65656"/>
    <w:rsid w:val="00CA71DC"/>
    <w:rsid w:val="00CE1CFF"/>
    <w:rsid w:val="00CE332D"/>
    <w:rsid w:val="00DC477B"/>
    <w:rsid w:val="00DD22EE"/>
    <w:rsid w:val="00DD76FB"/>
    <w:rsid w:val="00DE32B7"/>
    <w:rsid w:val="00E14633"/>
    <w:rsid w:val="00E35FB1"/>
    <w:rsid w:val="00E7119B"/>
    <w:rsid w:val="00E762F1"/>
    <w:rsid w:val="00E856AB"/>
    <w:rsid w:val="00F3387A"/>
    <w:rsid w:val="00F918EE"/>
    <w:rsid w:val="00FA16D5"/>
    <w:rsid w:val="00FA4A26"/>
    <w:rsid w:val="00FB7292"/>
    <w:rsid w:val="00FE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13770"/>
  <w14:defaultImageDpi w14:val="0"/>
  <w15:docId w15:val="{1A9FAC55-AA9B-4E5D-8272-61FA5B8F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710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D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46DDE-F44F-43CE-AC6E-2884248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15</Pages>
  <Words>3753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14.10.2015 08:30:13; РР·РјРµРЅРµРЅ: elena 30.06.2022 17:03:30</dc:subject>
  <dc:creator>Keysystems.DWH2.ReportDesigner</dc:creator>
  <cp:keywords/>
  <dc:description/>
  <cp:lastModifiedBy>Выговская Анна Юрьевна</cp:lastModifiedBy>
  <cp:revision>17</cp:revision>
  <cp:lastPrinted>2022-09-07T07:57:00Z</cp:lastPrinted>
  <dcterms:created xsi:type="dcterms:W3CDTF">2022-07-06T02:05:00Z</dcterms:created>
  <dcterms:modified xsi:type="dcterms:W3CDTF">2022-09-14T07:31:00Z</dcterms:modified>
</cp:coreProperties>
</file>