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6E2ABA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63414223" r:id="rId7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C20AC1" w:rsidRDefault="00C20AC1" w:rsidP="00C20AC1">
      <w:pPr>
        <w:jc w:val="center"/>
        <w:rPr>
          <w:b/>
          <w:szCs w:val="28"/>
        </w:rPr>
      </w:pPr>
      <w:r w:rsidRPr="00FF338A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FF338A">
        <w:rPr>
          <w:b/>
          <w:szCs w:val="28"/>
        </w:rPr>
        <w:t xml:space="preserve"> В ЗАКОН ПРИМОРСКОГО КРАЯ </w:t>
      </w:r>
    </w:p>
    <w:p w:rsidR="00C20AC1" w:rsidRPr="00BF259E" w:rsidRDefault="00C20AC1" w:rsidP="00C20AC1">
      <w:pPr>
        <w:jc w:val="center"/>
        <w:rPr>
          <w:b/>
          <w:bCs/>
          <w:szCs w:val="28"/>
        </w:rPr>
      </w:pPr>
      <w:r w:rsidRPr="00BF259E">
        <w:rPr>
          <w:b/>
          <w:szCs w:val="28"/>
        </w:rPr>
        <w:t>"ОБ УПРАВЛЕНИИ СОБСТВЕННОСТЬЮ ПРИМОРСКОГО КРАЯ"</w:t>
      </w:r>
    </w:p>
    <w:p w:rsidR="00C20AC1" w:rsidRPr="00FF338A" w:rsidRDefault="00C20AC1" w:rsidP="00C20AC1">
      <w:pPr>
        <w:jc w:val="center"/>
        <w:rPr>
          <w:b/>
          <w:bCs/>
          <w:szCs w:val="28"/>
        </w:rPr>
      </w:pPr>
    </w:p>
    <w:p w:rsidR="00C20AC1" w:rsidRPr="005B66F3" w:rsidRDefault="00C20AC1" w:rsidP="00C20A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66F3">
        <w:rPr>
          <w:rFonts w:ascii="Times New Roman" w:hAnsi="Times New Roman" w:cs="Times New Roman"/>
          <w:b w:val="0"/>
          <w:bCs w:val="0"/>
          <w:sz w:val="28"/>
          <w:szCs w:val="28"/>
        </w:rPr>
        <w:t>Принят Законодательным Собранием Приморского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 сентября 2020 года</w:t>
      </w:r>
    </w:p>
    <w:p w:rsidR="00C20AC1" w:rsidRPr="005B66F3" w:rsidRDefault="00C20AC1" w:rsidP="00C20AC1">
      <w:pPr>
        <w:ind w:firstLine="709"/>
        <w:rPr>
          <w:szCs w:val="28"/>
        </w:rPr>
      </w:pPr>
    </w:p>
    <w:p w:rsidR="00C20AC1" w:rsidRPr="005B66F3" w:rsidRDefault="00C20AC1" w:rsidP="00C20AC1">
      <w:pPr>
        <w:ind w:firstLine="709"/>
        <w:jc w:val="both"/>
        <w:rPr>
          <w:rFonts w:eastAsia="Calibri"/>
          <w:szCs w:val="28"/>
          <w:lang w:eastAsia="en-US"/>
        </w:rPr>
      </w:pPr>
      <w:r w:rsidRPr="005B66F3">
        <w:rPr>
          <w:rFonts w:eastAsia="Calibri"/>
          <w:szCs w:val="28"/>
          <w:lang w:eastAsia="en-US"/>
        </w:rPr>
        <w:t>СТАТЬЯ 1.</w:t>
      </w:r>
    </w:p>
    <w:p w:rsidR="00C20AC1" w:rsidRPr="005B66F3" w:rsidRDefault="00C20AC1" w:rsidP="00C20A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66F3">
        <w:rPr>
          <w:szCs w:val="28"/>
        </w:rPr>
        <w:t xml:space="preserve">Внести в Закон Приморского края от 9 августа 2000 года № 99-КЗ </w:t>
      </w:r>
      <w:r w:rsidRPr="005B66F3">
        <w:rPr>
          <w:szCs w:val="28"/>
        </w:rPr>
        <w:br/>
        <w:t>"Об управлении собственностью Приморского края</w:t>
      </w:r>
      <w:bookmarkStart w:id="0" w:name="OLE_LINK1"/>
      <w:bookmarkStart w:id="1" w:name="OLE_LINK2"/>
      <w:r w:rsidRPr="005B66F3">
        <w:rPr>
          <w:szCs w:val="28"/>
        </w:rPr>
        <w:t xml:space="preserve">" </w:t>
      </w:r>
      <w:bookmarkEnd w:id="0"/>
      <w:bookmarkEnd w:id="1"/>
      <w:r w:rsidRPr="005B66F3">
        <w:rPr>
          <w:szCs w:val="28"/>
        </w:rPr>
        <w:t xml:space="preserve">(Ведомости Думы Приморского края, 2000, </w:t>
      </w:r>
      <w:r w:rsidRPr="005B66F3">
        <w:rPr>
          <w:rFonts w:eastAsia="Calibri"/>
          <w:szCs w:val="28"/>
          <w:lang w:eastAsia="en-US"/>
        </w:rPr>
        <w:t>№</w:t>
      </w:r>
      <w:r w:rsidRPr="005B66F3">
        <w:rPr>
          <w:szCs w:val="28"/>
        </w:rPr>
        <w:t xml:space="preserve"> 66, стр. 2; Ведомости Законодательного Собрания Приморского края, 2001, </w:t>
      </w:r>
      <w:r w:rsidRPr="005B66F3">
        <w:rPr>
          <w:rFonts w:eastAsia="Calibri"/>
          <w:szCs w:val="28"/>
          <w:lang w:eastAsia="en-US"/>
        </w:rPr>
        <w:t xml:space="preserve">№ </w:t>
      </w:r>
      <w:r w:rsidRPr="005B66F3">
        <w:rPr>
          <w:szCs w:val="28"/>
        </w:rPr>
        <w:t xml:space="preserve">98, стр. 68; 2002, </w:t>
      </w:r>
      <w:r w:rsidRPr="005B66F3">
        <w:rPr>
          <w:rFonts w:eastAsia="Calibri"/>
          <w:szCs w:val="28"/>
          <w:lang w:eastAsia="en-US"/>
        </w:rPr>
        <w:t>№</w:t>
      </w:r>
      <w:r w:rsidRPr="005B66F3">
        <w:rPr>
          <w:szCs w:val="28"/>
        </w:rPr>
        <w:t xml:space="preserve"> 108, стр. 6, </w:t>
      </w:r>
      <w:r w:rsidRPr="005B66F3">
        <w:rPr>
          <w:szCs w:val="28"/>
        </w:rPr>
        <w:br/>
      </w:r>
      <w:r w:rsidRPr="005B66F3">
        <w:rPr>
          <w:rFonts w:eastAsia="Calibri"/>
          <w:szCs w:val="28"/>
          <w:lang w:eastAsia="en-US"/>
        </w:rPr>
        <w:t xml:space="preserve">№ </w:t>
      </w:r>
      <w:r w:rsidRPr="005B66F3">
        <w:rPr>
          <w:szCs w:val="28"/>
        </w:rPr>
        <w:t xml:space="preserve">115, стр. 45; 2003, </w:t>
      </w:r>
      <w:r w:rsidRPr="005B66F3">
        <w:rPr>
          <w:rFonts w:eastAsia="Calibri"/>
          <w:szCs w:val="28"/>
          <w:lang w:eastAsia="en-US"/>
        </w:rPr>
        <w:t xml:space="preserve">№ </w:t>
      </w:r>
      <w:r w:rsidRPr="005B66F3">
        <w:rPr>
          <w:szCs w:val="28"/>
        </w:rPr>
        <w:t xml:space="preserve">39, стр. 9; 2004, </w:t>
      </w:r>
      <w:r w:rsidRPr="005B66F3">
        <w:rPr>
          <w:rFonts w:eastAsia="Calibri"/>
          <w:szCs w:val="28"/>
          <w:lang w:eastAsia="en-US"/>
        </w:rPr>
        <w:t>№</w:t>
      </w:r>
      <w:r w:rsidRPr="005B66F3">
        <w:rPr>
          <w:szCs w:val="28"/>
        </w:rPr>
        <w:t xml:space="preserve"> 63, стр. 37; 2007, </w:t>
      </w:r>
      <w:r w:rsidRPr="005B66F3">
        <w:rPr>
          <w:rFonts w:eastAsia="Calibri"/>
          <w:szCs w:val="28"/>
          <w:lang w:eastAsia="en-US"/>
        </w:rPr>
        <w:t>№</w:t>
      </w:r>
      <w:r w:rsidRPr="005B66F3">
        <w:rPr>
          <w:szCs w:val="28"/>
        </w:rPr>
        <w:t xml:space="preserve"> 24, стр. 7; 2008, </w:t>
      </w:r>
      <w:r w:rsidRPr="005B66F3">
        <w:rPr>
          <w:rFonts w:eastAsia="Calibri"/>
          <w:szCs w:val="28"/>
          <w:lang w:eastAsia="en-US"/>
        </w:rPr>
        <w:t>№</w:t>
      </w:r>
      <w:r w:rsidRPr="005B66F3">
        <w:rPr>
          <w:szCs w:val="28"/>
        </w:rPr>
        <w:t xml:space="preserve"> 92, стр. 13; 2009, </w:t>
      </w:r>
      <w:r w:rsidRPr="005B66F3">
        <w:rPr>
          <w:rFonts w:eastAsia="Calibri"/>
          <w:szCs w:val="28"/>
          <w:lang w:eastAsia="en-US"/>
        </w:rPr>
        <w:t xml:space="preserve">№ </w:t>
      </w:r>
      <w:r w:rsidRPr="005B66F3">
        <w:rPr>
          <w:szCs w:val="28"/>
        </w:rPr>
        <w:t xml:space="preserve">101, стр. 17, </w:t>
      </w:r>
      <w:r w:rsidRPr="005B66F3">
        <w:rPr>
          <w:rFonts w:eastAsia="Calibri"/>
          <w:szCs w:val="28"/>
          <w:lang w:eastAsia="en-US"/>
        </w:rPr>
        <w:t xml:space="preserve">№ </w:t>
      </w:r>
      <w:r w:rsidRPr="005B66F3">
        <w:rPr>
          <w:szCs w:val="28"/>
        </w:rPr>
        <w:t xml:space="preserve">118, стр. 26, </w:t>
      </w:r>
      <w:r w:rsidRPr="005B66F3">
        <w:rPr>
          <w:rFonts w:eastAsia="Calibri"/>
          <w:szCs w:val="28"/>
          <w:lang w:eastAsia="en-US"/>
        </w:rPr>
        <w:t xml:space="preserve">№ </w:t>
      </w:r>
      <w:r w:rsidRPr="005B66F3">
        <w:rPr>
          <w:szCs w:val="28"/>
        </w:rPr>
        <w:t xml:space="preserve">128, стр. 3; 2010, </w:t>
      </w:r>
      <w:r w:rsidRPr="005B66F3">
        <w:rPr>
          <w:rFonts w:eastAsia="Calibri"/>
          <w:szCs w:val="28"/>
          <w:lang w:eastAsia="en-US"/>
        </w:rPr>
        <w:t>№</w:t>
      </w:r>
      <w:r w:rsidRPr="005B66F3">
        <w:rPr>
          <w:szCs w:val="28"/>
        </w:rPr>
        <w:t xml:space="preserve"> 172, стр. 43; 2012, </w:t>
      </w:r>
      <w:r w:rsidRPr="005B66F3">
        <w:rPr>
          <w:rFonts w:eastAsia="Calibri"/>
          <w:szCs w:val="28"/>
          <w:lang w:eastAsia="en-US"/>
        </w:rPr>
        <w:t xml:space="preserve">№ </w:t>
      </w:r>
      <w:r w:rsidRPr="005B66F3">
        <w:rPr>
          <w:szCs w:val="28"/>
        </w:rPr>
        <w:t xml:space="preserve">23, стр. 30, </w:t>
      </w:r>
      <w:r w:rsidRPr="005B66F3">
        <w:rPr>
          <w:rFonts w:eastAsia="Calibri"/>
          <w:szCs w:val="28"/>
          <w:lang w:eastAsia="en-US"/>
        </w:rPr>
        <w:t xml:space="preserve">№ </w:t>
      </w:r>
      <w:r w:rsidRPr="005B66F3">
        <w:rPr>
          <w:szCs w:val="28"/>
        </w:rPr>
        <w:t xml:space="preserve">35, стр. 26; 2015, </w:t>
      </w:r>
      <w:r w:rsidRPr="005B66F3">
        <w:rPr>
          <w:rFonts w:eastAsia="Calibri"/>
          <w:szCs w:val="28"/>
          <w:lang w:eastAsia="en-US"/>
        </w:rPr>
        <w:t xml:space="preserve">№ </w:t>
      </w:r>
      <w:r w:rsidRPr="005B66F3">
        <w:rPr>
          <w:szCs w:val="28"/>
        </w:rPr>
        <w:t xml:space="preserve">132, стр. 42; 2016, </w:t>
      </w:r>
      <w:r w:rsidRPr="005B66F3">
        <w:rPr>
          <w:rFonts w:eastAsia="Calibri"/>
          <w:szCs w:val="28"/>
          <w:lang w:eastAsia="en-US"/>
        </w:rPr>
        <w:t>№</w:t>
      </w:r>
      <w:r w:rsidRPr="005B66F3">
        <w:rPr>
          <w:szCs w:val="28"/>
        </w:rPr>
        <w:t xml:space="preserve"> 151, стр. 32; 2017, № 20, стр. 37; 2018, № 62, стр. 36; 2019, № 87, стр. 52, </w:t>
      </w:r>
      <w:r w:rsidRPr="005B66F3">
        <w:rPr>
          <w:szCs w:val="28"/>
        </w:rPr>
        <w:br/>
        <w:t>№ 91, стр. 44, № 107, стр. 93) следующие изменения:</w:t>
      </w:r>
    </w:p>
    <w:p w:rsidR="00C20AC1" w:rsidRDefault="00C20AC1" w:rsidP="00C20AC1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B66F3">
        <w:rPr>
          <w:szCs w:val="28"/>
        </w:rPr>
        <w:t>1)</w:t>
      </w:r>
      <w:r>
        <w:rPr>
          <w:szCs w:val="28"/>
        </w:rPr>
        <w:t>в части 2 статьи 13:</w:t>
      </w:r>
    </w:p>
    <w:p w:rsidR="00C20AC1" w:rsidRPr="005B66F3" w:rsidRDefault="00C20AC1" w:rsidP="00C20AC1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а)</w:t>
      </w:r>
      <w:r w:rsidRPr="005B66F3">
        <w:rPr>
          <w:szCs w:val="28"/>
        </w:rPr>
        <w:t>пункты 9-11</w:t>
      </w:r>
      <w:r>
        <w:rPr>
          <w:szCs w:val="28"/>
        </w:rPr>
        <w:t xml:space="preserve"> </w:t>
      </w:r>
      <w:r w:rsidRPr="005B66F3">
        <w:rPr>
          <w:szCs w:val="28"/>
        </w:rPr>
        <w:t>изложить в следующей редакции:</w:t>
      </w:r>
    </w:p>
    <w:p w:rsidR="00C20AC1" w:rsidRPr="005B66F3" w:rsidRDefault="00C20AC1" w:rsidP="00C20AC1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B66F3">
        <w:rPr>
          <w:szCs w:val="28"/>
        </w:rPr>
        <w:t>"9)с учетом рекомендаций отраслевого органа исполнительной власти Приморского края дает согласие на распоряжение недвижимым имуществом, закрепленным за краевыми государственными унитарными предприятиями на праве хозяйственного ведения;</w:t>
      </w:r>
    </w:p>
    <w:p w:rsidR="00C20AC1" w:rsidRPr="005B66F3" w:rsidRDefault="00C20AC1" w:rsidP="00C20AC1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B66F3">
        <w:rPr>
          <w:szCs w:val="28"/>
        </w:rPr>
        <w:t>10)с учетом рекомендаци</w:t>
      </w:r>
      <w:r>
        <w:rPr>
          <w:szCs w:val="28"/>
        </w:rPr>
        <w:t>й</w:t>
      </w:r>
      <w:r w:rsidRPr="005B66F3">
        <w:rPr>
          <w:szCs w:val="28"/>
        </w:rPr>
        <w:t xml:space="preserve"> отраслевого органа исполнительной власти Приморского края дает согласие на распоряжение недвижимым имуществом и особо ценным движимым имуществом, закрепленным за краевыми государственными учреждениями на праве оперативного управления;</w:t>
      </w:r>
    </w:p>
    <w:p w:rsidR="00C20AC1" w:rsidRPr="005B66F3" w:rsidRDefault="00C20AC1" w:rsidP="00C20AC1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B66F3">
        <w:rPr>
          <w:szCs w:val="28"/>
        </w:rPr>
        <w:t>11)с учетом рекомендаций отраслевого органа исполнительной власти Приморского края дает согласие на распоряжение недвижимым имуществом, закрепл</w:t>
      </w:r>
      <w:r>
        <w:rPr>
          <w:szCs w:val="28"/>
        </w:rPr>
        <w:t>е</w:t>
      </w:r>
      <w:r w:rsidRPr="005B66F3">
        <w:rPr>
          <w:szCs w:val="28"/>
        </w:rPr>
        <w:t>нным за краевыми государственными унитарными предприятиями на праве оперативного управления;";</w:t>
      </w:r>
    </w:p>
    <w:p w:rsidR="00C20AC1" w:rsidRDefault="00C20AC1" w:rsidP="00C20AC1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б)пункт 13 </w:t>
      </w:r>
      <w:r w:rsidRPr="005B66F3">
        <w:rPr>
          <w:szCs w:val="28"/>
        </w:rPr>
        <w:t>изложить в следующей редакции:</w:t>
      </w:r>
    </w:p>
    <w:p w:rsidR="00C20AC1" w:rsidRPr="005B66F3" w:rsidRDefault="00C20AC1" w:rsidP="00C20AC1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"</w:t>
      </w:r>
      <w:r w:rsidRPr="005B66F3">
        <w:rPr>
          <w:szCs w:val="28"/>
        </w:rPr>
        <w:t>13)с учетом рекомендаци</w:t>
      </w:r>
      <w:r>
        <w:rPr>
          <w:szCs w:val="28"/>
        </w:rPr>
        <w:t>й</w:t>
      </w:r>
      <w:r w:rsidRPr="005B66F3">
        <w:rPr>
          <w:szCs w:val="28"/>
        </w:rPr>
        <w:t xml:space="preserve"> отраслевого органа исполнительной власти Приморского края дает согласие на передачу в залог имущества, находящегося на праве хозяйственного ведения или оперативного управления у краевых государственных унитарных предприятий и краевых государственных учреждений, в случаях, установленных действующим законодательством;";</w:t>
      </w:r>
    </w:p>
    <w:p w:rsidR="00C20AC1" w:rsidRPr="005B66F3" w:rsidRDefault="00C20AC1" w:rsidP="00C20AC1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B66F3">
        <w:rPr>
          <w:szCs w:val="28"/>
        </w:rPr>
        <w:t xml:space="preserve">2)в статье 16: </w:t>
      </w:r>
    </w:p>
    <w:p w:rsidR="00C20AC1" w:rsidRPr="005B66F3" w:rsidRDefault="00C20AC1" w:rsidP="00C20AC1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B66F3">
        <w:rPr>
          <w:szCs w:val="28"/>
        </w:rPr>
        <w:t>а)пункты 10-12 изложить в следующей редакции:</w:t>
      </w:r>
    </w:p>
    <w:p w:rsidR="00C20AC1" w:rsidRPr="005B66F3" w:rsidRDefault="00C20AC1" w:rsidP="00CF1176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B66F3">
        <w:rPr>
          <w:szCs w:val="28"/>
        </w:rPr>
        <w:t xml:space="preserve">"10)готовят рекомендации уполномоченному органу по управлению имуществом Приморского края о даче согласия на распоряжение </w:t>
      </w:r>
      <w:r w:rsidRPr="005B66F3">
        <w:rPr>
          <w:szCs w:val="28"/>
        </w:rPr>
        <w:lastRenderedPageBreak/>
        <w:t>недвижимым имуществом, закрепленным за подведомственными краевыми государственными унитарными предприятиями на праве хозяйственного ведения;</w:t>
      </w:r>
    </w:p>
    <w:p w:rsidR="00C20AC1" w:rsidRPr="005B66F3" w:rsidRDefault="00C20AC1" w:rsidP="00CF1176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B66F3">
        <w:rPr>
          <w:szCs w:val="28"/>
        </w:rPr>
        <w:t>11)готовят рекомендации уполномоченному органу по управлению имуществом Приморского края о даче согласия на распоряжение недвижимым имуществом и особо ценным движимым имуществом, закрепленным за подведомственными краевыми государственными учреждениями на праве оперативного управления;</w:t>
      </w:r>
    </w:p>
    <w:p w:rsidR="00C20AC1" w:rsidRPr="005B66F3" w:rsidRDefault="00C20AC1" w:rsidP="00CF1176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B66F3">
        <w:rPr>
          <w:szCs w:val="28"/>
        </w:rPr>
        <w:t>12)готовят рекомендации уполномоченному органу по управлению имуществом Приморского края о даче согласия на распоряжение недвижимым имуществом, закрепленным за краевыми государственными унитарными предприятиями на праве оперативного управления;";</w:t>
      </w:r>
    </w:p>
    <w:p w:rsidR="00C20AC1" w:rsidRPr="005B66F3" w:rsidRDefault="00C20AC1" w:rsidP="00CF1176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B66F3">
        <w:rPr>
          <w:szCs w:val="28"/>
        </w:rPr>
        <w:t>б)дополнить пунктами 17</w:t>
      </w:r>
      <w:r w:rsidRPr="005B66F3">
        <w:rPr>
          <w:szCs w:val="28"/>
          <w:vertAlign w:val="superscript"/>
        </w:rPr>
        <w:t>5</w:t>
      </w:r>
      <w:r w:rsidRPr="005B66F3">
        <w:rPr>
          <w:szCs w:val="28"/>
        </w:rPr>
        <w:t xml:space="preserve"> и 17</w:t>
      </w:r>
      <w:r w:rsidRPr="005B66F3">
        <w:rPr>
          <w:szCs w:val="28"/>
          <w:vertAlign w:val="superscript"/>
        </w:rPr>
        <w:t>6</w:t>
      </w:r>
      <w:r w:rsidRPr="005B66F3">
        <w:rPr>
          <w:szCs w:val="28"/>
        </w:rPr>
        <w:t xml:space="preserve"> следующего содержания:</w:t>
      </w:r>
    </w:p>
    <w:p w:rsidR="00C20AC1" w:rsidRPr="005B66F3" w:rsidRDefault="00C20AC1" w:rsidP="00CF11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66F3">
        <w:rPr>
          <w:szCs w:val="28"/>
        </w:rPr>
        <w:t>"17</w:t>
      </w:r>
      <w:r w:rsidRPr="005B66F3">
        <w:rPr>
          <w:szCs w:val="28"/>
          <w:vertAlign w:val="superscript"/>
        </w:rPr>
        <w:t>5</w:t>
      </w:r>
      <w:r w:rsidRPr="005B66F3">
        <w:rPr>
          <w:szCs w:val="28"/>
        </w:rPr>
        <w:t>)согласовывают совершение подведомственными краевыми государственными унитарными предприятиями и краевыми государственными учреждениями крупных сделок, а в случаях, установленных федеральными законами и иными нормативными правовыми актами</w:t>
      </w:r>
      <w:r>
        <w:rPr>
          <w:szCs w:val="28"/>
        </w:rPr>
        <w:t xml:space="preserve">, </w:t>
      </w:r>
      <w:r w:rsidRPr="00D66CB4">
        <w:rPr>
          <w:rFonts w:eastAsia="Calibri"/>
          <w:szCs w:val="28"/>
          <w:lang w:eastAsia="en-US"/>
        </w:rPr>
        <w:t>–</w:t>
      </w:r>
      <w:r>
        <w:rPr>
          <w:szCs w:val="28"/>
        </w:rPr>
        <w:t xml:space="preserve"> </w:t>
      </w:r>
      <w:r w:rsidRPr="005B66F3">
        <w:rPr>
          <w:szCs w:val="28"/>
        </w:rPr>
        <w:t>иных сделок, за исключением сделок по распоряжению недвижимым и особо ценным движимым имуществом, а также сделок, предусмотренных пунктом 13 части 2 статьи 13 настоящего Закона;</w:t>
      </w:r>
    </w:p>
    <w:p w:rsidR="00C20AC1" w:rsidRPr="005B66F3" w:rsidRDefault="00C20AC1" w:rsidP="00CF1176">
      <w:pPr>
        <w:autoSpaceDE w:val="0"/>
        <w:autoSpaceDN w:val="0"/>
        <w:adjustRightInd w:val="0"/>
        <w:ind w:firstLine="709"/>
        <w:jc w:val="both"/>
        <w:rPr>
          <w:szCs w:val="28"/>
          <w:vertAlign w:val="subscript"/>
        </w:rPr>
      </w:pPr>
      <w:r w:rsidRPr="005B66F3">
        <w:rPr>
          <w:szCs w:val="28"/>
        </w:rPr>
        <w:t>17</w:t>
      </w:r>
      <w:r w:rsidRPr="005B66F3">
        <w:rPr>
          <w:szCs w:val="28"/>
          <w:vertAlign w:val="superscript"/>
        </w:rPr>
        <w:t>6</w:t>
      </w:r>
      <w:r>
        <w:rPr>
          <w:szCs w:val="28"/>
        </w:rPr>
        <w:t>)</w:t>
      </w:r>
      <w:r w:rsidRPr="005B66F3">
        <w:rPr>
          <w:szCs w:val="28"/>
        </w:rPr>
        <w:t>готовят рекомендации уполномоченному органу по управлению имуществом Приморского края о даче согласия на передачу в залог имущества, находящегося на праве хозяйственного ведения или оперативного управления у краевых государственных унитарных предприятий и краевых государственных учреждений, в случаях, установленных действующим законодательством;".</w:t>
      </w:r>
    </w:p>
    <w:p w:rsidR="00C20AC1" w:rsidRPr="005B66F3" w:rsidRDefault="00C20AC1" w:rsidP="00C20AC1">
      <w:pPr>
        <w:ind w:firstLine="720"/>
        <w:jc w:val="both"/>
        <w:rPr>
          <w:szCs w:val="28"/>
        </w:rPr>
      </w:pPr>
    </w:p>
    <w:p w:rsidR="00C20AC1" w:rsidRPr="005B66F3" w:rsidRDefault="00C20AC1" w:rsidP="00C20AC1">
      <w:pPr>
        <w:ind w:firstLine="720"/>
        <w:rPr>
          <w:szCs w:val="28"/>
        </w:rPr>
      </w:pPr>
      <w:r w:rsidRPr="005B66F3">
        <w:rPr>
          <w:szCs w:val="28"/>
        </w:rPr>
        <w:t>СТАТЬЯ 2.</w:t>
      </w:r>
    </w:p>
    <w:p w:rsidR="00C20AC1" w:rsidRPr="005B66F3" w:rsidRDefault="00C20AC1" w:rsidP="00C20AC1">
      <w:pPr>
        <w:jc w:val="both"/>
        <w:rPr>
          <w:szCs w:val="28"/>
        </w:rPr>
      </w:pPr>
      <w:r w:rsidRPr="005B66F3">
        <w:rPr>
          <w:szCs w:val="28"/>
        </w:rPr>
        <w:tab/>
        <w:t>Настоящий Закон вступает в силу со дня его официального опубликования.</w:t>
      </w:r>
    </w:p>
    <w:p w:rsidR="00C20AC1" w:rsidRPr="005B66F3" w:rsidRDefault="00C20AC1" w:rsidP="00C20AC1">
      <w:pPr>
        <w:jc w:val="both"/>
        <w:rPr>
          <w:szCs w:val="28"/>
        </w:rPr>
      </w:pPr>
    </w:p>
    <w:p w:rsidR="00C20AC1" w:rsidRPr="005B66F3" w:rsidRDefault="00C20AC1" w:rsidP="00C20AC1">
      <w:pPr>
        <w:jc w:val="both"/>
        <w:rPr>
          <w:szCs w:val="28"/>
        </w:rPr>
      </w:pPr>
    </w:p>
    <w:p w:rsidR="00C20AC1" w:rsidRPr="005B66F3" w:rsidRDefault="00C20AC1" w:rsidP="00C20AC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20AC1" w:rsidRDefault="00C20AC1" w:rsidP="00C20AC1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5B66F3">
        <w:rPr>
          <w:szCs w:val="28"/>
        </w:rPr>
        <w:t>Губернатор края                                                                             О.Н. Кожемяко</w:t>
      </w:r>
    </w:p>
    <w:p w:rsidR="001862D5" w:rsidRDefault="001862D5" w:rsidP="00C20AC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862D5" w:rsidRDefault="001862D5" w:rsidP="001862D5">
      <w:pPr>
        <w:suppressAutoHyphens/>
      </w:pPr>
      <w:r>
        <w:t>г. Вла</w:t>
      </w:r>
      <w:bookmarkStart w:id="2" w:name="_GoBack"/>
      <w:bookmarkEnd w:id="2"/>
      <w:r>
        <w:t>дивосток</w:t>
      </w:r>
    </w:p>
    <w:p w:rsidR="001862D5" w:rsidRDefault="001862D5" w:rsidP="001862D5">
      <w:pPr>
        <w:suppressAutoHyphens/>
      </w:pPr>
      <w:r>
        <w:t>5 октября 2020 года</w:t>
      </w:r>
    </w:p>
    <w:p w:rsidR="001862D5" w:rsidRDefault="001862D5" w:rsidP="001862D5">
      <w:r>
        <w:t>№ 89</w:t>
      </w:r>
      <w:r>
        <w:t>1</w:t>
      </w:r>
      <w:r>
        <w:t>-КЗ</w:t>
      </w:r>
    </w:p>
    <w:p w:rsidR="001862D5" w:rsidRDefault="001862D5" w:rsidP="00C20AC1">
      <w:pPr>
        <w:autoSpaceDE w:val="0"/>
        <w:autoSpaceDN w:val="0"/>
        <w:adjustRightInd w:val="0"/>
        <w:jc w:val="both"/>
        <w:outlineLvl w:val="0"/>
      </w:pPr>
    </w:p>
    <w:p w:rsidR="00C20AC1" w:rsidRPr="008C035A" w:rsidRDefault="00C20AC1" w:rsidP="00C20AC1">
      <w:pPr>
        <w:jc w:val="both"/>
      </w:pPr>
    </w:p>
    <w:p w:rsidR="00BE0544" w:rsidRDefault="00BE0544" w:rsidP="00347DEE"/>
    <w:sectPr w:rsidR="00BE0544" w:rsidSect="00C20AC1">
      <w:headerReference w:type="default" r:id="rId8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5D" w:rsidRDefault="00AD065D">
      <w:r>
        <w:separator/>
      </w:r>
    </w:p>
  </w:endnote>
  <w:endnote w:type="continuationSeparator" w:id="0">
    <w:p w:rsidR="00AD065D" w:rsidRDefault="00AD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5D" w:rsidRDefault="00AD065D">
      <w:r>
        <w:separator/>
      </w:r>
    </w:p>
  </w:footnote>
  <w:footnote w:type="continuationSeparator" w:id="0">
    <w:p w:rsidR="00AD065D" w:rsidRDefault="00AD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C1" w:rsidRDefault="00C20A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62D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AC1"/>
    <w:rsid w:val="0003291F"/>
    <w:rsid w:val="00070CED"/>
    <w:rsid w:val="001862D5"/>
    <w:rsid w:val="00347DEE"/>
    <w:rsid w:val="00357555"/>
    <w:rsid w:val="00380EE1"/>
    <w:rsid w:val="003A180C"/>
    <w:rsid w:val="003B26E7"/>
    <w:rsid w:val="0047435B"/>
    <w:rsid w:val="005A2827"/>
    <w:rsid w:val="006B7E26"/>
    <w:rsid w:val="006E2ABA"/>
    <w:rsid w:val="00832425"/>
    <w:rsid w:val="0094765C"/>
    <w:rsid w:val="00AB70F9"/>
    <w:rsid w:val="00AC31EC"/>
    <w:rsid w:val="00AD065D"/>
    <w:rsid w:val="00AF3517"/>
    <w:rsid w:val="00B14397"/>
    <w:rsid w:val="00BC0675"/>
    <w:rsid w:val="00BE0544"/>
    <w:rsid w:val="00C20AC1"/>
    <w:rsid w:val="00CF1176"/>
    <w:rsid w:val="00D102A9"/>
    <w:rsid w:val="00D34604"/>
    <w:rsid w:val="00DB61CE"/>
    <w:rsid w:val="00E34273"/>
    <w:rsid w:val="00E60B2A"/>
    <w:rsid w:val="00F23036"/>
    <w:rsid w:val="00F704C7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A34CA"/>
  <w15:docId w15:val="{63775D3E-61B8-4973-90A5-08327EDD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20A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C20AC1"/>
    <w:rPr>
      <w:sz w:val="28"/>
    </w:rPr>
  </w:style>
  <w:style w:type="paragraph" w:styleId="a6">
    <w:name w:val="Balloon Text"/>
    <w:basedOn w:val="a"/>
    <w:link w:val="a7"/>
    <w:semiHidden/>
    <w:unhideWhenUsed/>
    <w:rsid w:val="00C20A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C2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96;&#1072;&#1073;&#1083;&#1086;&#1085;&#1099;\&#1041;&#1083;&#1072;&#1085;&#1082;%20&#1079;&#1072;&#1082;&#1086;&#1085;&#1072;%20&#1055;&#1088;&#1080;&#1084;&#1086;&#1088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Марина Анатольевна</dc:creator>
  <cp:lastModifiedBy>Егупова Марина Анатольевна</cp:lastModifiedBy>
  <cp:revision>2</cp:revision>
  <cp:lastPrinted>2020-09-30T06:44:00Z</cp:lastPrinted>
  <dcterms:created xsi:type="dcterms:W3CDTF">2020-10-05T04:44:00Z</dcterms:created>
  <dcterms:modified xsi:type="dcterms:W3CDTF">2020-10-05T04:44:00Z</dcterms:modified>
</cp:coreProperties>
</file>